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125730</wp:posOffset>
            </wp:positionV>
            <wp:extent cx="1654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125730</wp:posOffset>
            </wp:positionV>
            <wp:extent cx="1654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tabs>
          <w:tab w:leader="none" w:pos="21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ab/>
        <w:t xml:space="preserve">Filed by a Party other than the Registrant </w:t>
      </w:r>
      <w:r>
        <w:rPr>
          <w:rFonts w:ascii="Wingdings" w:cs="Wingdings" w:eastAsia="Wingdings" w:hAnsi="Wingdings"/>
          <w:sz w:val="21"/>
          <w:szCs w:val="21"/>
          <w:b w:val="1"/>
          <w:bCs w:val="1"/>
          <w:color w:val="auto"/>
        </w:rPr>
        <w:t>o</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88" w:lineRule="exact"/>
        <w:rPr>
          <w:sz w:val="24"/>
          <w:szCs w:val="24"/>
          <w:color w:val="auto"/>
        </w:rPr>
      </w:pPr>
    </w:p>
    <w:p>
      <w:pPr>
        <w:ind w:left="440" w:hanging="410"/>
        <w:spacing w:after="0"/>
        <w:tabs>
          <w:tab w:leader="none" w:pos="44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16"/>
          <w:szCs w:val="16"/>
          <w:color w:val="auto"/>
        </w:rPr>
        <w:t>Preliminary Proxy Statement</w:t>
      </w:r>
    </w:p>
    <w:p>
      <w:pPr>
        <w:spacing w:after="0" w:line="46" w:lineRule="exact"/>
        <w:rPr>
          <w:rFonts w:ascii="Wingdings" w:cs="Wingdings" w:eastAsia="Wingdings" w:hAnsi="Wingdings"/>
          <w:sz w:val="22"/>
          <w:szCs w:val="22"/>
          <w:b w:val="1"/>
          <w:bCs w:val="1"/>
          <w:color w:val="auto"/>
        </w:rPr>
      </w:pPr>
    </w:p>
    <w:p>
      <w:pPr>
        <w:ind w:left="40" w:right="4419" w:hanging="10"/>
        <w:spacing w:after="0" w:line="237" w:lineRule="auto"/>
        <w:tabs>
          <w:tab w:leader="none" w:pos="448"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Wingdings" w:cs="Wingdings" w:eastAsia="Wingdings" w:hAnsi="Wingdings"/>
          <w:sz w:val="21"/>
          <w:szCs w:val="21"/>
          <w:b w:val="1"/>
          <w:bCs w:val="1"/>
          <w:color w:val="auto"/>
        </w:rPr>
        <w:t xml:space="preserve">x </w:t>
      </w:r>
      <w:r>
        <w:rPr>
          <w:rFonts w:ascii="Times New Roman" w:cs="Times New Roman" w:eastAsia="Times New Roman" w:hAnsi="Times New Roman"/>
          <w:sz w:val="16"/>
          <w:szCs w:val="16"/>
          <w:color w:val="auto"/>
        </w:rPr>
        <w:t>Definitive Proxy Statement</w:t>
      </w:r>
    </w:p>
    <w:p>
      <w:pPr>
        <w:spacing w:after="0" w:line="13" w:lineRule="exact"/>
        <w:rPr>
          <w:rFonts w:ascii="Wingdings" w:cs="Wingdings" w:eastAsia="Wingdings" w:hAnsi="Wingdings"/>
          <w:sz w:val="22"/>
          <w:szCs w:val="22"/>
          <w:b w:val="1"/>
          <w:bCs w:val="1"/>
          <w:color w:val="auto"/>
        </w:rPr>
      </w:pPr>
    </w:p>
    <w:p>
      <w:pPr>
        <w:ind w:left="440" w:hanging="410"/>
        <w:spacing w:after="0"/>
        <w:tabs>
          <w:tab w:leader="none" w:pos="44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16"/>
          <w:szCs w:val="16"/>
          <w:color w:val="auto"/>
        </w:rPr>
        <w:t>Definitive Additional Materials</w:t>
      </w:r>
    </w:p>
    <w:p>
      <w:pPr>
        <w:spacing w:after="0" w:line="12" w:lineRule="exact"/>
        <w:rPr>
          <w:rFonts w:ascii="Wingdings" w:cs="Wingdings" w:eastAsia="Wingdings" w:hAnsi="Wingdings"/>
          <w:sz w:val="22"/>
          <w:szCs w:val="22"/>
          <w:b w:val="1"/>
          <w:bCs w:val="1"/>
          <w:color w:val="auto"/>
        </w:rPr>
      </w:pPr>
    </w:p>
    <w:p>
      <w:pPr>
        <w:ind w:left="440" w:hanging="410"/>
        <w:spacing w:after="0"/>
        <w:tabs>
          <w:tab w:leader="none" w:pos="44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16"/>
          <w:szCs w:val="16"/>
          <w:color w:val="auto"/>
        </w:rPr>
        <w:t>Soliciting Material under §240.14a-12</w:t>
      </w: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ASANA, INC.</w:t>
      </w:r>
    </w:p>
    <w:p>
      <w:pPr>
        <w:spacing w:after="0" w:line="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88" w:lineRule="exact"/>
        <w:rPr>
          <w:sz w:val="24"/>
          <w:szCs w:val="24"/>
          <w:color w:val="auto"/>
        </w:rPr>
      </w:pPr>
    </w:p>
    <w:p>
      <w:pPr>
        <w:ind w:left="440" w:hanging="410"/>
        <w:spacing w:after="0"/>
        <w:tabs>
          <w:tab w:leader="none" w:pos="44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16"/>
          <w:szCs w:val="16"/>
          <w:color w:val="auto"/>
        </w:rPr>
        <w:t>No fee required.</w:t>
      </w:r>
    </w:p>
    <w:p>
      <w:pPr>
        <w:spacing w:after="0" w:line="12" w:lineRule="exact"/>
        <w:rPr>
          <w:sz w:val="24"/>
          <w:szCs w:val="24"/>
          <w:color w:val="auto"/>
        </w:rPr>
      </w:pPr>
    </w:p>
    <w:p>
      <w:pPr>
        <w:ind w:left="400" w:hanging="370"/>
        <w:spacing w:after="0"/>
        <w:tabs>
          <w:tab w:leader="none" w:pos="400" w:val="left"/>
        </w:tabs>
        <w:numPr>
          <w:ilvl w:val="0"/>
          <w:numId w:val="3"/>
        </w:numPr>
        <w:rPr>
          <w:rFonts w:ascii="Wingdings" w:cs="Wingdings" w:eastAsia="Wingdings" w:hAnsi="Wingdings"/>
          <w:sz w:val="22"/>
          <w:szCs w:val="22"/>
          <w:b w:val="1"/>
          <w:bCs w:val="1"/>
          <w:color w:val="auto"/>
        </w:rPr>
      </w:pPr>
      <w:r>
        <w:rPr>
          <w:rFonts w:ascii="Times New Roman" w:cs="Times New Roman" w:eastAsia="Times New Roman" w:hAnsi="Times New Roman"/>
          <w:sz w:val="16"/>
          <w:szCs w:val="16"/>
          <w:color w:val="auto"/>
        </w:rPr>
        <w:t>Fee paid previously with preliminary materials.</w:t>
      </w:r>
    </w:p>
    <w:p>
      <w:pPr>
        <w:spacing w:after="0" w:line="12" w:lineRule="exact"/>
        <w:rPr>
          <w:rFonts w:ascii="Wingdings" w:cs="Wingdings" w:eastAsia="Wingdings" w:hAnsi="Wingdings"/>
          <w:sz w:val="22"/>
          <w:szCs w:val="22"/>
          <w:b w:val="1"/>
          <w:bCs w:val="1"/>
          <w:color w:val="auto"/>
        </w:rPr>
      </w:pPr>
    </w:p>
    <w:p>
      <w:pPr>
        <w:ind w:left="400" w:hanging="370"/>
        <w:spacing w:after="0"/>
        <w:tabs>
          <w:tab w:leader="none" w:pos="400" w:val="left"/>
        </w:tabs>
        <w:numPr>
          <w:ilvl w:val="0"/>
          <w:numId w:val="3"/>
        </w:numPr>
        <w:rPr>
          <w:rFonts w:ascii="Wingdings" w:cs="Wingdings" w:eastAsia="Wingdings" w:hAnsi="Wingdings"/>
          <w:sz w:val="22"/>
          <w:szCs w:val="22"/>
          <w:b w:val="1"/>
          <w:bCs w:val="1"/>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534670</wp:posOffset>
            </wp:positionV>
            <wp:extent cx="1114425" cy="214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14630"/>
                    </a:xfrm>
                    <a:prstGeom prst="rect">
                      <a:avLst/>
                    </a:prstGeom>
                    <a:noFill/>
                  </pic:spPr>
                </pic:pic>
              </a:graphicData>
            </a:graphic>
          </wp:anchor>
        </w:drawing>
      </w:r>
    </w:p>
    <w:p>
      <w:pPr>
        <w:ind w:right="540"/>
        <w:spacing w:after="0" w:line="289" w:lineRule="auto"/>
        <w:rPr>
          <w:sz w:val="20"/>
          <w:szCs w:val="20"/>
          <w:color w:val="auto"/>
        </w:rPr>
      </w:pPr>
      <w:r>
        <w:rPr>
          <w:rFonts w:ascii="Arial" w:cs="Arial" w:eastAsia="Arial" w:hAnsi="Arial"/>
          <w:sz w:val="18"/>
          <w:szCs w:val="18"/>
          <w:color w:val="0D0E10"/>
        </w:rPr>
        <w:t>633 Folsom Street, Suite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D0E10"/>
        </w:rPr>
        <w:t>San Francisco, CA 94107</w:t>
      </w:r>
    </w:p>
    <w:p>
      <w:pPr>
        <w:spacing w:after="0" w:line="200" w:lineRule="exact"/>
        <w:rPr>
          <w:sz w:val="20"/>
          <w:szCs w:val="20"/>
          <w:color w:val="auto"/>
        </w:rPr>
      </w:pPr>
    </w:p>
    <w:p>
      <w:pPr>
        <w:spacing w:after="0" w:line="232" w:lineRule="exact"/>
        <w:rPr>
          <w:sz w:val="20"/>
          <w:szCs w:val="20"/>
          <w:color w:val="auto"/>
        </w:rPr>
      </w:pPr>
    </w:p>
    <w:p>
      <w:pPr>
        <w:ind w:right="440"/>
        <w:spacing w:after="0" w:line="389" w:lineRule="auto"/>
        <w:rPr>
          <w:sz w:val="20"/>
          <w:szCs w:val="20"/>
          <w:color w:val="auto"/>
        </w:rPr>
      </w:pPr>
      <w:r>
        <w:rPr>
          <w:rFonts w:ascii="Arial" w:cs="Arial" w:eastAsia="Arial" w:hAnsi="Arial"/>
          <w:sz w:val="16"/>
          <w:szCs w:val="16"/>
          <w:color w:val="F06A6A"/>
        </w:rPr>
        <w:t>NOTICE OF ANNUAL MEETING OF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32"/>
          <w:szCs w:val="32"/>
          <w:color w:val="0D0E10"/>
        </w:rPr>
        <w:t>Date</w:t>
      </w:r>
    </w:p>
    <w:p>
      <w:pPr>
        <w:spacing w:after="0"/>
        <w:rPr>
          <w:sz w:val="20"/>
          <w:szCs w:val="20"/>
          <w:color w:val="auto"/>
        </w:rPr>
      </w:pPr>
      <w:r>
        <w:rPr>
          <w:rFonts w:ascii="Arial" w:cs="Arial" w:eastAsia="Arial" w:hAnsi="Arial"/>
          <w:sz w:val="16"/>
          <w:szCs w:val="16"/>
          <w:color w:val="A5A4A3"/>
        </w:rPr>
        <w:t>___________________</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0D0E10"/>
        </w:rPr>
        <w:t>MONDAY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0D0E10"/>
        </w:rPr>
        <w:t>JUNE 17, 2024</w:t>
      </w:r>
    </w:p>
    <w:p>
      <w:pPr>
        <w:spacing w:after="0" w:line="319" w:lineRule="exact"/>
        <w:rPr>
          <w:sz w:val="20"/>
          <w:szCs w:val="20"/>
          <w:color w:val="auto"/>
        </w:rPr>
      </w:pPr>
    </w:p>
    <w:p>
      <w:pPr>
        <w:spacing w:after="0"/>
        <w:rPr>
          <w:sz w:val="20"/>
          <w:szCs w:val="20"/>
          <w:color w:val="auto"/>
        </w:rPr>
      </w:pPr>
      <w:r>
        <w:rPr>
          <w:rFonts w:ascii="Arial" w:cs="Arial" w:eastAsia="Arial" w:hAnsi="Arial"/>
          <w:sz w:val="32"/>
          <w:szCs w:val="32"/>
          <w:color w:val="0D0E10"/>
        </w:rPr>
        <w:t>Time</w:t>
      </w:r>
    </w:p>
    <w:p>
      <w:pPr>
        <w:spacing w:after="0"/>
        <w:rPr>
          <w:sz w:val="20"/>
          <w:szCs w:val="20"/>
          <w:color w:val="auto"/>
        </w:rPr>
      </w:pPr>
      <w:r>
        <w:rPr>
          <w:rFonts w:ascii="Arial" w:cs="Arial" w:eastAsia="Arial" w:hAnsi="Arial"/>
          <w:sz w:val="16"/>
          <w:szCs w:val="16"/>
          <w:color w:val="A5A4A3"/>
        </w:rPr>
        <w:t>___________________</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0D0E10"/>
        </w:rPr>
        <w:t>2:00 P.M.</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0D0E10"/>
        </w:rPr>
        <w:t>PACIFIC TIME</w:t>
      </w: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color w:val="0D0E10"/>
        </w:rPr>
        <w:t>Place</w:t>
      </w:r>
    </w:p>
    <w:p>
      <w:pPr>
        <w:spacing w:after="0"/>
        <w:rPr>
          <w:sz w:val="20"/>
          <w:szCs w:val="20"/>
          <w:color w:val="auto"/>
        </w:rPr>
      </w:pPr>
      <w:r>
        <w:rPr>
          <w:rFonts w:ascii="Arial" w:cs="Arial" w:eastAsia="Arial" w:hAnsi="Arial"/>
          <w:sz w:val="16"/>
          <w:szCs w:val="16"/>
          <w:color w:val="A5A4A3"/>
        </w:rPr>
        <w:t>___________________</w:t>
      </w:r>
    </w:p>
    <w:p>
      <w:pPr>
        <w:spacing w:after="0" w:line="75" w:lineRule="exact"/>
        <w:rPr>
          <w:sz w:val="20"/>
          <w:szCs w:val="20"/>
          <w:color w:val="auto"/>
        </w:rPr>
      </w:pPr>
    </w:p>
    <w:p>
      <w:pPr>
        <w:ind w:right="480"/>
        <w:spacing w:after="0" w:line="325" w:lineRule="auto"/>
        <w:rPr>
          <w:sz w:val="20"/>
          <w:szCs w:val="20"/>
          <w:color w:val="auto"/>
        </w:rPr>
      </w:pPr>
      <w:r>
        <w:rPr>
          <w:rFonts w:ascii="Arial" w:cs="Arial" w:eastAsia="Arial" w:hAnsi="Arial"/>
          <w:sz w:val="14"/>
          <w:szCs w:val="14"/>
          <w:color w:val="0D0E10"/>
        </w:rPr>
        <w:t>www.virtualshareholder meeting.com/ASAN2024</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32"/>
          <w:szCs w:val="32"/>
          <w:color w:val="0D0E10"/>
        </w:rPr>
        <w:t>Dear Stockholders of Asana,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-781050</wp:posOffset>
            </wp:positionV>
            <wp:extent cx="8890" cy="8075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8075295"/>
                    </a:xfrm>
                    <a:prstGeom prst="rect">
                      <a:avLst/>
                    </a:prstGeom>
                    <a:noFill/>
                  </pic:spPr>
                </pic:pic>
              </a:graphicData>
            </a:graphic>
          </wp:anchor>
        </w:drawing>
      </w:r>
    </w:p>
    <w:p>
      <w:pPr>
        <w:spacing w:after="0" w:line="337"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color w:val="0D0E10"/>
        </w:rPr>
        <w:t xml:space="preserve">We cordially invite you to attend the 2024 annual meeting of stockholders, or the Annual Meeting, of Asana, Inc., a Delaware corporation, which will be held as a virtual meeting on Monday, June 17, 2024 at 2:00 p.m. Pacific Time. The Annual Meeting will be held through a live audio-only webcast at </w:t>
      </w:r>
      <w:r>
        <w:rPr>
          <w:rFonts w:ascii="Arial" w:cs="Arial" w:eastAsia="Arial" w:hAnsi="Arial"/>
          <w:sz w:val="18"/>
          <w:szCs w:val="18"/>
          <w:i w:val="1"/>
          <w:iCs w:val="1"/>
          <w:color w:val="F06A6A"/>
        </w:rPr>
        <w:t>www.virtualshareholdermeeting.com/ASAN2024</w:t>
      </w:r>
      <w:r>
        <w:rPr>
          <w:rFonts w:ascii="Arial" w:cs="Arial" w:eastAsia="Arial" w:hAnsi="Arial"/>
          <w:sz w:val="18"/>
          <w:szCs w:val="18"/>
          <w:color w:val="0D0E10"/>
        </w:rPr>
        <w:t>, where you will also be able to submit questions and vote</w:t>
      </w:r>
      <w:r>
        <w:rPr>
          <w:rFonts w:ascii="Arial" w:cs="Arial" w:eastAsia="Arial" w:hAnsi="Arial"/>
          <w:sz w:val="18"/>
          <w:szCs w:val="18"/>
          <w:i w:val="1"/>
          <w:iCs w:val="1"/>
          <w:color w:val="F06A6A"/>
        </w:rPr>
        <w:t xml:space="preserve"> </w:t>
      </w:r>
      <w:r>
        <w:rPr>
          <w:rFonts w:ascii="Arial" w:cs="Arial" w:eastAsia="Arial" w:hAnsi="Arial"/>
          <w:sz w:val="18"/>
          <w:szCs w:val="18"/>
          <w:color w:val="0D0E10"/>
        </w:rPr>
        <w:t>online.</w:t>
      </w:r>
    </w:p>
    <w:p>
      <w:pPr>
        <w:spacing w:after="0" w:line="132" w:lineRule="exact"/>
        <w:rPr>
          <w:sz w:val="20"/>
          <w:szCs w:val="20"/>
          <w:color w:val="auto"/>
        </w:rPr>
      </w:pPr>
    </w:p>
    <w:p>
      <w:pPr>
        <w:ind w:right="1140"/>
        <w:spacing w:after="0" w:line="334" w:lineRule="auto"/>
        <w:rPr>
          <w:sz w:val="20"/>
          <w:szCs w:val="20"/>
          <w:color w:val="auto"/>
        </w:rPr>
      </w:pPr>
      <w:r>
        <w:rPr>
          <w:rFonts w:ascii="Arial" w:cs="Arial" w:eastAsia="Arial" w:hAnsi="Arial"/>
          <w:sz w:val="18"/>
          <w:szCs w:val="18"/>
          <w:color w:val="0D0E10"/>
        </w:rPr>
        <w:t>We are holding the Annual Meeting for the following purposes, as more fully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74930</wp:posOffset>
            </wp:positionV>
            <wp:extent cx="5443220" cy="1594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43220" cy="1594485"/>
                    </a:xfrm>
                    <a:prstGeom prst="rect">
                      <a:avLst/>
                    </a:prstGeom>
                    <a:noFill/>
                  </pic:spPr>
                </pic:pic>
              </a:graphicData>
            </a:graphic>
          </wp:anchor>
        </w:drawing>
      </w:r>
    </w:p>
    <w:p>
      <w:pPr>
        <w:spacing w:after="0" w:line="273" w:lineRule="exact"/>
        <w:rPr>
          <w:sz w:val="20"/>
          <w:szCs w:val="20"/>
          <w:color w:val="auto"/>
        </w:rPr>
      </w:pPr>
    </w:p>
    <w:p>
      <w:pPr>
        <w:ind w:left="560" w:right="300" w:hanging="352"/>
        <w:spacing w:after="0" w:line="274" w:lineRule="auto"/>
        <w:tabs>
          <w:tab w:leader="none" w:pos="560" w:val="left"/>
        </w:tabs>
        <w:numPr>
          <w:ilvl w:val="0"/>
          <w:numId w:val="4"/>
        </w:numPr>
        <w:rPr>
          <w:rFonts w:ascii="Arial" w:cs="Arial" w:eastAsia="Arial" w:hAnsi="Arial"/>
          <w:sz w:val="18"/>
          <w:szCs w:val="18"/>
          <w:b w:val="1"/>
          <w:bCs w:val="1"/>
          <w:color w:val="F06A6A"/>
        </w:rPr>
      </w:pPr>
      <w:r>
        <w:rPr>
          <w:rFonts w:ascii="Arial" w:cs="Arial" w:eastAsia="Arial" w:hAnsi="Arial"/>
          <w:sz w:val="16"/>
          <w:szCs w:val="16"/>
          <w:color w:val="0D0E10"/>
        </w:rPr>
        <w:t>To elect the two nominees for Class I directors to serve on Asana’s board of directors until the 2027 annual meeting of stockholders and until their successors are duly elected and qualified;</w:t>
      </w:r>
    </w:p>
    <w:p>
      <w:pPr>
        <w:spacing w:after="0" w:line="94" w:lineRule="exact"/>
        <w:rPr>
          <w:sz w:val="20"/>
          <w:szCs w:val="20"/>
          <w:color w:val="auto"/>
        </w:rPr>
      </w:pPr>
    </w:p>
    <w:p>
      <w:pPr>
        <w:ind w:left="560" w:hanging="352"/>
        <w:spacing w:after="0" w:line="274" w:lineRule="auto"/>
        <w:tabs>
          <w:tab w:leader="none" w:pos="560" w:val="left"/>
        </w:tabs>
        <w:numPr>
          <w:ilvl w:val="0"/>
          <w:numId w:val="5"/>
        </w:numPr>
        <w:rPr>
          <w:rFonts w:ascii="Arial" w:cs="Arial" w:eastAsia="Arial" w:hAnsi="Arial"/>
          <w:sz w:val="18"/>
          <w:szCs w:val="18"/>
          <w:b w:val="1"/>
          <w:bCs w:val="1"/>
          <w:color w:val="F06A6A"/>
        </w:rPr>
      </w:pPr>
      <w:r>
        <w:rPr>
          <w:rFonts w:ascii="Arial" w:cs="Arial" w:eastAsia="Arial" w:hAnsi="Arial"/>
          <w:sz w:val="16"/>
          <w:szCs w:val="16"/>
          <w:color w:val="0D0E10"/>
        </w:rPr>
        <w:t>To ratify the selection of PricewaterhouseCoopers LLP by the Audit Committee of Asana’s board of directors as Asana’s independent registered public accounting firm for its fiscal year ending January 31, 2025;</w:t>
      </w:r>
    </w:p>
    <w:p>
      <w:pPr>
        <w:spacing w:after="0" w:line="283" w:lineRule="exact"/>
        <w:rPr>
          <w:sz w:val="20"/>
          <w:szCs w:val="20"/>
          <w:color w:val="auto"/>
        </w:rPr>
      </w:pPr>
    </w:p>
    <w:p>
      <w:pPr>
        <w:ind w:left="560" w:hanging="352"/>
        <w:spacing w:after="0"/>
        <w:tabs>
          <w:tab w:leader="none" w:pos="560" w:val="left"/>
        </w:tabs>
        <w:numPr>
          <w:ilvl w:val="0"/>
          <w:numId w:val="6"/>
        </w:numPr>
        <w:rPr>
          <w:rFonts w:ascii="Arial" w:cs="Arial" w:eastAsia="Arial" w:hAnsi="Arial"/>
          <w:sz w:val="18"/>
          <w:szCs w:val="18"/>
          <w:b w:val="1"/>
          <w:bCs w:val="1"/>
          <w:color w:val="F06A6A"/>
        </w:rPr>
      </w:pPr>
      <w:r>
        <w:rPr>
          <w:rFonts w:ascii="Arial" w:cs="Arial" w:eastAsia="Arial" w:hAnsi="Arial"/>
          <w:sz w:val="16"/>
          <w:szCs w:val="16"/>
          <w:color w:val="0D0E10"/>
        </w:rPr>
        <w:t>To solicit a non-binding advisory vote on the compensation of Asana’s named executive officers; and</w:t>
      </w:r>
    </w:p>
    <w:p>
      <w:pPr>
        <w:spacing w:after="0" w:line="333" w:lineRule="exact"/>
        <w:rPr>
          <w:sz w:val="20"/>
          <w:szCs w:val="20"/>
          <w:color w:val="auto"/>
        </w:rPr>
      </w:pPr>
    </w:p>
    <w:p>
      <w:pPr>
        <w:ind w:left="560" w:right="260" w:hanging="352"/>
        <w:spacing w:after="0" w:line="274" w:lineRule="auto"/>
        <w:tabs>
          <w:tab w:leader="none" w:pos="560" w:val="left"/>
        </w:tabs>
        <w:numPr>
          <w:ilvl w:val="0"/>
          <w:numId w:val="7"/>
        </w:numPr>
        <w:rPr>
          <w:rFonts w:ascii="Arial" w:cs="Arial" w:eastAsia="Arial" w:hAnsi="Arial"/>
          <w:sz w:val="18"/>
          <w:szCs w:val="18"/>
          <w:b w:val="1"/>
          <w:bCs w:val="1"/>
          <w:color w:val="F06A6A"/>
        </w:rPr>
      </w:pPr>
      <w:r>
        <w:rPr>
          <w:rFonts w:ascii="Arial" w:cs="Arial" w:eastAsia="Arial" w:hAnsi="Arial"/>
          <w:sz w:val="16"/>
          <w:szCs w:val="16"/>
          <w:color w:val="0D0E10"/>
        </w:rPr>
        <w:t>To transact such other business that may properly come before the Annual Meeting or any adjournments or postponements thereof.</w:t>
      </w:r>
    </w:p>
    <w:p>
      <w:pPr>
        <w:spacing w:after="0" w:line="305" w:lineRule="exact"/>
        <w:rPr>
          <w:sz w:val="20"/>
          <w:szCs w:val="20"/>
          <w:color w:val="auto"/>
        </w:rPr>
      </w:pPr>
    </w:p>
    <w:p>
      <w:pPr>
        <w:jc w:val="both"/>
        <w:ind w:right="40"/>
        <w:spacing w:after="0" w:line="304" w:lineRule="auto"/>
        <w:rPr>
          <w:sz w:val="20"/>
          <w:szCs w:val="20"/>
          <w:color w:val="auto"/>
        </w:rPr>
      </w:pPr>
      <w:r>
        <w:rPr>
          <w:rFonts w:ascii="Arial" w:cs="Arial" w:eastAsia="Arial" w:hAnsi="Arial"/>
          <w:sz w:val="18"/>
          <w:szCs w:val="18"/>
          <w:color w:val="0D0E10"/>
        </w:rPr>
        <w:t>Our board of directors has fixed the close of business on April 19, 2024 as the record date for the Annual Meeting, or the Record Date. Only stockholders of record on April 19, 2024 are entitled to notice of and to vote at the Annual Meeting. Further information regarding voting rights and the matters to be voted upon is presented in the accompanying proxy statement.</w:t>
      </w:r>
    </w:p>
    <w:p>
      <w:pPr>
        <w:spacing w:after="0" w:line="126" w:lineRule="exact"/>
        <w:rPr>
          <w:sz w:val="20"/>
          <w:szCs w:val="20"/>
          <w:color w:val="auto"/>
        </w:rPr>
      </w:pPr>
    </w:p>
    <w:p>
      <w:pPr>
        <w:jc w:val="both"/>
        <w:ind w:right="160"/>
        <w:spacing w:after="0" w:line="304" w:lineRule="auto"/>
        <w:rPr>
          <w:sz w:val="20"/>
          <w:szCs w:val="20"/>
          <w:color w:val="auto"/>
        </w:rPr>
      </w:pPr>
      <w:r>
        <w:rPr>
          <w:rFonts w:ascii="Arial" w:cs="Arial" w:eastAsia="Arial" w:hAnsi="Arial"/>
          <w:sz w:val="18"/>
          <w:szCs w:val="18"/>
          <w:color w:val="0D0E10"/>
        </w:rPr>
        <w:t>On or about May 3, 2024, we expect to mail to our stockholders a Notice of Internet Availability of Proxy Materials, or the Notice, containing instructions on how to access our proxy statement and annual report. The Notice provides instructions on how to vote via the Internet or by telephone and includes instructions on how to receive a paper copy of our proxy materials by mail.</w:t>
      </w:r>
    </w:p>
    <w:p>
      <w:pPr>
        <w:spacing w:after="0" w:line="112" w:lineRule="exact"/>
        <w:rPr>
          <w:sz w:val="20"/>
          <w:szCs w:val="20"/>
          <w:color w:val="auto"/>
        </w:rPr>
      </w:pPr>
    </w:p>
    <w:p>
      <w:pPr>
        <w:ind w:right="160"/>
        <w:spacing w:after="0" w:line="302" w:lineRule="auto"/>
        <w:rPr>
          <w:sz w:val="20"/>
          <w:szCs w:val="20"/>
          <w:color w:val="auto"/>
        </w:rPr>
      </w:pPr>
      <w:r>
        <w:rPr>
          <w:rFonts w:ascii="Arial" w:cs="Arial" w:eastAsia="Arial" w:hAnsi="Arial"/>
          <w:sz w:val="18"/>
          <w:szCs w:val="18"/>
          <w:color w:val="F06A6A"/>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virtually and to vote your shares at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0D0E10"/>
        </w:rPr>
        <w:t>We appreciate your continued support of Asana.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0D0E1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150876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21463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0D0E10"/>
        </w:rPr>
        <w:t>Dustin Moskovitz</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0D0E10"/>
        </w:rPr>
        <w:t>President, Chief Executive Officer, and Chair of the Board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0D0E10"/>
        </w:rPr>
        <w:t>San Francisco, California</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0D0E10"/>
        </w:rPr>
        <w:t>May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705485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60" w:space="600"/>
            <w:col w:w="8500"/>
          </w:cols>
          <w:pgMar w:left="340" w:top="1440" w:right="399" w:bottom="1440" w:gutter="0" w:footer="0" w:header="0"/>
        </w:sectPr>
      </w:pPr>
    </w:p>
    <w:bookmarkStart w:id="2" w:name="page3"/>
    <w:bookmarkEnd w:id="2"/>
    <w:p>
      <w:pPr>
        <w:spacing w:after="0"/>
        <w:rPr>
          <w:sz w:val="20"/>
          <w:szCs w:val="20"/>
          <w:color w:val="auto"/>
        </w:rPr>
      </w:pPr>
      <w:r>
        <w:rPr>
          <w:rFonts w:ascii="Arial" w:cs="Arial" w:eastAsia="Arial" w:hAnsi="Arial"/>
          <w:sz w:val="56"/>
          <w:szCs w:val="56"/>
          <w:color w:val="0D0E10"/>
        </w:rPr>
        <w:t>Table of Contents</w:t>
      </w:r>
    </w:p>
    <w:p>
      <w:pPr>
        <w:sectPr>
          <w:pgSz w:w="11900" w:h="16838" w:orient="portrait"/>
          <w:cols w:equalWidth="0" w:num="1">
            <w:col w:w="10139"/>
          </w:cols>
          <w:pgMar w:left="320" w:top="138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0400" w:type="dxa"/>
            <w:vAlign w:val="bottom"/>
          </w:tcPr>
          <w:p>
            <w:pPr>
              <w:spacing w:after="0"/>
              <w:rPr>
                <w:sz w:val="20"/>
                <w:szCs w:val="20"/>
                <w:color w:val="auto"/>
              </w:rPr>
            </w:pPr>
            <w:r>
              <w:rPr>
                <w:rFonts w:ascii="Arial" w:cs="Arial" w:eastAsia="Arial" w:hAnsi="Arial"/>
                <w:sz w:val="18"/>
                <w:szCs w:val="18"/>
                <w:color w:val="F06A6A"/>
              </w:rPr>
              <w:t>PROXY SUMMARY</w:t>
            </w:r>
          </w:p>
        </w:tc>
        <w:tc>
          <w:tcPr>
            <w:tcW w:w="800" w:type="dxa"/>
            <w:vAlign w:val="bottom"/>
          </w:tcPr>
          <w:p>
            <w:pPr>
              <w:jc w:val="right"/>
              <w:spacing w:after="0"/>
              <w:rPr>
                <w:sz w:val="20"/>
                <w:szCs w:val="20"/>
                <w:color w:val="auto"/>
              </w:rPr>
            </w:pPr>
            <w:r>
              <w:rPr>
                <w:rFonts w:ascii="Arial" w:cs="Arial" w:eastAsia="Arial" w:hAnsi="Arial"/>
                <w:sz w:val="18"/>
                <w:szCs w:val="18"/>
                <w:color w:val="F06A6A"/>
              </w:rPr>
              <w:t>1</w:t>
            </w:r>
          </w:p>
        </w:tc>
      </w:tr>
      <w:tr>
        <w:trPr>
          <w:trHeight w:val="378"/>
        </w:trPr>
        <w:tc>
          <w:tcPr>
            <w:tcW w:w="10400" w:type="dxa"/>
            <w:vAlign w:val="bottom"/>
          </w:tcPr>
          <w:p>
            <w:pPr>
              <w:spacing w:after="0"/>
              <w:rPr>
                <w:sz w:val="20"/>
                <w:szCs w:val="20"/>
                <w:color w:val="auto"/>
              </w:rPr>
            </w:pPr>
            <w:r>
              <w:rPr>
                <w:rFonts w:ascii="Arial" w:cs="Arial" w:eastAsia="Arial" w:hAnsi="Arial"/>
                <w:sz w:val="18"/>
                <w:szCs w:val="18"/>
                <w:color w:val="F06A6A"/>
              </w:rPr>
              <w:t>QUESTIONS AND ANSWERS REGARDING THIS SOLICITATION AND VOTING AT THE ANNUAL MEETING</w:t>
            </w:r>
          </w:p>
        </w:tc>
        <w:tc>
          <w:tcPr>
            <w:tcW w:w="800" w:type="dxa"/>
            <w:vAlign w:val="bottom"/>
          </w:tcPr>
          <w:p>
            <w:pPr>
              <w:jc w:val="right"/>
              <w:spacing w:after="0"/>
              <w:rPr>
                <w:sz w:val="20"/>
                <w:szCs w:val="20"/>
                <w:color w:val="auto"/>
              </w:rPr>
            </w:pPr>
            <w:r>
              <w:rPr>
                <w:rFonts w:ascii="Arial" w:cs="Arial" w:eastAsia="Arial" w:hAnsi="Arial"/>
                <w:sz w:val="18"/>
                <w:szCs w:val="18"/>
                <w:color w:val="F06A6A"/>
              </w:rPr>
              <w:t>2</w:t>
            </w:r>
          </w:p>
        </w:tc>
      </w:tr>
      <w:tr>
        <w:trPr>
          <w:trHeight w:val="378"/>
        </w:trPr>
        <w:tc>
          <w:tcPr>
            <w:tcW w:w="10400" w:type="dxa"/>
            <w:vAlign w:val="bottom"/>
          </w:tcPr>
          <w:p>
            <w:pPr>
              <w:spacing w:after="0"/>
              <w:rPr>
                <w:sz w:val="20"/>
                <w:szCs w:val="20"/>
                <w:color w:val="auto"/>
              </w:rPr>
            </w:pPr>
            <w:r>
              <w:rPr>
                <w:rFonts w:ascii="Arial" w:cs="Arial" w:eastAsia="Arial" w:hAnsi="Arial"/>
                <w:sz w:val="18"/>
                <w:szCs w:val="18"/>
                <w:color w:val="F06A6A"/>
              </w:rPr>
              <w:t>SPECIAL NOTE REGARDING FORWARD-LOOKING STATEMENTS</w:t>
            </w:r>
          </w:p>
        </w:tc>
        <w:tc>
          <w:tcPr>
            <w:tcW w:w="800" w:type="dxa"/>
            <w:vAlign w:val="bottom"/>
          </w:tcPr>
          <w:p>
            <w:pPr>
              <w:jc w:val="right"/>
              <w:spacing w:after="0"/>
              <w:rPr>
                <w:sz w:val="20"/>
                <w:szCs w:val="20"/>
                <w:color w:val="auto"/>
              </w:rPr>
            </w:pPr>
            <w:r>
              <w:rPr>
                <w:rFonts w:ascii="Arial" w:cs="Arial" w:eastAsia="Arial" w:hAnsi="Arial"/>
                <w:sz w:val="18"/>
                <w:szCs w:val="18"/>
                <w:color w:val="F06A6A"/>
              </w:rPr>
              <w:t>9</w:t>
            </w:r>
          </w:p>
        </w:tc>
      </w:tr>
      <w:tr>
        <w:trPr>
          <w:trHeight w:val="378"/>
        </w:trPr>
        <w:tc>
          <w:tcPr>
            <w:tcW w:w="10400" w:type="dxa"/>
            <w:vAlign w:val="bottom"/>
          </w:tcPr>
          <w:p>
            <w:pPr>
              <w:spacing w:after="0"/>
              <w:rPr>
                <w:sz w:val="20"/>
                <w:szCs w:val="20"/>
                <w:color w:val="auto"/>
              </w:rPr>
            </w:pPr>
            <w:r>
              <w:rPr>
                <w:rFonts w:ascii="Arial" w:cs="Arial" w:eastAsia="Arial" w:hAnsi="Arial"/>
                <w:sz w:val="18"/>
                <w:szCs w:val="18"/>
                <w:color w:val="F06A6A"/>
              </w:rPr>
              <w:t>BOARD OF DIRECTORS AND CORPORATE GOVERNANCE</w:t>
            </w:r>
          </w:p>
        </w:tc>
        <w:tc>
          <w:tcPr>
            <w:tcW w:w="800" w:type="dxa"/>
            <w:vAlign w:val="bottom"/>
          </w:tcPr>
          <w:p>
            <w:pPr>
              <w:jc w:val="right"/>
              <w:spacing w:after="0"/>
              <w:rPr>
                <w:sz w:val="20"/>
                <w:szCs w:val="20"/>
                <w:color w:val="auto"/>
              </w:rPr>
            </w:pPr>
            <w:r>
              <w:rPr>
                <w:rFonts w:ascii="Arial" w:cs="Arial" w:eastAsia="Arial" w:hAnsi="Arial"/>
                <w:sz w:val="18"/>
                <w:szCs w:val="18"/>
                <w:color w:val="F06A6A"/>
              </w:rPr>
              <w:t>10</w:t>
            </w:r>
          </w:p>
        </w:tc>
      </w:tr>
      <w:tr>
        <w:trPr>
          <w:trHeight w:val="378"/>
        </w:trPr>
        <w:tc>
          <w:tcPr>
            <w:tcW w:w="10400" w:type="dxa"/>
            <w:vAlign w:val="bottom"/>
          </w:tcPr>
          <w:p>
            <w:pPr>
              <w:ind w:left="240"/>
              <w:spacing w:after="0"/>
              <w:rPr>
                <w:sz w:val="20"/>
                <w:szCs w:val="20"/>
                <w:color w:val="auto"/>
              </w:rPr>
            </w:pPr>
            <w:r>
              <w:rPr>
                <w:rFonts w:ascii="Arial" w:cs="Arial" w:eastAsia="Arial" w:hAnsi="Arial"/>
                <w:sz w:val="18"/>
                <w:szCs w:val="18"/>
                <w:color w:val="0D0E10"/>
              </w:rPr>
              <w:t>Board Diversity</w:t>
            </w:r>
          </w:p>
        </w:tc>
        <w:tc>
          <w:tcPr>
            <w:tcW w:w="800" w:type="dxa"/>
            <w:vAlign w:val="bottom"/>
          </w:tcPr>
          <w:p>
            <w:pPr>
              <w:jc w:val="right"/>
              <w:spacing w:after="0"/>
              <w:rPr>
                <w:sz w:val="20"/>
                <w:szCs w:val="20"/>
                <w:color w:val="auto"/>
              </w:rPr>
            </w:pPr>
            <w:r>
              <w:rPr>
                <w:rFonts w:ascii="Arial" w:cs="Arial" w:eastAsia="Arial" w:hAnsi="Arial"/>
                <w:sz w:val="18"/>
                <w:szCs w:val="18"/>
                <w:color w:val="0D0E10"/>
              </w:rPr>
              <w:t>11</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Nominees for Director</w:t>
            </w:r>
          </w:p>
        </w:tc>
        <w:tc>
          <w:tcPr>
            <w:tcW w:w="800" w:type="dxa"/>
            <w:vAlign w:val="bottom"/>
          </w:tcPr>
          <w:p>
            <w:pPr>
              <w:jc w:val="right"/>
              <w:spacing w:after="0"/>
              <w:rPr>
                <w:sz w:val="20"/>
                <w:szCs w:val="20"/>
                <w:color w:val="auto"/>
              </w:rPr>
            </w:pPr>
            <w:r>
              <w:rPr>
                <w:rFonts w:ascii="Arial" w:cs="Arial" w:eastAsia="Arial" w:hAnsi="Arial"/>
                <w:sz w:val="18"/>
                <w:szCs w:val="18"/>
                <w:color w:val="0D0E10"/>
              </w:rPr>
              <w:t>12</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Continuing Directors</w:t>
            </w:r>
          </w:p>
        </w:tc>
        <w:tc>
          <w:tcPr>
            <w:tcW w:w="800" w:type="dxa"/>
            <w:vAlign w:val="bottom"/>
          </w:tcPr>
          <w:p>
            <w:pPr>
              <w:jc w:val="right"/>
              <w:spacing w:after="0"/>
              <w:rPr>
                <w:sz w:val="20"/>
                <w:szCs w:val="20"/>
                <w:color w:val="auto"/>
              </w:rPr>
            </w:pPr>
            <w:r>
              <w:rPr>
                <w:rFonts w:ascii="Arial" w:cs="Arial" w:eastAsia="Arial" w:hAnsi="Arial"/>
                <w:sz w:val="18"/>
                <w:szCs w:val="18"/>
                <w:color w:val="0D0E10"/>
              </w:rPr>
              <w:t>13</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Director Independence</w:t>
            </w:r>
          </w:p>
        </w:tc>
        <w:tc>
          <w:tcPr>
            <w:tcW w:w="800" w:type="dxa"/>
            <w:vAlign w:val="bottom"/>
          </w:tcPr>
          <w:p>
            <w:pPr>
              <w:jc w:val="right"/>
              <w:spacing w:after="0"/>
              <w:rPr>
                <w:sz w:val="20"/>
                <w:szCs w:val="20"/>
                <w:color w:val="auto"/>
              </w:rPr>
            </w:pPr>
            <w:r>
              <w:rPr>
                <w:rFonts w:ascii="Arial" w:cs="Arial" w:eastAsia="Arial" w:hAnsi="Arial"/>
                <w:sz w:val="18"/>
                <w:szCs w:val="18"/>
                <w:color w:val="0D0E10"/>
              </w:rPr>
              <w:t>16</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Board Leadership Structure</w:t>
            </w:r>
          </w:p>
        </w:tc>
        <w:tc>
          <w:tcPr>
            <w:tcW w:w="800" w:type="dxa"/>
            <w:vAlign w:val="bottom"/>
          </w:tcPr>
          <w:p>
            <w:pPr>
              <w:jc w:val="right"/>
              <w:spacing w:after="0"/>
              <w:rPr>
                <w:sz w:val="20"/>
                <w:szCs w:val="20"/>
                <w:color w:val="auto"/>
              </w:rPr>
            </w:pPr>
            <w:r>
              <w:rPr>
                <w:rFonts w:ascii="Arial" w:cs="Arial" w:eastAsia="Arial" w:hAnsi="Arial"/>
                <w:sz w:val="18"/>
                <w:szCs w:val="18"/>
                <w:color w:val="0D0E10"/>
              </w:rPr>
              <w:t>16</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Lead Independent Director</w:t>
            </w:r>
          </w:p>
        </w:tc>
        <w:tc>
          <w:tcPr>
            <w:tcW w:w="800" w:type="dxa"/>
            <w:vAlign w:val="bottom"/>
          </w:tcPr>
          <w:p>
            <w:pPr>
              <w:jc w:val="right"/>
              <w:spacing w:after="0"/>
              <w:rPr>
                <w:sz w:val="20"/>
                <w:szCs w:val="20"/>
                <w:color w:val="auto"/>
              </w:rPr>
            </w:pPr>
            <w:r>
              <w:rPr>
                <w:rFonts w:ascii="Arial" w:cs="Arial" w:eastAsia="Arial" w:hAnsi="Arial"/>
                <w:sz w:val="18"/>
                <w:szCs w:val="18"/>
                <w:color w:val="0D0E10"/>
              </w:rPr>
              <w:t>16</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Board and Stockholder Meetings and Committees</w:t>
            </w:r>
          </w:p>
        </w:tc>
        <w:tc>
          <w:tcPr>
            <w:tcW w:w="800" w:type="dxa"/>
            <w:vAlign w:val="bottom"/>
          </w:tcPr>
          <w:p>
            <w:pPr>
              <w:jc w:val="right"/>
              <w:spacing w:after="0"/>
              <w:rPr>
                <w:sz w:val="20"/>
                <w:szCs w:val="20"/>
                <w:color w:val="auto"/>
              </w:rPr>
            </w:pPr>
            <w:r>
              <w:rPr>
                <w:rFonts w:ascii="Arial" w:cs="Arial" w:eastAsia="Arial" w:hAnsi="Arial"/>
                <w:sz w:val="18"/>
                <w:szCs w:val="18"/>
                <w:color w:val="0D0E10"/>
              </w:rPr>
              <w:t>17</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Compensation Committee Interlocks and Insider Participation</w:t>
            </w:r>
          </w:p>
        </w:tc>
        <w:tc>
          <w:tcPr>
            <w:tcW w:w="800" w:type="dxa"/>
            <w:vAlign w:val="bottom"/>
          </w:tcPr>
          <w:p>
            <w:pPr>
              <w:jc w:val="right"/>
              <w:spacing w:after="0"/>
              <w:rPr>
                <w:sz w:val="20"/>
                <w:szCs w:val="20"/>
                <w:color w:val="auto"/>
              </w:rPr>
            </w:pPr>
            <w:r>
              <w:rPr>
                <w:rFonts w:ascii="Arial" w:cs="Arial" w:eastAsia="Arial" w:hAnsi="Arial"/>
                <w:sz w:val="18"/>
                <w:szCs w:val="18"/>
                <w:color w:val="0D0E10"/>
              </w:rPr>
              <w:t>19</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Considerations in Evaluating Director Nominees</w:t>
            </w:r>
          </w:p>
        </w:tc>
        <w:tc>
          <w:tcPr>
            <w:tcW w:w="800" w:type="dxa"/>
            <w:vAlign w:val="bottom"/>
          </w:tcPr>
          <w:p>
            <w:pPr>
              <w:jc w:val="right"/>
              <w:spacing w:after="0"/>
              <w:rPr>
                <w:sz w:val="20"/>
                <w:szCs w:val="20"/>
                <w:color w:val="auto"/>
              </w:rPr>
            </w:pPr>
            <w:r>
              <w:rPr>
                <w:rFonts w:ascii="Arial" w:cs="Arial" w:eastAsia="Arial" w:hAnsi="Arial"/>
                <w:sz w:val="18"/>
                <w:szCs w:val="18"/>
                <w:color w:val="0D0E10"/>
              </w:rPr>
              <w:t>19</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Stockholder Recommendations for Nominations to the Board of Directors</w:t>
            </w:r>
          </w:p>
        </w:tc>
        <w:tc>
          <w:tcPr>
            <w:tcW w:w="800" w:type="dxa"/>
            <w:vAlign w:val="bottom"/>
          </w:tcPr>
          <w:p>
            <w:pPr>
              <w:jc w:val="right"/>
              <w:spacing w:after="0"/>
              <w:rPr>
                <w:sz w:val="20"/>
                <w:szCs w:val="20"/>
                <w:color w:val="auto"/>
              </w:rPr>
            </w:pPr>
            <w:r>
              <w:rPr>
                <w:rFonts w:ascii="Arial" w:cs="Arial" w:eastAsia="Arial" w:hAnsi="Arial"/>
                <w:sz w:val="18"/>
                <w:szCs w:val="18"/>
                <w:color w:val="0D0E10"/>
              </w:rPr>
              <w:t>20</w:t>
            </w:r>
          </w:p>
        </w:tc>
      </w:tr>
      <w:tr>
        <w:trPr>
          <w:trHeight w:val="472"/>
        </w:trPr>
        <w:tc>
          <w:tcPr>
            <w:tcW w:w="10400" w:type="dxa"/>
            <w:vAlign w:val="bottom"/>
          </w:tcPr>
          <w:p>
            <w:pPr>
              <w:ind w:left="240"/>
              <w:spacing w:after="0"/>
              <w:rPr>
                <w:sz w:val="20"/>
                <w:szCs w:val="20"/>
                <w:color w:val="auto"/>
              </w:rPr>
            </w:pPr>
            <w:r>
              <w:rPr>
                <w:rFonts w:ascii="Arial" w:cs="Arial" w:eastAsia="Arial" w:hAnsi="Arial"/>
                <w:sz w:val="18"/>
                <w:szCs w:val="18"/>
                <w:color w:val="0D0E10"/>
              </w:rPr>
              <w:t>Communications with the Board of Directors</w:t>
            </w:r>
          </w:p>
        </w:tc>
        <w:tc>
          <w:tcPr>
            <w:tcW w:w="800" w:type="dxa"/>
            <w:vAlign w:val="bottom"/>
          </w:tcPr>
          <w:p>
            <w:pPr>
              <w:jc w:val="right"/>
              <w:spacing w:after="0"/>
              <w:rPr>
                <w:sz w:val="20"/>
                <w:szCs w:val="20"/>
                <w:color w:val="auto"/>
              </w:rPr>
            </w:pPr>
            <w:r>
              <w:rPr>
                <w:rFonts w:ascii="Arial" w:cs="Arial" w:eastAsia="Arial" w:hAnsi="Arial"/>
                <w:sz w:val="18"/>
                <w:szCs w:val="18"/>
                <w:color w:val="0D0E10"/>
              </w:rPr>
              <w:t>20</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Corporate Governance Guidelines and Code of Business Conduct and Ethics</w:t>
            </w:r>
          </w:p>
        </w:tc>
        <w:tc>
          <w:tcPr>
            <w:tcW w:w="800" w:type="dxa"/>
            <w:vAlign w:val="bottom"/>
          </w:tcPr>
          <w:p>
            <w:pPr>
              <w:jc w:val="right"/>
              <w:spacing w:after="0"/>
              <w:rPr>
                <w:sz w:val="20"/>
                <w:szCs w:val="20"/>
                <w:color w:val="auto"/>
              </w:rPr>
            </w:pPr>
            <w:r>
              <w:rPr>
                <w:rFonts w:ascii="Arial" w:cs="Arial" w:eastAsia="Arial" w:hAnsi="Arial"/>
                <w:sz w:val="18"/>
                <w:szCs w:val="18"/>
                <w:color w:val="0D0E10"/>
              </w:rPr>
              <w:t>20</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Risk Management and Oversight of Risk Management</w:t>
            </w:r>
          </w:p>
        </w:tc>
        <w:tc>
          <w:tcPr>
            <w:tcW w:w="800" w:type="dxa"/>
            <w:vAlign w:val="bottom"/>
          </w:tcPr>
          <w:p>
            <w:pPr>
              <w:jc w:val="right"/>
              <w:spacing w:after="0"/>
              <w:rPr>
                <w:sz w:val="20"/>
                <w:szCs w:val="20"/>
                <w:color w:val="auto"/>
              </w:rPr>
            </w:pPr>
            <w:r>
              <w:rPr>
                <w:rFonts w:ascii="Arial" w:cs="Arial" w:eastAsia="Arial" w:hAnsi="Arial"/>
                <w:sz w:val="18"/>
                <w:szCs w:val="18"/>
                <w:color w:val="0D0E10"/>
              </w:rPr>
              <w:t>21</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Prohibition on Hedging, Short Sales, and Pledging</w:t>
            </w:r>
          </w:p>
        </w:tc>
        <w:tc>
          <w:tcPr>
            <w:tcW w:w="800" w:type="dxa"/>
            <w:vAlign w:val="bottom"/>
          </w:tcPr>
          <w:p>
            <w:pPr>
              <w:jc w:val="right"/>
              <w:spacing w:after="0"/>
              <w:rPr>
                <w:sz w:val="20"/>
                <w:szCs w:val="20"/>
                <w:color w:val="auto"/>
              </w:rPr>
            </w:pPr>
            <w:r>
              <w:rPr>
                <w:rFonts w:ascii="Arial" w:cs="Arial" w:eastAsia="Arial" w:hAnsi="Arial"/>
                <w:sz w:val="18"/>
                <w:szCs w:val="18"/>
                <w:color w:val="0D0E10"/>
              </w:rPr>
              <w:t>21</w:t>
            </w:r>
          </w:p>
        </w:tc>
      </w:tr>
      <w:tr>
        <w:trPr>
          <w:trHeight w:val="473"/>
        </w:trPr>
        <w:tc>
          <w:tcPr>
            <w:tcW w:w="10400" w:type="dxa"/>
            <w:vAlign w:val="bottom"/>
          </w:tcPr>
          <w:p>
            <w:pPr>
              <w:ind w:left="240"/>
              <w:spacing w:after="0"/>
              <w:rPr>
                <w:sz w:val="20"/>
                <w:szCs w:val="20"/>
                <w:color w:val="auto"/>
              </w:rPr>
            </w:pPr>
            <w:r>
              <w:rPr>
                <w:rFonts w:ascii="Arial" w:cs="Arial" w:eastAsia="Arial" w:hAnsi="Arial"/>
                <w:sz w:val="18"/>
                <w:szCs w:val="18"/>
                <w:color w:val="0D0E10"/>
              </w:rPr>
              <w:t>Non-Employee Director Compensation</w:t>
            </w:r>
          </w:p>
        </w:tc>
        <w:tc>
          <w:tcPr>
            <w:tcW w:w="800" w:type="dxa"/>
            <w:vAlign w:val="bottom"/>
          </w:tcPr>
          <w:p>
            <w:pPr>
              <w:jc w:val="right"/>
              <w:spacing w:after="0"/>
              <w:rPr>
                <w:sz w:val="20"/>
                <w:szCs w:val="20"/>
                <w:color w:val="auto"/>
              </w:rPr>
            </w:pPr>
            <w:r>
              <w:rPr>
                <w:rFonts w:ascii="Arial" w:cs="Arial" w:eastAsia="Arial" w:hAnsi="Arial"/>
                <w:sz w:val="18"/>
                <w:szCs w:val="18"/>
                <w:color w:val="0D0E10"/>
              </w:rPr>
              <w:t>22</w:t>
            </w:r>
          </w:p>
        </w:tc>
      </w:tr>
      <w:tr>
        <w:trPr>
          <w:trHeight w:val="473"/>
        </w:trPr>
        <w:tc>
          <w:tcPr>
            <w:tcW w:w="10400" w:type="dxa"/>
            <w:vAlign w:val="bottom"/>
          </w:tcPr>
          <w:p>
            <w:pPr>
              <w:spacing w:after="0"/>
              <w:rPr>
                <w:sz w:val="20"/>
                <w:szCs w:val="20"/>
                <w:color w:val="auto"/>
              </w:rPr>
            </w:pPr>
            <w:r>
              <w:rPr>
                <w:rFonts w:ascii="Arial" w:cs="Arial" w:eastAsia="Arial" w:hAnsi="Arial"/>
                <w:sz w:val="18"/>
                <w:szCs w:val="18"/>
                <w:color w:val="F06A6A"/>
              </w:rPr>
              <w:t>CORPORATE RESPONSIBILITY AND SUSTAINABILITY</w:t>
            </w:r>
          </w:p>
        </w:tc>
        <w:tc>
          <w:tcPr>
            <w:tcW w:w="800" w:type="dxa"/>
            <w:vAlign w:val="bottom"/>
          </w:tcPr>
          <w:p>
            <w:pPr>
              <w:jc w:val="right"/>
              <w:spacing w:after="0"/>
              <w:rPr>
                <w:sz w:val="20"/>
                <w:szCs w:val="20"/>
                <w:color w:val="auto"/>
              </w:rPr>
            </w:pPr>
            <w:r>
              <w:rPr>
                <w:rFonts w:ascii="Arial" w:cs="Arial" w:eastAsia="Arial" w:hAnsi="Arial"/>
                <w:sz w:val="18"/>
                <w:szCs w:val="18"/>
                <w:color w:val="F06A6A"/>
              </w:rPr>
              <w:t>27</w:t>
            </w:r>
          </w:p>
        </w:tc>
      </w:tr>
      <w:tr>
        <w:trPr>
          <w:trHeight w:val="378"/>
        </w:trPr>
        <w:tc>
          <w:tcPr>
            <w:tcW w:w="10400" w:type="dxa"/>
            <w:vAlign w:val="bottom"/>
          </w:tcPr>
          <w:p>
            <w:pPr>
              <w:spacing w:after="0"/>
              <w:rPr>
                <w:sz w:val="20"/>
                <w:szCs w:val="20"/>
                <w:color w:val="auto"/>
              </w:rPr>
            </w:pPr>
            <w:r>
              <w:rPr>
                <w:rFonts w:ascii="Arial" w:cs="Arial" w:eastAsia="Arial" w:hAnsi="Arial"/>
                <w:sz w:val="18"/>
                <w:szCs w:val="18"/>
                <w:color w:val="F06A6A"/>
              </w:rPr>
              <w:t>PROPOSAL NO. 1: ELECTION OF DIRECTORS</w:t>
            </w:r>
          </w:p>
        </w:tc>
        <w:tc>
          <w:tcPr>
            <w:tcW w:w="800" w:type="dxa"/>
            <w:vAlign w:val="bottom"/>
          </w:tcPr>
          <w:p>
            <w:pPr>
              <w:jc w:val="right"/>
              <w:spacing w:after="0"/>
              <w:rPr>
                <w:sz w:val="20"/>
                <w:szCs w:val="20"/>
                <w:color w:val="auto"/>
              </w:rPr>
            </w:pPr>
            <w:r>
              <w:rPr>
                <w:rFonts w:ascii="Arial" w:cs="Arial" w:eastAsia="Arial" w:hAnsi="Arial"/>
                <w:sz w:val="18"/>
                <w:szCs w:val="18"/>
                <w:color w:val="F06A6A"/>
              </w:rPr>
              <w:t>33</w:t>
            </w:r>
          </w:p>
        </w:tc>
      </w:tr>
      <w:tr>
        <w:trPr>
          <w:trHeight w:val="580"/>
        </w:trPr>
        <w:tc>
          <w:tcPr>
            <w:tcW w:w="10400" w:type="dxa"/>
            <w:vAlign w:val="bottom"/>
          </w:tcPr>
          <w:p>
            <w:pPr>
              <w:ind w:left="240"/>
              <w:spacing w:after="0"/>
              <w:rPr>
                <w:sz w:val="20"/>
                <w:szCs w:val="20"/>
                <w:color w:val="auto"/>
              </w:rPr>
            </w:pPr>
            <w:r>
              <w:rPr>
                <w:rFonts w:ascii="Arial" w:cs="Arial" w:eastAsia="Arial" w:hAnsi="Arial"/>
                <w:sz w:val="18"/>
                <w:szCs w:val="18"/>
                <w:color w:val="0D0E10"/>
              </w:rPr>
              <w:t>Nominees</w:t>
            </w:r>
          </w:p>
        </w:tc>
        <w:tc>
          <w:tcPr>
            <w:tcW w:w="800" w:type="dxa"/>
            <w:vAlign w:val="bottom"/>
          </w:tcPr>
          <w:p>
            <w:pPr>
              <w:jc w:val="right"/>
              <w:spacing w:after="0"/>
              <w:rPr>
                <w:sz w:val="20"/>
                <w:szCs w:val="20"/>
                <w:color w:val="auto"/>
              </w:rPr>
            </w:pPr>
            <w:r>
              <w:rPr>
                <w:rFonts w:ascii="Arial" w:cs="Arial" w:eastAsia="Arial" w:hAnsi="Arial"/>
                <w:sz w:val="18"/>
                <w:szCs w:val="18"/>
                <w:color w:val="0D0E10"/>
              </w:rPr>
              <w:t>33</w:t>
            </w:r>
          </w:p>
        </w:tc>
      </w:tr>
      <w:tr>
        <w:trPr>
          <w:trHeight w:val="648"/>
        </w:trPr>
        <w:tc>
          <w:tcPr>
            <w:tcW w:w="10400" w:type="dxa"/>
            <w:vAlign w:val="bottom"/>
          </w:tcPr>
          <w:p>
            <w:pPr>
              <w:ind w:left="240"/>
              <w:spacing w:after="0"/>
              <w:rPr>
                <w:sz w:val="20"/>
                <w:szCs w:val="20"/>
                <w:color w:val="auto"/>
              </w:rPr>
            </w:pPr>
            <w:r>
              <w:rPr>
                <w:rFonts w:ascii="Arial" w:cs="Arial" w:eastAsia="Arial" w:hAnsi="Arial"/>
                <w:sz w:val="18"/>
                <w:szCs w:val="18"/>
                <w:color w:val="0D0E10"/>
              </w:rPr>
              <w:t>Vote Required</w:t>
            </w:r>
          </w:p>
        </w:tc>
        <w:tc>
          <w:tcPr>
            <w:tcW w:w="800" w:type="dxa"/>
            <w:vAlign w:val="bottom"/>
          </w:tcPr>
          <w:p>
            <w:pPr>
              <w:jc w:val="right"/>
              <w:spacing w:after="0"/>
              <w:rPr>
                <w:sz w:val="20"/>
                <w:szCs w:val="20"/>
                <w:color w:val="auto"/>
              </w:rPr>
            </w:pPr>
            <w:r>
              <w:rPr>
                <w:rFonts w:ascii="Arial" w:cs="Arial" w:eastAsia="Arial" w:hAnsi="Arial"/>
                <w:sz w:val="18"/>
                <w:szCs w:val="18"/>
                <w:color w:val="0D0E10"/>
              </w:rPr>
              <w:t>33</w:t>
            </w:r>
          </w:p>
        </w:tc>
      </w:tr>
      <w:tr>
        <w:trPr>
          <w:trHeight w:val="445"/>
        </w:trPr>
        <w:tc>
          <w:tcPr>
            <w:tcW w:w="10400" w:type="dxa"/>
            <w:vAlign w:val="bottom"/>
          </w:tcPr>
          <w:p>
            <w:pPr>
              <w:spacing w:after="0"/>
              <w:rPr>
                <w:sz w:val="20"/>
                <w:szCs w:val="20"/>
                <w:color w:val="auto"/>
              </w:rPr>
            </w:pPr>
            <w:r>
              <w:rPr>
                <w:rFonts w:ascii="Arial" w:cs="Arial" w:eastAsia="Arial" w:hAnsi="Arial"/>
                <w:sz w:val="18"/>
                <w:szCs w:val="18"/>
                <w:color w:val="F06A6A"/>
              </w:rPr>
              <w:t>PROPOSAL NO. 2: RATIFICATION OF APPOINTMENT OF INDEPENDENT REGISTERED PUBLIC ACCOUNTING FIRM</w:t>
            </w:r>
          </w:p>
        </w:tc>
        <w:tc>
          <w:tcPr>
            <w:tcW w:w="800" w:type="dxa"/>
            <w:vAlign w:val="bottom"/>
          </w:tcPr>
          <w:p>
            <w:pPr>
              <w:jc w:val="right"/>
              <w:spacing w:after="0"/>
              <w:rPr>
                <w:sz w:val="20"/>
                <w:szCs w:val="20"/>
                <w:color w:val="auto"/>
              </w:rPr>
            </w:pPr>
            <w:r>
              <w:rPr>
                <w:rFonts w:ascii="Arial" w:cs="Arial" w:eastAsia="Arial" w:hAnsi="Arial"/>
                <w:sz w:val="18"/>
                <w:szCs w:val="18"/>
                <w:color w:val="F06A6A"/>
              </w:rPr>
              <w:t>34</w:t>
            </w:r>
          </w:p>
        </w:tc>
      </w:tr>
      <w:tr>
        <w:trPr>
          <w:trHeight w:val="580"/>
        </w:trPr>
        <w:tc>
          <w:tcPr>
            <w:tcW w:w="10400" w:type="dxa"/>
            <w:vAlign w:val="bottom"/>
          </w:tcPr>
          <w:p>
            <w:pPr>
              <w:ind w:left="240"/>
              <w:spacing w:after="0"/>
              <w:rPr>
                <w:sz w:val="20"/>
                <w:szCs w:val="20"/>
                <w:color w:val="auto"/>
              </w:rPr>
            </w:pPr>
            <w:r>
              <w:rPr>
                <w:rFonts w:ascii="Arial" w:cs="Arial" w:eastAsia="Arial" w:hAnsi="Arial"/>
                <w:sz w:val="18"/>
                <w:szCs w:val="18"/>
                <w:color w:val="0D0E10"/>
              </w:rPr>
              <w:t>Audit and Related Fees</w:t>
            </w:r>
          </w:p>
        </w:tc>
        <w:tc>
          <w:tcPr>
            <w:tcW w:w="800" w:type="dxa"/>
            <w:vAlign w:val="bottom"/>
          </w:tcPr>
          <w:p>
            <w:pPr>
              <w:jc w:val="right"/>
              <w:spacing w:after="0"/>
              <w:rPr>
                <w:sz w:val="20"/>
                <w:szCs w:val="20"/>
                <w:color w:val="auto"/>
              </w:rPr>
            </w:pPr>
            <w:r>
              <w:rPr>
                <w:rFonts w:ascii="Arial" w:cs="Arial" w:eastAsia="Arial" w:hAnsi="Arial"/>
                <w:sz w:val="18"/>
                <w:szCs w:val="18"/>
                <w:color w:val="0D0E10"/>
              </w:rPr>
              <w:t>34</w:t>
            </w:r>
          </w:p>
        </w:tc>
      </w:tr>
      <w:tr>
        <w:trPr>
          <w:trHeight w:val="648"/>
        </w:trPr>
        <w:tc>
          <w:tcPr>
            <w:tcW w:w="10400" w:type="dxa"/>
            <w:vAlign w:val="bottom"/>
          </w:tcPr>
          <w:p>
            <w:pPr>
              <w:ind w:left="240"/>
              <w:spacing w:after="0"/>
              <w:rPr>
                <w:sz w:val="20"/>
                <w:szCs w:val="20"/>
                <w:color w:val="auto"/>
              </w:rPr>
            </w:pPr>
            <w:r>
              <w:rPr>
                <w:rFonts w:ascii="Arial" w:cs="Arial" w:eastAsia="Arial" w:hAnsi="Arial"/>
                <w:sz w:val="18"/>
                <w:szCs w:val="18"/>
                <w:color w:val="0D0E10"/>
              </w:rPr>
              <w:t>Auditor Independence</w:t>
            </w:r>
          </w:p>
        </w:tc>
        <w:tc>
          <w:tcPr>
            <w:tcW w:w="800" w:type="dxa"/>
            <w:vAlign w:val="bottom"/>
          </w:tcPr>
          <w:p>
            <w:pPr>
              <w:jc w:val="right"/>
              <w:spacing w:after="0"/>
              <w:rPr>
                <w:sz w:val="20"/>
                <w:szCs w:val="20"/>
                <w:color w:val="auto"/>
              </w:rPr>
            </w:pPr>
            <w:r>
              <w:rPr>
                <w:rFonts w:ascii="Arial" w:cs="Arial" w:eastAsia="Arial" w:hAnsi="Arial"/>
                <w:sz w:val="18"/>
                <w:szCs w:val="18"/>
                <w:color w:val="0D0E10"/>
              </w:rPr>
              <w:t>35</w:t>
            </w:r>
          </w:p>
        </w:tc>
      </w:tr>
      <w:tr>
        <w:trPr>
          <w:trHeight w:val="625"/>
        </w:trPr>
        <w:tc>
          <w:tcPr>
            <w:tcW w:w="10400" w:type="dxa"/>
            <w:vAlign w:val="bottom"/>
          </w:tcPr>
          <w:p>
            <w:pPr>
              <w:ind w:left="240"/>
              <w:spacing w:after="0"/>
              <w:rPr>
                <w:sz w:val="20"/>
                <w:szCs w:val="20"/>
                <w:color w:val="auto"/>
              </w:rPr>
            </w:pPr>
            <w:r>
              <w:rPr>
                <w:rFonts w:ascii="Arial" w:cs="Arial" w:eastAsia="Arial" w:hAnsi="Arial"/>
                <w:sz w:val="18"/>
                <w:szCs w:val="18"/>
                <w:color w:val="0D0E10"/>
              </w:rPr>
              <w:t>Audit Committee Policy on Pre-Approval of Audit and Permissible Non-Audit Services of Independent Registered Public</w:t>
            </w:r>
          </w:p>
        </w:tc>
        <w:tc>
          <w:tcPr>
            <w:tcW w:w="800" w:type="dxa"/>
            <w:vAlign w:val="bottom"/>
          </w:tcPr>
          <w:p>
            <w:pPr>
              <w:spacing w:after="0"/>
              <w:rPr>
                <w:sz w:val="24"/>
                <w:szCs w:val="24"/>
                <w:color w:val="auto"/>
              </w:rPr>
            </w:pPr>
          </w:p>
        </w:tc>
      </w:tr>
      <w:tr>
        <w:trPr>
          <w:trHeight w:val="239"/>
        </w:trPr>
        <w:tc>
          <w:tcPr>
            <w:tcW w:w="10400" w:type="dxa"/>
            <w:vAlign w:val="bottom"/>
          </w:tcPr>
          <w:p>
            <w:pPr>
              <w:ind w:left="240"/>
              <w:spacing w:after="0"/>
              <w:rPr>
                <w:sz w:val="20"/>
                <w:szCs w:val="20"/>
                <w:color w:val="auto"/>
              </w:rPr>
            </w:pPr>
            <w:r>
              <w:rPr>
                <w:rFonts w:ascii="Arial" w:cs="Arial" w:eastAsia="Arial" w:hAnsi="Arial"/>
                <w:sz w:val="18"/>
                <w:szCs w:val="18"/>
                <w:color w:val="0D0E10"/>
              </w:rPr>
              <w:t>Accounting Firm</w:t>
            </w:r>
          </w:p>
        </w:tc>
        <w:tc>
          <w:tcPr>
            <w:tcW w:w="800" w:type="dxa"/>
            <w:vAlign w:val="bottom"/>
          </w:tcPr>
          <w:p>
            <w:pPr>
              <w:jc w:val="right"/>
              <w:spacing w:after="0"/>
              <w:rPr>
                <w:sz w:val="20"/>
                <w:szCs w:val="20"/>
                <w:color w:val="auto"/>
              </w:rPr>
            </w:pPr>
            <w:r>
              <w:rPr>
                <w:rFonts w:ascii="Arial" w:cs="Arial" w:eastAsia="Arial" w:hAnsi="Arial"/>
                <w:sz w:val="18"/>
                <w:szCs w:val="18"/>
                <w:color w:val="0D0E10"/>
              </w:rPr>
              <w:t>35</w:t>
            </w:r>
          </w:p>
        </w:tc>
      </w:tr>
      <w:tr>
        <w:trPr>
          <w:trHeight w:val="648"/>
        </w:trPr>
        <w:tc>
          <w:tcPr>
            <w:tcW w:w="10400" w:type="dxa"/>
            <w:vAlign w:val="bottom"/>
          </w:tcPr>
          <w:p>
            <w:pPr>
              <w:ind w:left="240"/>
              <w:spacing w:after="0"/>
              <w:rPr>
                <w:sz w:val="20"/>
                <w:szCs w:val="20"/>
                <w:color w:val="auto"/>
              </w:rPr>
            </w:pPr>
            <w:r>
              <w:rPr>
                <w:rFonts w:ascii="Arial" w:cs="Arial" w:eastAsia="Arial" w:hAnsi="Arial"/>
                <w:sz w:val="18"/>
                <w:szCs w:val="18"/>
                <w:color w:val="0D0E10"/>
              </w:rPr>
              <w:t>Vote Required</w:t>
            </w:r>
          </w:p>
        </w:tc>
        <w:tc>
          <w:tcPr>
            <w:tcW w:w="800" w:type="dxa"/>
            <w:vAlign w:val="bottom"/>
          </w:tcPr>
          <w:p>
            <w:pPr>
              <w:jc w:val="right"/>
              <w:spacing w:after="0"/>
              <w:rPr>
                <w:sz w:val="20"/>
                <w:szCs w:val="20"/>
                <w:color w:val="auto"/>
              </w:rPr>
            </w:pPr>
            <w:r>
              <w:rPr>
                <w:rFonts w:ascii="Arial" w:cs="Arial" w:eastAsia="Arial" w:hAnsi="Arial"/>
                <w:sz w:val="18"/>
                <w:szCs w:val="18"/>
                <w:color w:val="0D0E10"/>
              </w:rPr>
              <w:t>35</w:t>
            </w:r>
          </w:p>
        </w:tc>
      </w:tr>
      <w:tr>
        <w:trPr>
          <w:trHeight w:val="445"/>
        </w:trPr>
        <w:tc>
          <w:tcPr>
            <w:tcW w:w="10400" w:type="dxa"/>
            <w:vAlign w:val="bottom"/>
          </w:tcPr>
          <w:p>
            <w:pPr>
              <w:spacing w:after="0"/>
              <w:rPr>
                <w:sz w:val="20"/>
                <w:szCs w:val="20"/>
                <w:color w:val="auto"/>
              </w:rPr>
            </w:pPr>
            <w:r>
              <w:rPr>
                <w:rFonts w:ascii="Arial" w:cs="Arial" w:eastAsia="Arial" w:hAnsi="Arial"/>
                <w:sz w:val="18"/>
                <w:szCs w:val="18"/>
                <w:color w:val="F06A6A"/>
              </w:rPr>
              <w:t>REPORT OF THE AUDIT COMMITTEE</w:t>
            </w:r>
          </w:p>
        </w:tc>
        <w:tc>
          <w:tcPr>
            <w:tcW w:w="800" w:type="dxa"/>
            <w:vAlign w:val="bottom"/>
          </w:tcPr>
          <w:p>
            <w:pPr>
              <w:jc w:val="right"/>
              <w:spacing w:after="0"/>
              <w:rPr>
                <w:sz w:val="20"/>
                <w:szCs w:val="20"/>
                <w:color w:val="auto"/>
              </w:rPr>
            </w:pPr>
            <w:r>
              <w:rPr>
                <w:rFonts w:ascii="Arial" w:cs="Arial" w:eastAsia="Arial" w:hAnsi="Arial"/>
                <w:sz w:val="18"/>
                <w:szCs w:val="18"/>
                <w:color w:val="F06A6A"/>
              </w:rPr>
              <w:t>36</w:t>
            </w:r>
          </w:p>
        </w:tc>
      </w:tr>
      <w:tr>
        <w:trPr>
          <w:trHeight w:val="378"/>
        </w:trPr>
        <w:tc>
          <w:tcPr>
            <w:tcW w:w="10400" w:type="dxa"/>
            <w:vAlign w:val="bottom"/>
          </w:tcPr>
          <w:p>
            <w:pPr>
              <w:spacing w:after="0"/>
              <w:rPr>
                <w:sz w:val="20"/>
                <w:szCs w:val="20"/>
                <w:color w:val="auto"/>
              </w:rPr>
            </w:pPr>
            <w:r>
              <w:rPr>
                <w:rFonts w:ascii="Arial" w:cs="Arial" w:eastAsia="Arial" w:hAnsi="Arial"/>
                <w:sz w:val="18"/>
                <w:szCs w:val="18"/>
                <w:color w:val="F06A6A"/>
              </w:rPr>
              <w:t>PROPOSAL NO. 3: ADVISORY VOTE ON THE COMPENSATION OF NAMED EXECUTIVE OFFICERS</w:t>
            </w:r>
          </w:p>
        </w:tc>
        <w:tc>
          <w:tcPr>
            <w:tcW w:w="800" w:type="dxa"/>
            <w:vAlign w:val="bottom"/>
          </w:tcPr>
          <w:p>
            <w:pPr>
              <w:jc w:val="right"/>
              <w:spacing w:after="0"/>
              <w:rPr>
                <w:sz w:val="20"/>
                <w:szCs w:val="20"/>
                <w:color w:val="auto"/>
              </w:rPr>
            </w:pPr>
            <w:r>
              <w:rPr>
                <w:rFonts w:ascii="Arial" w:cs="Arial" w:eastAsia="Arial" w:hAnsi="Arial"/>
                <w:sz w:val="18"/>
                <w:szCs w:val="18"/>
                <w:color w:val="F06A6A"/>
              </w:rPr>
              <w:t>37</w:t>
            </w:r>
          </w:p>
        </w:tc>
      </w:tr>
      <w:tr>
        <w:trPr>
          <w:trHeight w:val="378"/>
        </w:trPr>
        <w:tc>
          <w:tcPr>
            <w:tcW w:w="10400" w:type="dxa"/>
            <w:vAlign w:val="bottom"/>
          </w:tcPr>
          <w:p>
            <w:pPr>
              <w:ind w:left="240"/>
              <w:spacing w:after="0"/>
              <w:rPr>
                <w:sz w:val="20"/>
                <w:szCs w:val="20"/>
                <w:color w:val="auto"/>
              </w:rPr>
            </w:pPr>
            <w:r>
              <w:rPr>
                <w:rFonts w:ascii="Arial" w:cs="Arial" w:eastAsia="Arial" w:hAnsi="Arial"/>
                <w:sz w:val="18"/>
                <w:szCs w:val="18"/>
                <w:color w:val="0D0E10"/>
              </w:rPr>
              <w:t>Vote Required</w:t>
            </w:r>
          </w:p>
        </w:tc>
        <w:tc>
          <w:tcPr>
            <w:tcW w:w="800" w:type="dxa"/>
            <w:vAlign w:val="bottom"/>
          </w:tcPr>
          <w:p>
            <w:pPr>
              <w:jc w:val="right"/>
              <w:spacing w:after="0"/>
              <w:rPr>
                <w:sz w:val="20"/>
                <w:szCs w:val="20"/>
                <w:color w:val="auto"/>
              </w:rPr>
            </w:pPr>
            <w:r>
              <w:rPr>
                <w:rFonts w:ascii="Arial" w:cs="Arial" w:eastAsia="Arial" w:hAnsi="Arial"/>
                <w:sz w:val="18"/>
                <w:szCs w:val="18"/>
                <w:color w:val="0D0E10"/>
              </w:rPr>
              <w:t>38</w:t>
            </w:r>
          </w:p>
        </w:tc>
      </w:tr>
      <w:tr>
        <w:trPr>
          <w:trHeight w:val="473"/>
        </w:trPr>
        <w:tc>
          <w:tcPr>
            <w:tcW w:w="10400" w:type="dxa"/>
            <w:vAlign w:val="bottom"/>
          </w:tcPr>
          <w:p>
            <w:pPr>
              <w:spacing w:after="0"/>
              <w:rPr>
                <w:sz w:val="20"/>
                <w:szCs w:val="20"/>
                <w:color w:val="auto"/>
              </w:rPr>
            </w:pPr>
            <w:r>
              <w:rPr>
                <w:rFonts w:ascii="Arial" w:cs="Arial" w:eastAsia="Arial" w:hAnsi="Arial"/>
                <w:sz w:val="18"/>
                <w:szCs w:val="18"/>
                <w:color w:val="F06A6A"/>
              </w:rPr>
              <w:t>EXECUTIVE OFFICERS</w:t>
            </w:r>
          </w:p>
        </w:tc>
        <w:tc>
          <w:tcPr>
            <w:tcW w:w="800" w:type="dxa"/>
            <w:vAlign w:val="bottom"/>
          </w:tcPr>
          <w:p>
            <w:pPr>
              <w:jc w:val="right"/>
              <w:spacing w:after="0"/>
              <w:rPr>
                <w:sz w:val="20"/>
                <w:szCs w:val="20"/>
                <w:color w:val="auto"/>
              </w:rPr>
            </w:pPr>
            <w:r>
              <w:rPr>
                <w:rFonts w:ascii="Arial" w:cs="Arial" w:eastAsia="Arial" w:hAnsi="Arial"/>
                <w:sz w:val="18"/>
                <w:szCs w:val="18"/>
                <w:color w:val="F06A6A"/>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721995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88" w:right="359" w:bottom="780" w:gutter="0" w:footer="0" w:header="0"/>
        </w:sectPr>
      </w:pPr>
    </w:p>
    <w:bookmarkStart w:id="4" w:name="page5"/>
    <w:bookmarkEnd w:id="4"/>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780" w:type="dxa"/>
            <w:vAlign w:val="bottom"/>
          </w:tcPr>
          <w:p>
            <w:pPr>
              <w:ind w:left="20"/>
              <w:spacing w:after="0"/>
              <w:rPr>
                <w:sz w:val="20"/>
                <w:szCs w:val="20"/>
                <w:color w:val="auto"/>
              </w:rPr>
            </w:pPr>
            <w:r>
              <w:rPr>
                <w:rFonts w:ascii="Arial" w:cs="Arial" w:eastAsia="Arial" w:hAnsi="Arial"/>
                <w:sz w:val="18"/>
                <w:szCs w:val="18"/>
                <w:color w:val="F06A6A"/>
              </w:rPr>
              <w:t>EXECUTIVE COMPENSATION</w:t>
            </w:r>
          </w:p>
        </w:tc>
        <w:tc>
          <w:tcPr>
            <w:tcW w:w="460" w:type="dxa"/>
            <w:vAlign w:val="bottom"/>
          </w:tcPr>
          <w:p>
            <w:pPr>
              <w:jc w:val="right"/>
              <w:spacing w:after="0"/>
              <w:rPr>
                <w:sz w:val="20"/>
                <w:szCs w:val="20"/>
                <w:color w:val="auto"/>
              </w:rPr>
            </w:pPr>
            <w:r>
              <w:rPr>
                <w:rFonts w:ascii="Arial" w:cs="Arial" w:eastAsia="Arial" w:hAnsi="Arial"/>
                <w:sz w:val="18"/>
                <w:szCs w:val="18"/>
                <w:color w:val="F06A6A"/>
              </w:rPr>
              <w:t>41</w:t>
            </w:r>
          </w:p>
        </w:tc>
      </w:tr>
      <w:tr>
        <w:trPr>
          <w:trHeight w:val="378"/>
        </w:trPr>
        <w:tc>
          <w:tcPr>
            <w:tcW w:w="10780" w:type="dxa"/>
            <w:vAlign w:val="bottom"/>
          </w:tcPr>
          <w:p>
            <w:pPr>
              <w:ind w:left="260"/>
              <w:spacing w:after="0"/>
              <w:rPr>
                <w:sz w:val="20"/>
                <w:szCs w:val="20"/>
                <w:color w:val="auto"/>
              </w:rPr>
            </w:pPr>
            <w:r>
              <w:rPr>
                <w:rFonts w:ascii="Arial" w:cs="Arial" w:eastAsia="Arial" w:hAnsi="Arial"/>
                <w:sz w:val="18"/>
                <w:szCs w:val="18"/>
                <w:color w:val="0D0E10"/>
              </w:rPr>
              <w:t>Compensation Discussion and Analysis</w:t>
            </w:r>
          </w:p>
        </w:tc>
        <w:tc>
          <w:tcPr>
            <w:tcW w:w="460" w:type="dxa"/>
            <w:vAlign w:val="bottom"/>
          </w:tcPr>
          <w:p>
            <w:pPr>
              <w:jc w:val="right"/>
              <w:spacing w:after="0"/>
              <w:rPr>
                <w:sz w:val="20"/>
                <w:szCs w:val="20"/>
                <w:color w:val="auto"/>
              </w:rPr>
            </w:pPr>
            <w:r>
              <w:rPr>
                <w:rFonts w:ascii="Arial" w:cs="Arial" w:eastAsia="Arial" w:hAnsi="Arial"/>
                <w:sz w:val="18"/>
                <w:szCs w:val="18"/>
                <w:color w:val="0D0E10"/>
              </w:rPr>
              <w:t>41</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Executive Summary</w:t>
            </w:r>
          </w:p>
        </w:tc>
        <w:tc>
          <w:tcPr>
            <w:tcW w:w="460" w:type="dxa"/>
            <w:vAlign w:val="bottom"/>
          </w:tcPr>
          <w:p>
            <w:pPr>
              <w:jc w:val="right"/>
              <w:spacing w:after="0"/>
              <w:rPr>
                <w:sz w:val="20"/>
                <w:szCs w:val="20"/>
                <w:color w:val="auto"/>
              </w:rPr>
            </w:pPr>
            <w:r>
              <w:rPr>
                <w:rFonts w:ascii="Arial" w:cs="Arial" w:eastAsia="Arial" w:hAnsi="Arial"/>
                <w:sz w:val="18"/>
                <w:szCs w:val="18"/>
                <w:color w:val="0D0E10"/>
              </w:rPr>
              <w:t>41</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Our Approach to Executive Compensation</w:t>
            </w:r>
          </w:p>
        </w:tc>
        <w:tc>
          <w:tcPr>
            <w:tcW w:w="460" w:type="dxa"/>
            <w:vAlign w:val="bottom"/>
          </w:tcPr>
          <w:p>
            <w:pPr>
              <w:jc w:val="right"/>
              <w:spacing w:after="0"/>
              <w:rPr>
                <w:sz w:val="20"/>
                <w:szCs w:val="20"/>
                <w:color w:val="auto"/>
              </w:rPr>
            </w:pPr>
            <w:r>
              <w:rPr>
                <w:rFonts w:ascii="Arial" w:cs="Arial" w:eastAsia="Arial" w:hAnsi="Arial"/>
                <w:sz w:val="18"/>
                <w:szCs w:val="18"/>
                <w:color w:val="0D0E10"/>
              </w:rPr>
              <w:t>42</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Summary Compensation Table for Fiscal Year 2024</w:t>
            </w:r>
          </w:p>
        </w:tc>
        <w:tc>
          <w:tcPr>
            <w:tcW w:w="460" w:type="dxa"/>
            <w:vAlign w:val="bottom"/>
          </w:tcPr>
          <w:p>
            <w:pPr>
              <w:jc w:val="right"/>
              <w:spacing w:after="0"/>
              <w:rPr>
                <w:sz w:val="20"/>
                <w:szCs w:val="20"/>
                <w:color w:val="auto"/>
              </w:rPr>
            </w:pPr>
            <w:r>
              <w:rPr>
                <w:rFonts w:ascii="Arial" w:cs="Arial" w:eastAsia="Arial" w:hAnsi="Arial"/>
                <w:sz w:val="18"/>
                <w:szCs w:val="18"/>
                <w:color w:val="0D0E10"/>
              </w:rPr>
              <w:t>51</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Grants of Plan Based Awards Table for Fiscal Year 2024</w:t>
            </w:r>
          </w:p>
        </w:tc>
        <w:tc>
          <w:tcPr>
            <w:tcW w:w="460" w:type="dxa"/>
            <w:vAlign w:val="bottom"/>
          </w:tcPr>
          <w:p>
            <w:pPr>
              <w:jc w:val="right"/>
              <w:spacing w:after="0"/>
              <w:rPr>
                <w:sz w:val="20"/>
                <w:szCs w:val="20"/>
                <w:color w:val="auto"/>
              </w:rPr>
            </w:pPr>
            <w:r>
              <w:rPr>
                <w:rFonts w:ascii="Arial" w:cs="Arial" w:eastAsia="Arial" w:hAnsi="Arial"/>
                <w:sz w:val="18"/>
                <w:szCs w:val="18"/>
                <w:color w:val="0D0E10"/>
              </w:rPr>
              <w:t>52</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Outstanding Equity Awards at Fiscal Year-End Table for Fiscal Year 2024</w:t>
            </w:r>
          </w:p>
        </w:tc>
        <w:tc>
          <w:tcPr>
            <w:tcW w:w="460" w:type="dxa"/>
            <w:vAlign w:val="bottom"/>
          </w:tcPr>
          <w:p>
            <w:pPr>
              <w:jc w:val="right"/>
              <w:spacing w:after="0"/>
              <w:rPr>
                <w:sz w:val="20"/>
                <w:szCs w:val="20"/>
                <w:color w:val="auto"/>
              </w:rPr>
            </w:pPr>
            <w:r>
              <w:rPr>
                <w:rFonts w:ascii="Arial" w:cs="Arial" w:eastAsia="Arial" w:hAnsi="Arial"/>
                <w:sz w:val="18"/>
                <w:szCs w:val="18"/>
                <w:color w:val="0D0E10"/>
              </w:rPr>
              <w:t>53</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Option Exercises and Stock Vested Table for Fiscal Year 2024</w:t>
            </w:r>
          </w:p>
        </w:tc>
        <w:tc>
          <w:tcPr>
            <w:tcW w:w="460" w:type="dxa"/>
            <w:vAlign w:val="bottom"/>
          </w:tcPr>
          <w:p>
            <w:pPr>
              <w:jc w:val="right"/>
              <w:spacing w:after="0"/>
              <w:rPr>
                <w:sz w:val="20"/>
                <w:szCs w:val="20"/>
                <w:color w:val="auto"/>
              </w:rPr>
            </w:pPr>
            <w:r>
              <w:rPr>
                <w:rFonts w:ascii="Arial" w:cs="Arial" w:eastAsia="Arial" w:hAnsi="Arial"/>
                <w:sz w:val="18"/>
                <w:szCs w:val="18"/>
                <w:color w:val="0D0E10"/>
              </w:rPr>
              <w:t>55</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Nonqualified Deferred Compensation Table for Fiscal Year 2024</w:t>
            </w:r>
          </w:p>
        </w:tc>
        <w:tc>
          <w:tcPr>
            <w:tcW w:w="460" w:type="dxa"/>
            <w:vAlign w:val="bottom"/>
          </w:tcPr>
          <w:p>
            <w:pPr>
              <w:jc w:val="right"/>
              <w:spacing w:after="0"/>
              <w:rPr>
                <w:sz w:val="20"/>
                <w:szCs w:val="20"/>
                <w:color w:val="auto"/>
              </w:rPr>
            </w:pPr>
            <w:r>
              <w:rPr>
                <w:rFonts w:ascii="Arial" w:cs="Arial" w:eastAsia="Arial" w:hAnsi="Arial"/>
                <w:sz w:val="18"/>
                <w:szCs w:val="18"/>
                <w:color w:val="0D0E10"/>
              </w:rPr>
              <w:t>56</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Employment, Severance, and Change of Control Arrangements</w:t>
            </w:r>
          </w:p>
        </w:tc>
        <w:tc>
          <w:tcPr>
            <w:tcW w:w="460" w:type="dxa"/>
            <w:vAlign w:val="bottom"/>
          </w:tcPr>
          <w:p>
            <w:pPr>
              <w:jc w:val="right"/>
              <w:spacing w:after="0"/>
              <w:rPr>
                <w:sz w:val="20"/>
                <w:szCs w:val="20"/>
                <w:color w:val="auto"/>
              </w:rPr>
            </w:pPr>
            <w:r>
              <w:rPr>
                <w:rFonts w:ascii="Arial" w:cs="Arial" w:eastAsia="Arial" w:hAnsi="Arial"/>
                <w:sz w:val="18"/>
                <w:szCs w:val="18"/>
                <w:color w:val="0D0E10"/>
              </w:rPr>
              <w:t>57</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Potential Payments upon Termination or Change in Control</w:t>
            </w:r>
          </w:p>
        </w:tc>
        <w:tc>
          <w:tcPr>
            <w:tcW w:w="460" w:type="dxa"/>
            <w:vAlign w:val="bottom"/>
          </w:tcPr>
          <w:p>
            <w:pPr>
              <w:jc w:val="right"/>
              <w:spacing w:after="0"/>
              <w:rPr>
                <w:sz w:val="20"/>
                <w:szCs w:val="20"/>
                <w:color w:val="auto"/>
              </w:rPr>
            </w:pPr>
            <w:r>
              <w:rPr>
                <w:rFonts w:ascii="Arial" w:cs="Arial" w:eastAsia="Arial" w:hAnsi="Arial"/>
                <w:sz w:val="18"/>
                <w:szCs w:val="18"/>
                <w:color w:val="0D0E10"/>
              </w:rPr>
              <w:t>58</w:t>
            </w:r>
          </w:p>
        </w:tc>
      </w:tr>
      <w:tr>
        <w:trPr>
          <w:trHeight w:val="472"/>
        </w:trPr>
        <w:tc>
          <w:tcPr>
            <w:tcW w:w="10780" w:type="dxa"/>
            <w:vAlign w:val="bottom"/>
          </w:tcPr>
          <w:p>
            <w:pPr>
              <w:ind w:left="20"/>
              <w:spacing w:after="0"/>
              <w:rPr>
                <w:sz w:val="20"/>
                <w:szCs w:val="20"/>
                <w:color w:val="auto"/>
              </w:rPr>
            </w:pPr>
            <w:r>
              <w:rPr>
                <w:rFonts w:ascii="Arial" w:cs="Arial" w:eastAsia="Arial" w:hAnsi="Arial"/>
                <w:sz w:val="18"/>
                <w:szCs w:val="18"/>
                <w:color w:val="F06A6A"/>
              </w:rPr>
              <w:t>REPORT OF THE COMPENSATION COMMITTEE</w:t>
            </w:r>
          </w:p>
        </w:tc>
        <w:tc>
          <w:tcPr>
            <w:tcW w:w="460" w:type="dxa"/>
            <w:vAlign w:val="bottom"/>
          </w:tcPr>
          <w:p>
            <w:pPr>
              <w:jc w:val="right"/>
              <w:spacing w:after="0"/>
              <w:rPr>
                <w:sz w:val="20"/>
                <w:szCs w:val="20"/>
                <w:color w:val="auto"/>
              </w:rPr>
            </w:pPr>
            <w:r>
              <w:rPr>
                <w:rFonts w:ascii="Arial" w:cs="Arial" w:eastAsia="Arial" w:hAnsi="Arial"/>
                <w:sz w:val="18"/>
                <w:szCs w:val="18"/>
                <w:color w:val="F06A6A"/>
              </w:rPr>
              <w:t>60</w:t>
            </w:r>
          </w:p>
        </w:tc>
      </w:tr>
      <w:tr>
        <w:trPr>
          <w:trHeight w:val="378"/>
        </w:trPr>
        <w:tc>
          <w:tcPr>
            <w:tcW w:w="10780" w:type="dxa"/>
            <w:vAlign w:val="bottom"/>
          </w:tcPr>
          <w:p>
            <w:pPr>
              <w:ind w:left="20"/>
              <w:spacing w:after="0"/>
              <w:rPr>
                <w:sz w:val="20"/>
                <w:szCs w:val="20"/>
                <w:color w:val="auto"/>
              </w:rPr>
            </w:pPr>
            <w:r>
              <w:rPr>
                <w:rFonts w:ascii="Arial" w:cs="Arial" w:eastAsia="Arial" w:hAnsi="Arial"/>
                <w:sz w:val="18"/>
                <w:szCs w:val="18"/>
                <w:color w:val="F06A6A"/>
              </w:rPr>
              <w:t>EQUITY COMPENSATION PLAN INFORMATION</w:t>
            </w:r>
          </w:p>
        </w:tc>
        <w:tc>
          <w:tcPr>
            <w:tcW w:w="460" w:type="dxa"/>
            <w:vAlign w:val="bottom"/>
          </w:tcPr>
          <w:p>
            <w:pPr>
              <w:jc w:val="right"/>
              <w:spacing w:after="0"/>
              <w:rPr>
                <w:sz w:val="20"/>
                <w:szCs w:val="20"/>
                <w:color w:val="auto"/>
              </w:rPr>
            </w:pPr>
            <w:r>
              <w:rPr>
                <w:rFonts w:ascii="Arial" w:cs="Arial" w:eastAsia="Arial" w:hAnsi="Arial"/>
                <w:sz w:val="18"/>
                <w:szCs w:val="18"/>
                <w:color w:val="F06A6A"/>
              </w:rPr>
              <w:t>61</w:t>
            </w:r>
          </w:p>
        </w:tc>
      </w:tr>
      <w:tr>
        <w:trPr>
          <w:trHeight w:val="378"/>
        </w:trPr>
        <w:tc>
          <w:tcPr>
            <w:tcW w:w="10780" w:type="dxa"/>
            <w:vAlign w:val="bottom"/>
          </w:tcPr>
          <w:p>
            <w:pPr>
              <w:ind w:left="20"/>
              <w:spacing w:after="0"/>
              <w:rPr>
                <w:sz w:val="20"/>
                <w:szCs w:val="20"/>
                <w:color w:val="auto"/>
              </w:rPr>
            </w:pPr>
            <w:r>
              <w:rPr>
                <w:rFonts w:ascii="Arial" w:cs="Arial" w:eastAsia="Arial" w:hAnsi="Arial"/>
                <w:sz w:val="18"/>
                <w:szCs w:val="18"/>
                <w:color w:val="F06A6A"/>
              </w:rPr>
              <w:t>SECURITY OWNERSHIP OF CERTAIN BENEFICIAL OWNERS AND MANAGEMENT AND RELATED STOCKHOLDER MATTERS</w:t>
            </w:r>
          </w:p>
        </w:tc>
        <w:tc>
          <w:tcPr>
            <w:tcW w:w="460" w:type="dxa"/>
            <w:vAlign w:val="bottom"/>
          </w:tcPr>
          <w:p>
            <w:pPr>
              <w:jc w:val="right"/>
              <w:spacing w:after="0"/>
              <w:rPr>
                <w:sz w:val="20"/>
                <w:szCs w:val="20"/>
                <w:color w:val="auto"/>
              </w:rPr>
            </w:pPr>
            <w:r>
              <w:rPr>
                <w:rFonts w:ascii="Arial" w:cs="Arial" w:eastAsia="Arial" w:hAnsi="Arial"/>
                <w:sz w:val="18"/>
                <w:szCs w:val="18"/>
                <w:color w:val="F06A6A"/>
              </w:rPr>
              <w:t>62</w:t>
            </w:r>
          </w:p>
        </w:tc>
      </w:tr>
      <w:tr>
        <w:trPr>
          <w:trHeight w:val="378"/>
        </w:trPr>
        <w:tc>
          <w:tcPr>
            <w:tcW w:w="10780" w:type="dxa"/>
            <w:vAlign w:val="bottom"/>
          </w:tcPr>
          <w:p>
            <w:pPr>
              <w:ind w:left="20"/>
              <w:spacing w:after="0"/>
              <w:rPr>
                <w:sz w:val="20"/>
                <w:szCs w:val="20"/>
                <w:color w:val="auto"/>
              </w:rPr>
            </w:pPr>
            <w:r>
              <w:rPr>
                <w:rFonts w:ascii="Arial" w:cs="Arial" w:eastAsia="Arial" w:hAnsi="Arial"/>
                <w:sz w:val="18"/>
                <w:szCs w:val="18"/>
                <w:color w:val="F06A6A"/>
              </w:rPr>
              <w:t>CEO PAY RATIO</w:t>
            </w:r>
          </w:p>
        </w:tc>
        <w:tc>
          <w:tcPr>
            <w:tcW w:w="460" w:type="dxa"/>
            <w:vAlign w:val="bottom"/>
          </w:tcPr>
          <w:p>
            <w:pPr>
              <w:jc w:val="right"/>
              <w:spacing w:after="0"/>
              <w:rPr>
                <w:sz w:val="20"/>
                <w:szCs w:val="20"/>
                <w:color w:val="auto"/>
              </w:rPr>
            </w:pPr>
            <w:r>
              <w:rPr>
                <w:rFonts w:ascii="Arial" w:cs="Arial" w:eastAsia="Arial" w:hAnsi="Arial"/>
                <w:sz w:val="18"/>
                <w:szCs w:val="18"/>
                <w:color w:val="F06A6A"/>
              </w:rPr>
              <w:t>65</w:t>
            </w:r>
          </w:p>
        </w:tc>
      </w:tr>
      <w:tr>
        <w:trPr>
          <w:trHeight w:val="378"/>
        </w:trPr>
        <w:tc>
          <w:tcPr>
            <w:tcW w:w="10780" w:type="dxa"/>
            <w:vAlign w:val="bottom"/>
          </w:tcPr>
          <w:p>
            <w:pPr>
              <w:ind w:left="260"/>
              <w:spacing w:after="0"/>
              <w:rPr>
                <w:sz w:val="20"/>
                <w:szCs w:val="20"/>
                <w:color w:val="auto"/>
              </w:rPr>
            </w:pPr>
            <w:r>
              <w:rPr>
                <w:rFonts w:ascii="Arial" w:cs="Arial" w:eastAsia="Arial" w:hAnsi="Arial"/>
                <w:sz w:val="18"/>
                <w:szCs w:val="18"/>
                <w:color w:val="0D0E10"/>
              </w:rPr>
              <w:t>CEO Pay Ratio Results for Fiscal Year 2024</w:t>
            </w:r>
          </w:p>
        </w:tc>
        <w:tc>
          <w:tcPr>
            <w:tcW w:w="460" w:type="dxa"/>
            <w:vAlign w:val="bottom"/>
          </w:tcPr>
          <w:p>
            <w:pPr>
              <w:jc w:val="right"/>
              <w:spacing w:after="0"/>
              <w:rPr>
                <w:sz w:val="20"/>
                <w:szCs w:val="20"/>
                <w:color w:val="auto"/>
              </w:rPr>
            </w:pPr>
            <w:r>
              <w:rPr>
                <w:rFonts w:ascii="Arial" w:cs="Arial" w:eastAsia="Arial" w:hAnsi="Arial"/>
                <w:sz w:val="18"/>
                <w:szCs w:val="18"/>
                <w:color w:val="0D0E10"/>
              </w:rPr>
              <w:t>65</w:t>
            </w:r>
          </w:p>
        </w:tc>
      </w:tr>
      <w:tr>
        <w:trPr>
          <w:trHeight w:val="472"/>
        </w:trPr>
        <w:tc>
          <w:tcPr>
            <w:tcW w:w="10780" w:type="dxa"/>
            <w:vAlign w:val="bottom"/>
          </w:tcPr>
          <w:p>
            <w:pPr>
              <w:ind w:left="20"/>
              <w:spacing w:after="0"/>
              <w:rPr>
                <w:sz w:val="20"/>
                <w:szCs w:val="20"/>
                <w:color w:val="auto"/>
              </w:rPr>
            </w:pPr>
            <w:r>
              <w:rPr>
                <w:rFonts w:ascii="Arial" w:cs="Arial" w:eastAsia="Arial" w:hAnsi="Arial"/>
                <w:sz w:val="18"/>
                <w:szCs w:val="18"/>
                <w:color w:val="F06A6A"/>
              </w:rPr>
              <w:t>PAY VERSUS PERFORMANCE</w:t>
            </w:r>
          </w:p>
        </w:tc>
        <w:tc>
          <w:tcPr>
            <w:tcW w:w="460" w:type="dxa"/>
            <w:vAlign w:val="bottom"/>
          </w:tcPr>
          <w:p>
            <w:pPr>
              <w:jc w:val="right"/>
              <w:spacing w:after="0"/>
              <w:rPr>
                <w:sz w:val="20"/>
                <w:szCs w:val="20"/>
                <w:color w:val="auto"/>
              </w:rPr>
            </w:pPr>
            <w:r>
              <w:rPr>
                <w:rFonts w:ascii="Arial" w:cs="Arial" w:eastAsia="Arial" w:hAnsi="Arial"/>
                <w:sz w:val="18"/>
                <w:szCs w:val="18"/>
                <w:color w:val="F06A6A"/>
              </w:rPr>
              <w:t>66</w:t>
            </w:r>
          </w:p>
        </w:tc>
      </w:tr>
      <w:tr>
        <w:trPr>
          <w:trHeight w:val="378"/>
        </w:trPr>
        <w:tc>
          <w:tcPr>
            <w:tcW w:w="10780" w:type="dxa"/>
            <w:vAlign w:val="bottom"/>
          </w:tcPr>
          <w:p>
            <w:pPr>
              <w:ind w:left="260"/>
              <w:spacing w:after="0"/>
              <w:rPr>
                <w:sz w:val="20"/>
                <w:szCs w:val="20"/>
                <w:color w:val="auto"/>
              </w:rPr>
            </w:pPr>
            <w:r>
              <w:rPr>
                <w:rFonts w:ascii="Arial" w:cs="Arial" w:eastAsia="Arial" w:hAnsi="Arial"/>
                <w:sz w:val="18"/>
                <w:szCs w:val="18"/>
                <w:color w:val="0D0E10"/>
              </w:rPr>
              <w:t>Pay Versus Performance Table</w:t>
            </w:r>
          </w:p>
        </w:tc>
        <w:tc>
          <w:tcPr>
            <w:tcW w:w="460" w:type="dxa"/>
            <w:vAlign w:val="bottom"/>
          </w:tcPr>
          <w:p>
            <w:pPr>
              <w:jc w:val="right"/>
              <w:spacing w:after="0"/>
              <w:rPr>
                <w:sz w:val="20"/>
                <w:szCs w:val="20"/>
                <w:color w:val="auto"/>
              </w:rPr>
            </w:pPr>
            <w:r>
              <w:rPr>
                <w:rFonts w:ascii="Arial" w:cs="Arial" w:eastAsia="Arial" w:hAnsi="Arial"/>
                <w:sz w:val="18"/>
                <w:szCs w:val="18"/>
                <w:color w:val="0D0E10"/>
              </w:rPr>
              <w:t>66</w:t>
            </w:r>
          </w:p>
        </w:tc>
      </w:tr>
      <w:tr>
        <w:trPr>
          <w:trHeight w:val="472"/>
        </w:trPr>
        <w:tc>
          <w:tcPr>
            <w:tcW w:w="10780" w:type="dxa"/>
            <w:vAlign w:val="bottom"/>
          </w:tcPr>
          <w:p>
            <w:pPr>
              <w:ind w:left="260"/>
              <w:spacing w:after="0"/>
              <w:rPr>
                <w:sz w:val="20"/>
                <w:szCs w:val="20"/>
                <w:color w:val="auto"/>
              </w:rPr>
            </w:pPr>
            <w:r>
              <w:rPr>
                <w:rFonts w:ascii="Arial" w:cs="Arial" w:eastAsia="Arial" w:hAnsi="Arial"/>
                <w:sz w:val="18"/>
                <w:szCs w:val="18"/>
                <w:color w:val="0D0E10"/>
              </w:rPr>
              <w:t>Most Important Financial Measures</w:t>
            </w:r>
          </w:p>
        </w:tc>
        <w:tc>
          <w:tcPr>
            <w:tcW w:w="460" w:type="dxa"/>
            <w:vAlign w:val="bottom"/>
          </w:tcPr>
          <w:p>
            <w:pPr>
              <w:jc w:val="right"/>
              <w:spacing w:after="0"/>
              <w:rPr>
                <w:sz w:val="20"/>
                <w:szCs w:val="20"/>
                <w:color w:val="auto"/>
              </w:rPr>
            </w:pPr>
            <w:r>
              <w:rPr>
                <w:rFonts w:ascii="Arial" w:cs="Arial" w:eastAsia="Arial" w:hAnsi="Arial"/>
                <w:sz w:val="18"/>
                <w:szCs w:val="18"/>
                <w:color w:val="0D0E10"/>
              </w:rPr>
              <w:t>68</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Relationship Between Pay and Performance</w:t>
            </w:r>
          </w:p>
        </w:tc>
        <w:tc>
          <w:tcPr>
            <w:tcW w:w="460" w:type="dxa"/>
            <w:vAlign w:val="bottom"/>
          </w:tcPr>
          <w:p>
            <w:pPr>
              <w:jc w:val="right"/>
              <w:spacing w:after="0"/>
              <w:rPr>
                <w:sz w:val="20"/>
                <w:szCs w:val="20"/>
                <w:color w:val="auto"/>
              </w:rPr>
            </w:pPr>
            <w:r>
              <w:rPr>
                <w:rFonts w:ascii="Arial" w:cs="Arial" w:eastAsia="Arial" w:hAnsi="Arial"/>
                <w:sz w:val="18"/>
                <w:szCs w:val="18"/>
                <w:color w:val="0D0E10"/>
              </w:rPr>
              <w:t>68</w:t>
            </w:r>
          </w:p>
        </w:tc>
      </w:tr>
      <w:tr>
        <w:trPr>
          <w:trHeight w:val="473"/>
        </w:trPr>
        <w:tc>
          <w:tcPr>
            <w:tcW w:w="10780" w:type="dxa"/>
            <w:vAlign w:val="bottom"/>
          </w:tcPr>
          <w:p>
            <w:pPr>
              <w:ind w:left="20"/>
              <w:spacing w:after="0"/>
              <w:rPr>
                <w:sz w:val="20"/>
                <w:szCs w:val="20"/>
                <w:color w:val="auto"/>
              </w:rPr>
            </w:pPr>
            <w:r>
              <w:rPr>
                <w:rFonts w:ascii="Arial" w:cs="Arial" w:eastAsia="Arial" w:hAnsi="Arial"/>
                <w:sz w:val="18"/>
                <w:szCs w:val="18"/>
                <w:color w:val="F06A6A"/>
              </w:rPr>
              <w:t>CERTAIN RELATIONSHIPS AND RELATED PERSON TRANSACTIONS</w:t>
            </w:r>
          </w:p>
        </w:tc>
        <w:tc>
          <w:tcPr>
            <w:tcW w:w="460" w:type="dxa"/>
            <w:vAlign w:val="bottom"/>
          </w:tcPr>
          <w:p>
            <w:pPr>
              <w:jc w:val="right"/>
              <w:spacing w:after="0"/>
              <w:rPr>
                <w:sz w:val="20"/>
                <w:szCs w:val="20"/>
                <w:color w:val="auto"/>
              </w:rPr>
            </w:pPr>
            <w:r>
              <w:rPr>
                <w:rFonts w:ascii="Arial" w:cs="Arial" w:eastAsia="Arial" w:hAnsi="Arial"/>
                <w:sz w:val="18"/>
                <w:szCs w:val="18"/>
                <w:color w:val="F06A6A"/>
              </w:rPr>
              <w:t>69</w:t>
            </w:r>
          </w:p>
        </w:tc>
      </w:tr>
      <w:tr>
        <w:trPr>
          <w:trHeight w:val="378"/>
        </w:trPr>
        <w:tc>
          <w:tcPr>
            <w:tcW w:w="10780" w:type="dxa"/>
            <w:vAlign w:val="bottom"/>
          </w:tcPr>
          <w:p>
            <w:pPr>
              <w:ind w:left="260"/>
              <w:spacing w:after="0"/>
              <w:rPr>
                <w:sz w:val="20"/>
                <w:szCs w:val="20"/>
                <w:color w:val="auto"/>
              </w:rPr>
            </w:pPr>
            <w:r>
              <w:rPr>
                <w:rFonts w:ascii="Arial" w:cs="Arial" w:eastAsia="Arial" w:hAnsi="Arial"/>
                <w:sz w:val="18"/>
                <w:szCs w:val="18"/>
                <w:color w:val="0D0E10"/>
              </w:rPr>
              <w:t>Policies and Procedures for Related Person Transactions</w:t>
            </w:r>
          </w:p>
        </w:tc>
        <w:tc>
          <w:tcPr>
            <w:tcW w:w="460" w:type="dxa"/>
            <w:vAlign w:val="bottom"/>
          </w:tcPr>
          <w:p>
            <w:pPr>
              <w:jc w:val="right"/>
              <w:spacing w:after="0"/>
              <w:rPr>
                <w:sz w:val="20"/>
                <w:szCs w:val="20"/>
                <w:color w:val="auto"/>
              </w:rPr>
            </w:pPr>
            <w:r>
              <w:rPr>
                <w:rFonts w:ascii="Arial" w:cs="Arial" w:eastAsia="Arial" w:hAnsi="Arial"/>
                <w:sz w:val="18"/>
                <w:szCs w:val="18"/>
                <w:color w:val="0D0E10"/>
              </w:rPr>
              <w:t>69</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auto"/>
              </w:rPr>
              <w:t>Indemnification Agreements</w:t>
            </w:r>
          </w:p>
        </w:tc>
        <w:tc>
          <w:tcPr>
            <w:tcW w:w="460" w:type="dxa"/>
            <w:vAlign w:val="bottom"/>
          </w:tcPr>
          <w:p>
            <w:pPr>
              <w:jc w:val="right"/>
              <w:spacing w:after="0"/>
              <w:rPr>
                <w:sz w:val="20"/>
                <w:szCs w:val="20"/>
                <w:color w:val="auto"/>
              </w:rPr>
            </w:pPr>
            <w:r>
              <w:rPr>
                <w:rFonts w:ascii="Arial" w:cs="Arial" w:eastAsia="Arial" w:hAnsi="Arial"/>
                <w:sz w:val="18"/>
                <w:szCs w:val="18"/>
                <w:color w:val="0D0E10"/>
              </w:rPr>
              <w:t>69</w:t>
            </w:r>
          </w:p>
        </w:tc>
      </w:tr>
      <w:tr>
        <w:trPr>
          <w:trHeight w:val="473"/>
        </w:trPr>
        <w:tc>
          <w:tcPr>
            <w:tcW w:w="10780" w:type="dxa"/>
            <w:vAlign w:val="bottom"/>
          </w:tcPr>
          <w:p>
            <w:pPr>
              <w:ind w:left="260"/>
              <w:spacing w:after="0"/>
              <w:rPr>
                <w:sz w:val="20"/>
                <w:szCs w:val="20"/>
                <w:color w:val="auto"/>
              </w:rPr>
            </w:pPr>
            <w:r>
              <w:rPr>
                <w:rFonts w:ascii="Arial" w:cs="Arial" w:eastAsia="Arial" w:hAnsi="Arial"/>
                <w:sz w:val="18"/>
                <w:szCs w:val="18"/>
                <w:color w:val="0D0E10"/>
              </w:rPr>
              <w:t>Certain Related Person Transactions</w:t>
            </w:r>
          </w:p>
        </w:tc>
        <w:tc>
          <w:tcPr>
            <w:tcW w:w="460" w:type="dxa"/>
            <w:vAlign w:val="bottom"/>
          </w:tcPr>
          <w:p>
            <w:pPr>
              <w:jc w:val="right"/>
              <w:spacing w:after="0"/>
              <w:rPr>
                <w:sz w:val="20"/>
                <w:szCs w:val="20"/>
                <w:color w:val="auto"/>
              </w:rPr>
            </w:pPr>
            <w:r>
              <w:rPr>
                <w:rFonts w:ascii="Arial" w:cs="Arial" w:eastAsia="Arial" w:hAnsi="Arial"/>
                <w:sz w:val="18"/>
                <w:szCs w:val="18"/>
                <w:color w:val="0D0E10"/>
              </w:rPr>
              <w:t>69</w:t>
            </w:r>
          </w:p>
        </w:tc>
      </w:tr>
      <w:tr>
        <w:trPr>
          <w:trHeight w:val="472"/>
        </w:trPr>
        <w:tc>
          <w:tcPr>
            <w:tcW w:w="10780" w:type="dxa"/>
            <w:vAlign w:val="bottom"/>
          </w:tcPr>
          <w:p>
            <w:pPr>
              <w:ind w:left="20"/>
              <w:spacing w:after="0"/>
              <w:rPr>
                <w:sz w:val="20"/>
                <w:szCs w:val="20"/>
                <w:color w:val="auto"/>
              </w:rPr>
            </w:pPr>
            <w:r>
              <w:rPr>
                <w:rFonts w:ascii="Arial" w:cs="Arial" w:eastAsia="Arial" w:hAnsi="Arial"/>
                <w:sz w:val="18"/>
                <w:szCs w:val="18"/>
                <w:color w:val="F06A6A"/>
              </w:rPr>
              <w:t>OTHER MATTERS</w:t>
            </w:r>
          </w:p>
        </w:tc>
        <w:tc>
          <w:tcPr>
            <w:tcW w:w="460" w:type="dxa"/>
            <w:vAlign w:val="bottom"/>
          </w:tcPr>
          <w:p>
            <w:pPr>
              <w:jc w:val="right"/>
              <w:spacing w:after="0"/>
              <w:rPr>
                <w:sz w:val="20"/>
                <w:szCs w:val="20"/>
                <w:color w:val="auto"/>
              </w:rPr>
            </w:pPr>
            <w:r>
              <w:rPr>
                <w:rFonts w:ascii="Arial" w:cs="Arial" w:eastAsia="Arial" w:hAnsi="Arial"/>
                <w:sz w:val="18"/>
                <w:szCs w:val="18"/>
                <w:color w:val="F06A6A"/>
              </w:rPr>
              <w:t>71</w:t>
            </w:r>
          </w:p>
        </w:tc>
      </w:tr>
      <w:tr>
        <w:trPr>
          <w:trHeight w:val="378"/>
        </w:trPr>
        <w:tc>
          <w:tcPr>
            <w:tcW w:w="10780" w:type="dxa"/>
            <w:vAlign w:val="bottom"/>
          </w:tcPr>
          <w:p>
            <w:pPr>
              <w:ind w:left="260"/>
              <w:spacing w:after="0"/>
              <w:rPr>
                <w:sz w:val="20"/>
                <w:szCs w:val="20"/>
                <w:color w:val="auto"/>
              </w:rPr>
            </w:pPr>
            <w:r>
              <w:rPr>
                <w:rFonts w:ascii="Arial" w:cs="Arial" w:eastAsia="Arial" w:hAnsi="Arial"/>
                <w:sz w:val="18"/>
                <w:szCs w:val="18"/>
                <w:color w:val="0D0E10"/>
              </w:rPr>
              <w:t>Delinquent Section 16(a) Reports</w:t>
            </w:r>
          </w:p>
        </w:tc>
        <w:tc>
          <w:tcPr>
            <w:tcW w:w="460" w:type="dxa"/>
            <w:vAlign w:val="bottom"/>
          </w:tcPr>
          <w:p>
            <w:pPr>
              <w:jc w:val="right"/>
              <w:spacing w:after="0"/>
              <w:rPr>
                <w:sz w:val="20"/>
                <w:szCs w:val="20"/>
                <w:color w:val="auto"/>
              </w:rPr>
            </w:pPr>
            <w:r>
              <w:rPr>
                <w:rFonts w:ascii="Arial" w:cs="Arial" w:eastAsia="Arial" w:hAnsi="Arial"/>
                <w:sz w:val="18"/>
                <w:szCs w:val="18"/>
                <w:color w:val="0D0E10"/>
              </w:rPr>
              <w:t>71</w:t>
            </w:r>
          </w:p>
        </w:tc>
      </w:tr>
      <w:tr>
        <w:trPr>
          <w:trHeight w:val="472"/>
        </w:trPr>
        <w:tc>
          <w:tcPr>
            <w:tcW w:w="10780" w:type="dxa"/>
            <w:vAlign w:val="bottom"/>
          </w:tcPr>
          <w:p>
            <w:pPr>
              <w:ind w:left="260"/>
              <w:spacing w:after="0"/>
              <w:rPr>
                <w:sz w:val="20"/>
                <w:szCs w:val="20"/>
                <w:color w:val="auto"/>
              </w:rPr>
            </w:pPr>
            <w:r>
              <w:rPr>
                <w:rFonts w:ascii="Arial" w:cs="Arial" w:eastAsia="Arial" w:hAnsi="Arial"/>
                <w:sz w:val="18"/>
                <w:szCs w:val="18"/>
                <w:color w:val="0D0E10"/>
              </w:rPr>
              <w:t>Fiscal Year 2024 Annual Report and SEC Filings</w:t>
            </w:r>
          </w:p>
        </w:tc>
        <w:tc>
          <w:tcPr>
            <w:tcW w:w="460" w:type="dxa"/>
            <w:vAlign w:val="bottom"/>
          </w:tcPr>
          <w:p>
            <w:pPr>
              <w:jc w:val="right"/>
              <w:spacing w:after="0"/>
              <w:rPr>
                <w:sz w:val="20"/>
                <w:szCs w:val="20"/>
                <w:color w:val="auto"/>
              </w:rPr>
            </w:pPr>
            <w:r>
              <w:rPr>
                <w:rFonts w:ascii="Arial" w:cs="Arial" w:eastAsia="Arial" w:hAnsi="Arial"/>
                <w:sz w:val="18"/>
                <w:szCs w:val="18"/>
                <w:color w:val="0D0E10"/>
              </w:rPr>
              <w:t>71</w:t>
            </w:r>
          </w:p>
        </w:tc>
      </w:tr>
      <w:tr>
        <w:trPr>
          <w:trHeight w:val="1259"/>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Proxy Summary</w:t>
      </w:r>
    </w:p>
    <w:p>
      <w:pPr>
        <w:spacing w:after="0" w:line="366" w:lineRule="exact"/>
        <w:rPr>
          <w:sz w:val="20"/>
          <w:szCs w:val="20"/>
          <w:color w:val="auto"/>
        </w:rPr>
      </w:pPr>
    </w:p>
    <w:p>
      <w:pPr>
        <w:ind w:right="320"/>
        <w:spacing w:after="0" w:line="304" w:lineRule="auto"/>
        <w:rPr>
          <w:sz w:val="20"/>
          <w:szCs w:val="20"/>
          <w:color w:val="auto"/>
        </w:rPr>
      </w:pPr>
      <w:r>
        <w:rPr>
          <w:rFonts w:ascii="Arial" w:cs="Arial" w:eastAsia="Arial" w:hAnsi="Arial"/>
          <w:sz w:val="18"/>
          <w:szCs w:val="18"/>
          <w:color w:val="0D0E10"/>
        </w:rPr>
        <w:t>The information provided in this Proxy Summary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100330</wp:posOffset>
            </wp:positionV>
            <wp:extent cx="8890" cy="2820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820035"/>
                    </a:xfrm>
                    <a:prstGeom prst="rect">
                      <a:avLst/>
                    </a:prstGeom>
                    <a:noFill/>
                  </pic:spPr>
                </pic:pic>
              </a:graphicData>
            </a:graphic>
          </wp:anchor>
        </w:drawing>
      </w:r>
    </w:p>
    <w:p>
      <w:pPr>
        <w:sectPr>
          <w:pgSz w:w="11900" w:h="16838" w:orient="portrait"/>
          <w:cols w:equalWidth="0" w:num="1">
            <w:col w:w="11300"/>
          </w:cols>
          <w:pgMar w:left="320" w:top="1383"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line="409" w:lineRule="auto"/>
        <w:rPr>
          <w:sz w:val="20"/>
          <w:szCs w:val="20"/>
          <w:color w:val="auto"/>
        </w:rPr>
      </w:pPr>
      <w:r>
        <w:rPr>
          <w:rFonts w:ascii="Arial" w:cs="Arial" w:eastAsia="Arial" w:hAnsi="Arial"/>
          <w:sz w:val="16"/>
          <w:szCs w:val="16"/>
          <w:color w:val="F06A6A"/>
        </w:rPr>
        <w:t>ANNUAL MEETING OF STOCKHOLDERS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32"/>
          <w:szCs w:val="32"/>
          <w:color w:val="0D0E10"/>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0D0E10"/>
        </w:rPr>
        <w:t>There are four 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469773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97730" cy="557530"/>
                    </a:xfrm>
                    <a:prstGeom prst="rect">
                      <a:avLst/>
                    </a:prstGeom>
                    <a:noFill/>
                  </pic:spPr>
                </pic:pic>
              </a:graphicData>
            </a:graphic>
          </wp:anchor>
        </w:drawing>
      </w:r>
    </w:p>
    <w:p>
      <w:pPr>
        <w:spacing w:after="0" w:line="1462" w:lineRule="exact"/>
        <w:rPr>
          <w:sz w:val="20"/>
          <w:szCs w:val="20"/>
          <w:color w:val="auto"/>
        </w:rPr>
      </w:pPr>
    </w:p>
    <w:p>
      <w:pPr>
        <w:sectPr>
          <w:pgSz w:w="11900" w:h="16838" w:orient="portrait"/>
          <w:cols w:equalWidth="0" w:num="2">
            <w:col w:w="1640" w:space="360"/>
            <w:col w:w="9300"/>
          </w:cols>
          <w:pgMar w:left="320" w:top="1383" w:right="27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5A4A3"/>
        </w:rPr>
        <w:t>__________</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color w:val="0D0E10"/>
        </w:rPr>
        <w:t>MONDAY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0D0E10"/>
        </w:rPr>
        <w:t>JUNE 17, 2024</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32"/>
          <w:szCs w:val="32"/>
          <w:color w:val="0D0E10"/>
        </w:rPr>
        <w:t>Time</w:t>
      </w:r>
    </w:p>
    <w:p>
      <w:pPr>
        <w:ind w:left="20"/>
        <w:spacing w:after="0"/>
        <w:rPr>
          <w:sz w:val="20"/>
          <w:szCs w:val="20"/>
          <w:color w:val="auto"/>
        </w:rPr>
      </w:pPr>
      <w:r>
        <w:rPr>
          <w:rFonts w:ascii="Arial" w:cs="Arial" w:eastAsia="Arial" w:hAnsi="Arial"/>
          <w:sz w:val="17"/>
          <w:szCs w:val="17"/>
          <w:color w:val="A5A4A3"/>
        </w:rPr>
        <w:t>__________</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4"/>
          <w:szCs w:val="14"/>
          <w:color w:val="0D0E10"/>
        </w:rPr>
        <w:t>2:00 P.M.</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0D0E10"/>
        </w:rPr>
        <w:t>PACIFIC TIME</w:t>
      </w:r>
    </w:p>
    <w:p>
      <w:pPr>
        <w:spacing w:after="0" w:line="20" w:lineRule="exact"/>
        <w:rPr>
          <w:sz w:val="20"/>
          <w:szCs w:val="20"/>
          <w:color w:val="auto"/>
        </w:rPr>
      </w:pPr>
      <w:r>
        <w:rPr>
          <w:sz w:val="20"/>
          <w:szCs w:val="20"/>
          <w:color w:val="auto"/>
        </w:rPr>
        <w:br w:type="column"/>
      </w:r>
    </w:p>
    <w:p>
      <w:pPr>
        <w:ind w:left="163" w:right="320" w:hanging="163"/>
        <w:spacing w:after="0" w:line="301" w:lineRule="auto"/>
        <w:tabs>
          <w:tab w:leader="none" w:pos="119" w:val="left"/>
        </w:tabs>
        <w:numPr>
          <w:ilvl w:val="0"/>
          <w:numId w:val="8"/>
        </w:numPr>
        <w:rPr>
          <w:rFonts w:ascii="Arial" w:cs="Arial" w:eastAsia="Arial" w:hAnsi="Arial"/>
          <w:sz w:val="14"/>
          <w:szCs w:val="14"/>
          <w:color w:val="0D0E10"/>
        </w:rPr>
      </w:pPr>
      <w:r>
        <w:rPr>
          <w:rFonts w:ascii="Arial" w:cs="Arial" w:eastAsia="Arial" w:hAnsi="Arial"/>
          <w:sz w:val="14"/>
          <w:szCs w:val="14"/>
          <w:color w:val="0D0E10"/>
        </w:rPr>
        <w:t xml:space="preserve">by Internet at </w:t>
      </w:r>
      <w:r>
        <w:rPr>
          <w:rFonts w:ascii="Arial" w:cs="Arial" w:eastAsia="Arial" w:hAnsi="Arial"/>
          <w:sz w:val="14"/>
          <w:szCs w:val="14"/>
          <w:i w:val="1"/>
          <w:iCs w:val="1"/>
          <w:color w:val="F06A6A"/>
        </w:rPr>
        <w:t>www.proxyvote.com,</w:t>
      </w:r>
    </w:p>
    <w:p>
      <w:pPr>
        <w:ind w:left="163" w:right="100"/>
        <w:spacing w:after="0" w:line="311" w:lineRule="auto"/>
        <w:rPr>
          <w:rFonts w:ascii="Arial" w:cs="Arial" w:eastAsia="Arial" w:hAnsi="Arial"/>
          <w:sz w:val="14"/>
          <w:szCs w:val="14"/>
          <w:color w:val="0D0E10"/>
        </w:rPr>
      </w:pPr>
      <w:r>
        <w:rPr>
          <w:rFonts w:ascii="Arial" w:cs="Arial" w:eastAsia="Arial" w:hAnsi="Arial"/>
          <w:sz w:val="14"/>
          <w:szCs w:val="14"/>
          <w:color w:val="0D0E10"/>
        </w:rPr>
        <w:t>24 hours a day, seven days a week, until 11:59</w:t>
      </w:r>
    </w:p>
    <w:p>
      <w:pPr>
        <w:spacing w:after="0" w:line="1" w:lineRule="exact"/>
        <w:rPr>
          <w:rFonts w:ascii="Arial" w:cs="Arial" w:eastAsia="Arial" w:hAnsi="Arial"/>
          <w:sz w:val="14"/>
          <w:szCs w:val="14"/>
          <w:color w:val="0D0E10"/>
        </w:rPr>
      </w:pPr>
    </w:p>
    <w:p>
      <w:pPr>
        <w:ind w:left="163"/>
        <w:spacing w:after="0" w:line="308" w:lineRule="auto"/>
        <w:rPr>
          <w:rFonts w:ascii="Arial" w:cs="Arial" w:eastAsia="Arial" w:hAnsi="Arial"/>
          <w:sz w:val="14"/>
          <w:szCs w:val="14"/>
          <w:color w:val="0D0E10"/>
        </w:rPr>
      </w:pPr>
      <w:r>
        <w:rPr>
          <w:rFonts w:ascii="Arial" w:cs="Arial" w:eastAsia="Arial" w:hAnsi="Arial"/>
          <w:sz w:val="14"/>
          <w:szCs w:val="14"/>
          <w:color w:val="0D0E10"/>
        </w:rPr>
        <w:t>p.m. Eastern Time on June 16, 2024 (have your Notice or proxy card in</w:t>
      </w:r>
    </w:p>
    <w:p>
      <w:pPr>
        <w:spacing w:after="0" w:line="1" w:lineRule="exact"/>
        <w:rPr>
          <w:rFonts w:ascii="Arial" w:cs="Arial" w:eastAsia="Arial" w:hAnsi="Arial"/>
          <w:sz w:val="14"/>
          <w:szCs w:val="14"/>
          <w:color w:val="0D0E10"/>
        </w:rPr>
      </w:pPr>
    </w:p>
    <w:p>
      <w:pPr>
        <w:ind w:left="163" w:right="140"/>
        <w:spacing w:after="0" w:line="345" w:lineRule="auto"/>
        <w:rPr>
          <w:rFonts w:ascii="Arial" w:cs="Arial" w:eastAsia="Arial" w:hAnsi="Arial"/>
          <w:sz w:val="14"/>
          <w:szCs w:val="14"/>
          <w:color w:val="0D0E10"/>
        </w:rPr>
      </w:pPr>
      <w:r>
        <w:rPr>
          <w:rFonts w:ascii="Arial" w:cs="Arial" w:eastAsia="Arial" w:hAnsi="Arial"/>
          <w:sz w:val="14"/>
          <w:szCs w:val="14"/>
          <w:color w:val="0D0E10"/>
        </w:rPr>
        <w:t>hand when you visit the website);</w:t>
      </w:r>
    </w:p>
    <w:p>
      <w:pPr>
        <w:spacing w:after="0" w:line="20" w:lineRule="exact"/>
        <w:rPr>
          <w:sz w:val="20"/>
          <w:szCs w:val="20"/>
          <w:color w:val="auto"/>
        </w:rPr>
      </w:pPr>
      <w:r>
        <w:rPr>
          <w:sz w:val="20"/>
          <w:szCs w:val="20"/>
          <w:color w:val="auto"/>
        </w:rPr>
        <w:br w:type="column"/>
      </w:r>
    </w:p>
    <w:p>
      <w:pPr>
        <w:jc w:val="both"/>
        <w:ind w:left="172" w:right="20" w:hanging="172"/>
        <w:spacing w:after="0" w:line="301" w:lineRule="auto"/>
        <w:tabs>
          <w:tab w:leader="none" w:pos="127" w:val="left"/>
        </w:tabs>
        <w:numPr>
          <w:ilvl w:val="0"/>
          <w:numId w:val="9"/>
        </w:numPr>
        <w:rPr>
          <w:rFonts w:ascii="Arial" w:cs="Arial" w:eastAsia="Arial" w:hAnsi="Arial"/>
          <w:sz w:val="14"/>
          <w:szCs w:val="14"/>
          <w:color w:val="0D0E10"/>
        </w:rPr>
      </w:pPr>
      <w:r>
        <w:rPr>
          <w:rFonts w:ascii="Arial" w:cs="Arial" w:eastAsia="Arial" w:hAnsi="Arial"/>
          <w:sz w:val="14"/>
          <w:szCs w:val="14"/>
          <w:color w:val="0D0E10"/>
        </w:rPr>
        <w:t>by toll-free telephone until 11:59 p.m. Eastern Time</w:t>
      </w:r>
    </w:p>
    <w:p>
      <w:pPr>
        <w:ind w:left="172"/>
        <w:spacing w:after="0" w:line="311" w:lineRule="auto"/>
        <w:rPr>
          <w:rFonts w:ascii="Arial" w:cs="Arial" w:eastAsia="Arial" w:hAnsi="Arial"/>
          <w:sz w:val="14"/>
          <w:szCs w:val="14"/>
          <w:color w:val="0D0E10"/>
        </w:rPr>
      </w:pPr>
      <w:r>
        <w:rPr>
          <w:rFonts w:ascii="Arial" w:cs="Arial" w:eastAsia="Arial" w:hAnsi="Arial"/>
          <w:sz w:val="14"/>
          <w:szCs w:val="14"/>
          <w:color w:val="0D0E10"/>
        </w:rPr>
        <w:t>on June 16, 2024 at 1-800-690-6903 (be sure to</w:t>
      </w:r>
    </w:p>
    <w:p>
      <w:pPr>
        <w:spacing w:after="0" w:line="1" w:lineRule="exact"/>
        <w:rPr>
          <w:rFonts w:ascii="Arial" w:cs="Arial" w:eastAsia="Arial" w:hAnsi="Arial"/>
          <w:sz w:val="14"/>
          <w:szCs w:val="14"/>
          <w:color w:val="0D0E10"/>
        </w:rPr>
      </w:pPr>
    </w:p>
    <w:p>
      <w:pPr>
        <w:ind w:left="172" w:right="60"/>
        <w:spacing w:after="0" w:line="323" w:lineRule="auto"/>
        <w:rPr>
          <w:rFonts w:ascii="Arial" w:cs="Arial" w:eastAsia="Arial" w:hAnsi="Arial"/>
          <w:sz w:val="14"/>
          <w:szCs w:val="14"/>
          <w:color w:val="0D0E10"/>
        </w:rPr>
      </w:pPr>
      <w:r>
        <w:rPr>
          <w:rFonts w:ascii="Arial" w:cs="Arial" w:eastAsia="Arial" w:hAnsi="Arial"/>
          <w:sz w:val="14"/>
          <w:szCs w:val="14"/>
          <w:color w:val="0D0E10"/>
        </w:rPr>
        <w:t>have your Notice or proxy card in hand when you call);</w:t>
      </w:r>
    </w:p>
    <w:p>
      <w:pPr>
        <w:spacing w:after="0" w:line="20" w:lineRule="exact"/>
        <w:rPr>
          <w:sz w:val="20"/>
          <w:szCs w:val="20"/>
          <w:color w:val="auto"/>
        </w:rPr>
      </w:pPr>
      <w:r>
        <w:rPr>
          <w:sz w:val="20"/>
          <w:szCs w:val="20"/>
          <w:color w:val="auto"/>
        </w:rPr>
        <w:br w:type="column"/>
      </w:r>
    </w:p>
    <w:p>
      <w:pPr>
        <w:ind w:left="160" w:hanging="160"/>
        <w:spacing w:after="0" w:line="301" w:lineRule="auto"/>
        <w:tabs>
          <w:tab w:leader="none" w:pos="116" w:val="left"/>
        </w:tabs>
        <w:numPr>
          <w:ilvl w:val="0"/>
          <w:numId w:val="10"/>
        </w:numPr>
        <w:rPr>
          <w:rFonts w:ascii="Arial" w:cs="Arial" w:eastAsia="Arial" w:hAnsi="Arial"/>
          <w:sz w:val="14"/>
          <w:szCs w:val="14"/>
          <w:color w:val="0D0E10"/>
        </w:rPr>
      </w:pPr>
      <w:r>
        <w:rPr>
          <w:rFonts w:ascii="Arial" w:cs="Arial" w:eastAsia="Arial" w:hAnsi="Arial"/>
          <w:sz w:val="14"/>
          <w:szCs w:val="14"/>
          <w:color w:val="0D0E10"/>
        </w:rPr>
        <w:t>by completing and mailing your proxy card so it is</w:t>
      </w:r>
    </w:p>
    <w:p>
      <w:pPr>
        <w:ind w:left="160" w:right="180"/>
        <w:spacing w:after="0" w:line="311" w:lineRule="auto"/>
        <w:rPr>
          <w:rFonts w:ascii="Arial" w:cs="Arial" w:eastAsia="Arial" w:hAnsi="Arial"/>
          <w:sz w:val="14"/>
          <w:szCs w:val="14"/>
          <w:color w:val="0D0E10"/>
        </w:rPr>
      </w:pPr>
      <w:r>
        <w:rPr>
          <w:rFonts w:ascii="Arial" w:cs="Arial" w:eastAsia="Arial" w:hAnsi="Arial"/>
          <w:sz w:val="14"/>
          <w:szCs w:val="14"/>
          <w:color w:val="0D0E10"/>
        </w:rPr>
        <w:t>received prior to the Annual Meeting (if you</w:t>
      </w:r>
    </w:p>
    <w:p>
      <w:pPr>
        <w:spacing w:after="0" w:line="1" w:lineRule="exact"/>
        <w:rPr>
          <w:rFonts w:ascii="Arial" w:cs="Arial" w:eastAsia="Arial" w:hAnsi="Arial"/>
          <w:sz w:val="14"/>
          <w:szCs w:val="14"/>
          <w:color w:val="0D0E10"/>
        </w:rPr>
      </w:pPr>
    </w:p>
    <w:p>
      <w:pPr>
        <w:ind w:left="160" w:right="200"/>
        <w:spacing w:after="0" w:line="345" w:lineRule="auto"/>
        <w:rPr>
          <w:rFonts w:ascii="Arial" w:cs="Arial" w:eastAsia="Arial" w:hAnsi="Arial"/>
          <w:sz w:val="14"/>
          <w:szCs w:val="14"/>
          <w:color w:val="0D0E10"/>
        </w:rPr>
      </w:pPr>
      <w:r>
        <w:rPr>
          <w:rFonts w:ascii="Arial" w:cs="Arial" w:eastAsia="Arial" w:hAnsi="Arial"/>
          <w:sz w:val="14"/>
          <w:szCs w:val="14"/>
          <w:color w:val="0D0E10"/>
        </w:rPr>
        <w:t>received printed proxy materials); or</w:t>
      </w:r>
    </w:p>
    <w:p>
      <w:pPr>
        <w:spacing w:after="0" w:line="20" w:lineRule="exact"/>
        <w:rPr>
          <w:sz w:val="20"/>
          <w:szCs w:val="20"/>
          <w:color w:val="auto"/>
        </w:rPr>
      </w:pPr>
      <w:r>
        <w:rPr>
          <w:sz w:val="20"/>
          <w:szCs w:val="20"/>
          <w:color w:val="auto"/>
        </w:rPr>
        <w:br w:type="column"/>
      </w:r>
    </w:p>
    <w:p>
      <w:pPr>
        <w:ind w:left="155" w:right="340" w:hanging="155"/>
        <w:spacing w:after="0" w:line="302" w:lineRule="auto"/>
        <w:tabs>
          <w:tab w:leader="none" w:pos="111" w:val="left"/>
        </w:tabs>
        <w:numPr>
          <w:ilvl w:val="0"/>
          <w:numId w:val="11"/>
        </w:numPr>
        <w:rPr>
          <w:rFonts w:ascii="Arial" w:cs="Arial" w:eastAsia="Arial" w:hAnsi="Arial"/>
          <w:sz w:val="14"/>
          <w:szCs w:val="14"/>
          <w:color w:val="0D0E10"/>
        </w:rPr>
      </w:pPr>
      <w:r>
        <w:rPr>
          <w:rFonts w:ascii="Arial" w:cs="Arial" w:eastAsia="Arial" w:hAnsi="Arial"/>
          <w:sz w:val="14"/>
          <w:szCs w:val="14"/>
          <w:color w:val="0D0E10"/>
        </w:rPr>
        <w:t>by attending and voting at the virtual Annual Meeting by visiting</w:t>
      </w:r>
    </w:p>
    <w:p>
      <w:pPr>
        <w:spacing w:after="0" w:line="1" w:lineRule="exact"/>
        <w:rPr>
          <w:rFonts w:ascii="Arial" w:cs="Arial" w:eastAsia="Arial" w:hAnsi="Arial"/>
          <w:sz w:val="14"/>
          <w:szCs w:val="14"/>
          <w:color w:val="0D0E10"/>
        </w:rPr>
      </w:pPr>
    </w:p>
    <w:p>
      <w:pPr>
        <w:ind w:left="155"/>
        <w:spacing w:after="0" w:line="310" w:lineRule="auto"/>
        <w:rPr>
          <w:rFonts w:ascii="Arial" w:cs="Arial" w:eastAsia="Arial" w:hAnsi="Arial"/>
          <w:sz w:val="14"/>
          <w:szCs w:val="14"/>
          <w:color w:val="0D0E10"/>
        </w:rPr>
      </w:pPr>
      <w:r>
        <w:rPr>
          <w:rFonts w:ascii="Arial" w:cs="Arial" w:eastAsia="Arial" w:hAnsi="Arial"/>
          <w:sz w:val="14"/>
          <w:szCs w:val="14"/>
          <w:i w:val="1"/>
          <w:iCs w:val="1"/>
          <w:color w:val="F06A6A"/>
        </w:rPr>
        <w:t xml:space="preserve">www.virtualshareholdermeeting.com/ASAN2024, </w:t>
      </w:r>
      <w:r>
        <w:rPr>
          <w:rFonts w:ascii="Arial" w:cs="Arial" w:eastAsia="Arial" w:hAnsi="Arial"/>
          <w:sz w:val="14"/>
          <w:szCs w:val="14"/>
          <w:color w:val="0D0E10"/>
        </w:rPr>
        <w:t>where stockholders may vote and submit</w:t>
      </w:r>
    </w:p>
    <w:p>
      <w:pPr>
        <w:ind w:left="155" w:right="260"/>
        <w:spacing w:after="0" w:line="323" w:lineRule="auto"/>
        <w:rPr>
          <w:rFonts w:ascii="Arial" w:cs="Arial" w:eastAsia="Arial" w:hAnsi="Arial"/>
          <w:sz w:val="14"/>
          <w:szCs w:val="14"/>
          <w:color w:val="0D0E10"/>
        </w:rPr>
      </w:pPr>
      <w:r>
        <w:rPr>
          <w:rFonts w:ascii="Arial" w:cs="Arial" w:eastAsia="Arial" w:hAnsi="Arial"/>
          <w:sz w:val="14"/>
          <w:szCs w:val="14"/>
          <w:color w:val="0D0E10"/>
        </w:rPr>
        <w:t>questions (before and during) the Annual Meeting (have your proxy card in hand when you visit the website).</w:t>
      </w:r>
    </w:p>
    <w:p>
      <w:pPr>
        <w:spacing w:after="0" w:line="804" w:lineRule="exact"/>
        <w:rPr>
          <w:sz w:val="20"/>
          <w:szCs w:val="20"/>
          <w:color w:val="auto"/>
        </w:rPr>
      </w:pPr>
    </w:p>
    <w:p>
      <w:pPr>
        <w:sectPr>
          <w:pgSz w:w="11900" w:h="16838" w:orient="portrait"/>
          <w:cols w:equalWidth="0" w:num="5">
            <w:col w:w="1277" w:space="720"/>
            <w:col w:w="1803" w:space="208"/>
            <w:col w:w="1792" w:space="220"/>
            <w:col w:w="1780" w:space="245"/>
            <w:col w:w="3255"/>
          </w:cols>
          <w:pgMar w:left="320" w:top="1383"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32"/>
          <w:szCs w:val="32"/>
          <w:color w:val="0D0E10"/>
        </w:rPr>
        <w:t>Voting Recommendations From Our Board of Directors: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680" w:type="dxa"/>
            <w:vAlign w:val="bottom"/>
            <w:tcBorders>
              <w:top w:val="single" w:sz="8" w:color="A5A4A3"/>
              <w:left w:val="single" w:sz="8" w:color="A5A4A3"/>
              <w:right w:val="single" w:sz="8" w:color="A5A4A3"/>
            </w:tcBorders>
            <w:vMerge w:val="restart"/>
          </w:tcPr>
          <w:p>
            <w:pPr>
              <w:ind w:left="120"/>
              <w:spacing w:after="0"/>
              <w:rPr>
                <w:sz w:val="20"/>
                <w:szCs w:val="20"/>
                <w:color w:val="auto"/>
              </w:rPr>
            </w:pPr>
            <w:r>
              <w:rPr>
                <w:rFonts w:ascii="Arial" w:cs="Arial" w:eastAsia="Arial" w:hAnsi="Arial"/>
                <w:sz w:val="22"/>
                <w:szCs w:val="22"/>
                <w:color w:val="0D0E10"/>
              </w:rPr>
              <w:t>Proposal 1</w:t>
            </w:r>
          </w:p>
        </w:tc>
        <w:tc>
          <w:tcPr>
            <w:tcW w:w="5120" w:type="dxa"/>
            <w:vAlign w:val="bottom"/>
            <w:tcBorders>
              <w:top w:val="single" w:sz="8" w:color="A5A4A3"/>
              <w:right w:val="single" w:sz="8" w:color="A5A4A3"/>
            </w:tcBorders>
            <w:vMerge w:val="restart"/>
          </w:tcPr>
          <w:p>
            <w:pPr>
              <w:ind w:left="80"/>
              <w:spacing w:after="0"/>
              <w:rPr>
                <w:sz w:val="20"/>
                <w:szCs w:val="20"/>
                <w:color w:val="auto"/>
              </w:rPr>
            </w:pPr>
            <w:r>
              <w:rPr>
                <w:rFonts w:ascii="Arial" w:cs="Arial" w:eastAsia="Arial" w:hAnsi="Arial"/>
                <w:sz w:val="18"/>
                <w:szCs w:val="18"/>
                <w:color w:val="0D0E10"/>
              </w:rPr>
              <w:t>The election of Matthew Cohler and Dustin Moskovitz as</w:t>
            </w:r>
          </w:p>
        </w:tc>
        <w:tc>
          <w:tcPr>
            <w:tcW w:w="3480" w:type="dxa"/>
            <w:vAlign w:val="bottom"/>
            <w:tcBorders>
              <w:top w:val="single" w:sz="8" w:color="A5A4A3"/>
              <w:right w:val="single" w:sz="8" w:color="A5A4A3"/>
            </w:tcBorders>
          </w:tcPr>
          <w:p>
            <w:pPr>
              <w:jc w:val="center"/>
              <w:spacing w:after="0"/>
              <w:rPr>
                <w:sz w:val="20"/>
                <w:szCs w:val="20"/>
                <w:color w:val="auto"/>
              </w:rPr>
            </w:pPr>
            <w:r>
              <w:rPr>
                <w:rFonts w:ascii="Arial" w:cs="Arial" w:eastAsia="Arial" w:hAnsi="Arial"/>
                <w:sz w:val="18"/>
                <w:szCs w:val="18"/>
                <w:color w:val="0D0E10"/>
              </w:rPr>
              <w:t>Nominees receiving the largest number of</w:t>
            </w:r>
          </w:p>
        </w:tc>
        <w:tc>
          <w:tcPr>
            <w:tcW w:w="980" w:type="dxa"/>
            <w:vAlign w:val="bottom"/>
            <w:tcBorders>
              <w:top w:val="single" w:sz="8" w:color="A5A4A3"/>
              <w:right w:val="single" w:sz="8" w:color="A5A4A3"/>
            </w:tcBorders>
            <w:vMerge w:val="restart"/>
          </w:tcPr>
          <w:p>
            <w:pPr>
              <w:ind w:left="300"/>
              <w:spacing w:after="0"/>
              <w:rPr>
                <w:sz w:val="20"/>
                <w:szCs w:val="20"/>
                <w:color w:val="auto"/>
              </w:rPr>
            </w:pPr>
            <w:r>
              <w:rPr>
                <w:rFonts w:ascii="Arial" w:cs="Arial" w:eastAsia="Arial" w:hAnsi="Arial"/>
                <w:sz w:val="18"/>
                <w:szCs w:val="18"/>
                <w:color w:val="F06A6A"/>
              </w:rPr>
              <w:t>FOR</w:t>
            </w:r>
          </w:p>
        </w:tc>
        <w:tc>
          <w:tcPr>
            <w:tcW w:w="0" w:type="dxa"/>
            <w:vAlign w:val="bottom"/>
          </w:tcPr>
          <w:p>
            <w:pPr>
              <w:spacing w:after="0"/>
              <w:rPr>
                <w:sz w:val="1"/>
                <w:szCs w:val="1"/>
                <w:color w:val="auto"/>
              </w:rPr>
            </w:pPr>
          </w:p>
        </w:tc>
      </w:tr>
      <w:tr>
        <w:trPr>
          <w:trHeight w:val="108"/>
        </w:trPr>
        <w:tc>
          <w:tcPr>
            <w:tcW w:w="1680" w:type="dxa"/>
            <w:vAlign w:val="bottom"/>
            <w:tcBorders>
              <w:left w:val="single" w:sz="8" w:color="A5A4A3"/>
              <w:right w:val="single" w:sz="8" w:color="A5A4A3"/>
            </w:tcBorders>
            <w:vMerge w:val="continue"/>
          </w:tcPr>
          <w:p>
            <w:pPr>
              <w:spacing w:after="0"/>
              <w:rPr>
                <w:sz w:val="9"/>
                <w:szCs w:val="9"/>
                <w:color w:val="auto"/>
              </w:rPr>
            </w:pPr>
          </w:p>
        </w:tc>
        <w:tc>
          <w:tcPr>
            <w:tcW w:w="5120" w:type="dxa"/>
            <w:vAlign w:val="bottom"/>
            <w:tcBorders>
              <w:right w:val="single" w:sz="8" w:color="A5A4A3"/>
            </w:tcBorders>
            <w:vMerge w:val="continue"/>
          </w:tcPr>
          <w:p>
            <w:pPr>
              <w:spacing w:after="0"/>
              <w:rPr>
                <w:sz w:val="9"/>
                <w:szCs w:val="9"/>
                <w:color w:val="auto"/>
              </w:rPr>
            </w:pPr>
          </w:p>
        </w:tc>
        <w:tc>
          <w:tcPr>
            <w:tcW w:w="3480" w:type="dxa"/>
            <w:vAlign w:val="bottom"/>
            <w:tcBorders>
              <w:right w:val="single" w:sz="8" w:color="A5A4A3"/>
            </w:tcBorders>
            <w:vMerge w:val="restart"/>
          </w:tcPr>
          <w:p>
            <w:pPr>
              <w:jc w:val="center"/>
              <w:spacing w:after="0"/>
              <w:rPr>
                <w:sz w:val="20"/>
                <w:szCs w:val="20"/>
                <w:color w:val="auto"/>
              </w:rPr>
            </w:pPr>
            <w:r>
              <w:rPr>
                <w:rFonts w:ascii="Arial" w:cs="Arial" w:eastAsia="Arial" w:hAnsi="Arial"/>
                <w:sz w:val="18"/>
                <w:szCs w:val="18"/>
                <w:color w:val="0D0E10"/>
                <w:w w:val="99"/>
              </w:rPr>
              <w:t>votes “FOR” such nominees are elected as</w:t>
            </w:r>
          </w:p>
        </w:tc>
        <w:tc>
          <w:tcPr>
            <w:tcW w:w="980" w:type="dxa"/>
            <w:vAlign w:val="bottom"/>
            <w:tcBorders>
              <w:right w:val="single" w:sz="8" w:color="A5A4A3"/>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5A4A3"/>
              <w:right w:val="single" w:sz="8" w:color="A5A4A3"/>
            </w:tcBorders>
            <w:vMerge w:val="continue"/>
          </w:tcPr>
          <w:p>
            <w:pPr>
              <w:spacing w:after="0"/>
              <w:rPr>
                <w:sz w:val="11"/>
                <w:szCs w:val="11"/>
                <w:color w:val="auto"/>
              </w:rPr>
            </w:pPr>
          </w:p>
        </w:tc>
        <w:tc>
          <w:tcPr>
            <w:tcW w:w="5120" w:type="dxa"/>
            <w:vAlign w:val="bottom"/>
            <w:tcBorders>
              <w:right w:val="single" w:sz="8" w:color="A5A4A3"/>
            </w:tcBorders>
            <w:vMerge w:val="restart"/>
          </w:tcPr>
          <w:p>
            <w:pPr>
              <w:ind w:left="80"/>
              <w:spacing w:after="0"/>
              <w:rPr>
                <w:sz w:val="20"/>
                <w:szCs w:val="20"/>
                <w:color w:val="auto"/>
              </w:rPr>
            </w:pPr>
            <w:r>
              <w:rPr>
                <w:rFonts w:ascii="Arial" w:cs="Arial" w:eastAsia="Arial" w:hAnsi="Arial"/>
                <w:sz w:val="18"/>
                <w:szCs w:val="18"/>
                <w:color w:val="0D0E10"/>
              </w:rPr>
              <w:t>Class I directors.</w:t>
            </w:r>
          </w:p>
        </w:tc>
        <w:tc>
          <w:tcPr>
            <w:tcW w:w="3480" w:type="dxa"/>
            <w:vAlign w:val="bottom"/>
            <w:tcBorders>
              <w:right w:val="single" w:sz="8" w:color="A5A4A3"/>
            </w:tcBorders>
            <w:vMerge w:val="continue"/>
          </w:tcPr>
          <w:p>
            <w:pPr>
              <w:spacing w:after="0"/>
              <w:rPr>
                <w:sz w:val="11"/>
                <w:szCs w:val="11"/>
                <w:color w:val="auto"/>
              </w:rPr>
            </w:pPr>
          </w:p>
        </w:tc>
        <w:tc>
          <w:tcPr>
            <w:tcW w:w="980" w:type="dxa"/>
            <w:vAlign w:val="bottom"/>
            <w:tcBorders>
              <w:right w:val="single" w:sz="8" w:color="A5A4A3"/>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680" w:type="dxa"/>
            <w:vAlign w:val="bottom"/>
            <w:tcBorders>
              <w:left w:val="single" w:sz="8" w:color="A5A4A3"/>
              <w:right w:val="single" w:sz="8" w:color="A5A4A3"/>
            </w:tcBorders>
          </w:tcPr>
          <w:p>
            <w:pPr>
              <w:spacing w:after="0"/>
              <w:rPr>
                <w:sz w:val="9"/>
                <w:szCs w:val="9"/>
                <w:color w:val="auto"/>
              </w:rPr>
            </w:pPr>
          </w:p>
        </w:tc>
        <w:tc>
          <w:tcPr>
            <w:tcW w:w="5120" w:type="dxa"/>
            <w:vAlign w:val="bottom"/>
            <w:tcBorders>
              <w:right w:val="single" w:sz="8" w:color="A5A4A3"/>
            </w:tcBorders>
            <w:vMerge w:val="continue"/>
          </w:tcPr>
          <w:p>
            <w:pPr>
              <w:spacing w:after="0"/>
              <w:rPr>
                <w:sz w:val="9"/>
                <w:szCs w:val="9"/>
                <w:color w:val="auto"/>
              </w:rPr>
            </w:pPr>
          </w:p>
        </w:tc>
        <w:tc>
          <w:tcPr>
            <w:tcW w:w="3480" w:type="dxa"/>
            <w:vAlign w:val="bottom"/>
            <w:tcBorders>
              <w:right w:val="single" w:sz="8" w:color="A5A4A3"/>
            </w:tcBorders>
            <w:vMerge w:val="restart"/>
          </w:tcPr>
          <w:p>
            <w:pPr>
              <w:jc w:val="center"/>
              <w:spacing w:after="0"/>
              <w:rPr>
                <w:sz w:val="20"/>
                <w:szCs w:val="20"/>
                <w:color w:val="auto"/>
              </w:rPr>
            </w:pPr>
            <w:r>
              <w:rPr>
                <w:rFonts w:ascii="Arial" w:cs="Arial" w:eastAsia="Arial" w:hAnsi="Arial"/>
                <w:sz w:val="18"/>
                <w:szCs w:val="18"/>
                <w:color w:val="0D0E10"/>
              </w:rPr>
              <w:t>directors</w:t>
            </w:r>
          </w:p>
        </w:tc>
        <w:tc>
          <w:tcPr>
            <w:tcW w:w="980" w:type="dxa"/>
            <w:vAlign w:val="bottom"/>
            <w:tcBorders>
              <w:right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A5A4A3"/>
              <w:right w:val="single" w:sz="8" w:color="A5A4A3"/>
            </w:tcBorders>
          </w:tcPr>
          <w:p>
            <w:pPr>
              <w:spacing w:after="0"/>
              <w:rPr>
                <w:sz w:val="11"/>
                <w:szCs w:val="11"/>
                <w:color w:val="auto"/>
              </w:rPr>
            </w:pPr>
          </w:p>
        </w:tc>
        <w:tc>
          <w:tcPr>
            <w:tcW w:w="5120" w:type="dxa"/>
            <w:vAlign w:val="bottom"/>
            <w:tcBorders>
              <w:right w:val="single" w:sz="8" w:color="A5A4A3"/>
            </w:tcBorders>
          </w:tcPr>
          <w:p>
            <w:pPr>
              <w:spacing w:after="0"/>
              <w:rPr>
                <w:sz w:val="11"/>
                <w:szCs w:val="11"/>
                <w:color w:val="auto"/>
              </w:rPr>
            </w:pPr>
          </w:p>
        </w:tc>
        <w:tc>
          <w:tcPr>
            <w:tcW w:w="3480" w:type="dxa"/>
            <w:vAlign w:val="bottom"/>
            <w:tcBorders>
              <w:right w:val="single" w:sz="8" w:color="A5A4A3"/>
            </w:tcBorders>
            <w:vMerge w:val="continue"/>
          </w:tcPr>
          <w:p>
            <w:pPr>
              <w:spacing w:after="0"/>
              <w:rPr>
                <w:sz w:val="11"/>
                <w:szCs w:val="11"/>
                <w:color w:val="auto"/>
              </w:rPr>
            </w:pPr>
          </w:p>
        </w:tc>
        <w:tc>
          <w:tcPr>
            <w:tcW w:w="980" w:type="dxa"/>
            <w:vAlign w:val="bottom"/>
            <w:tcBorders>
              <w:right w:val="single" w:sz="8" w:color="A5A4A3"/>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5A4A3"/>
              <w:bottom w:val="single" w:sz="8" w:color="A5A4A3"/>
              <w:right w:val="single" w:sz="8" w:color="A5A4A3"/>
            </w:tcBorders>
          </w:tcPr>
          <w:p>
            <w:pPr>
              <w:spacing w:after="0"/>
              <w:rPr>
                <w:sz w:val="2"/>
                <w:szCs w:val="2"/>
                <w:color w:val="auto"/>
              </w:rPr>
            </w:pPr>
          </w:p>
        </w:tc>
        <w:tc>
          <w:tcPr>
            <w:tcW w:w="5120" w:type="dxa"/>
            <w:vAlign w:val="bottom"/>
            <w:tcBorders>
              <w:bottom w:val="single" w:sz="8" w:color="A5A4A3"/>
              <w:right w:val="single" w:sz="8" w:color="A5A4A3"/>
            </w:tcBorders>
          </w:tcPr>
          <w:p>
            <w:pPr>
              <w:spacing w:after="0"/>
              <w:rPr>
                <w:sz w:val="2"/>
                <w:szCs w:val="2"/>
                <w:color w:val="auto"/>
              </w:rPr>
            </w:pPr>
          </w:p>
        </w:tc>
        <w:tc>
          <w:tcPr>
            <w:tcW w:w="3480" w:type="dxa"/>
            <w:vAlign w:val="bottom"/>
            <w:tcBorders>
              <w:bottom w:val="single" w:sz="8" w:color="A5A4A3"/>
              <w:right w:val="single" w:sz="8" w:color="A5A4A3"/>
            </w:tcBorders>
          </w:tcPr>
          <w:p>
            <w:pPr>
              <w:spacing w:after="0"/>
              <w:rPr>
                <w:sz w:val="2"/>
                <w:szCs w:val="2"/>
                <w:color w:val="auto"/>
              </w:rPr>
            </w:pPr>
          </w:p>
        </w:tc>
        <w:tc>
          <w:tcPr>
            <w:tcW w:w="980" w:type="dxa"/>
            <w:vAlign w:val="bottom"/>
            <w:tcBorders>
              <w:bottom w:val="single" w:sz="8" w:color="A5A4A3"/>
              <w:right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680" w:type="dxa"/>
            <w:vAlign w:val="bottom"/>
            <w:tcBorders>
              <w:left w:val="single" w:sz="8" w:color="A5A4A3"/>
              <w:right w:val="single" w:sz="8" w:color="A5A4A3"/>
            </w:tcBorders>
          </w:tcPr>
          <w:p>
            <w:pPr>
              <w:spacing w:after="0"/>
              <w:rPr>
                <w:sz w:val="21"/>
                <w:szCs w:val="21"/>
                <w:color w:val="auto"/>
              </w:rPr>
            </w:pPr>
          </w:p>
        </w:tc>
        <w:tc>
          <w:tcPr>
            <w:tcW w:w="5120" w:type="dxa"/>
            <w:vAlign w:val="bottom"/>
            <w:tcBorders>
              <w:right w:val="single" w:sz="8" w:color="A5A4A3"/>
            </w:tcBorders>
          </w:tcPr>
          <w:p>
            <w:pPr>
              <w:ind w:left="80"/>
              <w:spacing w:after="0"/>
              <w:rPr>
                <w:sz w:val="20"/>
                <w:szCs w:val="20"/>
                <w:color w:val="auto"/>
              </w:rPr>
            </w:pPr>
            <w:r>
              <w:rPr>
                <w:rFonts w:ascii="Arial" w:cs="Arial" w:eastAsia="Arial" w:hAnsi="Arial"/>
                <w:sz w:val="18"/>
                <w:szCs w:val="18"/>
                <w:color w:val="0D0E10"/>
              </w:rPr>
              <w:t>The ratification of the appointment of</w:t>
            </w:r>
          </w:p>
        </w:tc>
        <w:tc>
          <w:tcPr>
            <w:tcW w:w="3480" w:type="dxa"/>
            <w:vAlign w:val="bottom"/>
            <w:tcBorders>
              <w:right w:val="single" w:sz="8" w:color="A5A4A3"/>
            </w:tcBorders>
          </w:tcPr>
          <w:p>
            <w:pPr>
              <w:spacing w:after="0"/>
              <w:rPr>
                <w:sz w:val="21"/>
                <w:szCs w:val="21"/>
                <w:color w:val="auto"/>
              </w:rPr>
            </w:pPr>
          </w:p>
        </w:tc>
        <w:tc>
          <w:tcPr>
            <w:tcW w:w="980" w:type="dxa"/>
            <w:vAlign w:val="bottom"/>
            <w:tcBorders>
              <w:right w:val="single" w:sz="8" w:color="A5A4A3"/>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5A4A3"/>
              <w:right w:val="single" w:sz="8" w:color="A5A4A3"/>
            </w:tcBorders>
            <w:vMerge w:val="restart"/>
          </w:tcPr>
          <w:p>
            <w:pPr>
              <w:ind w:left="120"/>
              <w:spacing w:after="0"/>
              <w:rPr>
                <w:sz w:val="20"/>
                <w:szCs w:val="20"/>
                <w:color w:val="auto"/>
              </w:rPr>
            </w:pPr>
            <w:r>
              <w:rPr>
                <w:rFonts w:ascii="Arial" w:cs="Arial" w:eastAsia="Arial" w:hAnsi="Arial"/>
                <w:sz w:val="22"/>
                <w:szCs w:val="22"/>
                <w:color w:val="0D0E10"/>
              </w:rPr>
              <w:t>Proposal 2</w:t>
            </w:r>
          </w:p>
        </w:tc>
        <w:tc>
          <w:tcPr>
            <w:tcW w:w="5120" w:type="dxa"/>
            <w:vAlign w:val="bottom"/>
            <w:tcBorders>
              <w:right w:val="single" w:sz="8" w:color="A5A4A3"/>
            </w:tcBorders>
          </w:tcPr>
          <w:p>
            <w:pPr>
              <w:ind w:left="80"/>
              <w:spacing w:after="0"/>
              <w:rPr>
                <w:sz w:val="20"/>
                <w:szCs w:val="20"/>
                <w:color w:val="auto"/>
              </w:rPr>
            </w:pPr>
            <w:r>
              <w:rPr>
                <w:rFonts w:ascii="Arial" w:cs="Arial" w:eastAsia="Arial" w:hAnsi="Arial"/>
                <w:sz w:val="18"/>
                <w:szCs w:val="18"/>
                <w:color w:val="0D0E10"/>
              </w:rPr>
              <w:t>PricewaterhouseCoopers LLP as our independent registered</w:t>
            </w:r>
          </w:p>
        </w:tc>
        <w:tc>
          <w:tcPr>
            <w:tcW w:w="3480" w:type="dxa"/>
            <w:vAlign w:val="bottom"/>
            <w:tcBorders>
              <w:right w:val="single" w:sz="8" w:color="A5A4A3"/>
            </w:tcBorders>
            <w:vMerge w:val="restart"/>
          </w:tcPr>
          <w:p>
            <w:pPr>
              <w:jc w:val="center"/>
              <w:spacing w:after="0"/>
              <w:rPr>
                <w:sz w:val="20"/>
                <w:szCs w:val="20"/>
                <w:color w:val="auto"/>
              </w:rPr>
            </w:pPr>
            <w:r>
              <w:rPr>
                <w:rFonts w:ascii="Arial" w:cs="Arial" w:eastAsia="Arial" w:hAnsi="Arial"/>
                <w:sz w:val="18"/>
                <w:szCs w:val="18"/>
                <w:color w:val="0D0E10"/>
                <w:w w:val="99"/>
              </w:rPr>
              <w:t>Majority of votes present</w:t>
            </w:r>
          </w:p>
        </w:tc>
        <w:tc>
          <w:tcPr>
            <w:tcW w:w="980" w:type="dxa"/>
            <w:vAlign w:val="bottom"/>
            <w:tcBorders>
              <w:right w:val="single" w:sz="8" w:color="A5A4A3"/>
            </w:tcBorders>
            <w:vMerge w:val="restart"/>
          </w:tcPr>
          <w:p>
            <w:pPr>
              <w:ind w:left="300"/>
              <w:spacing w:after="0"/>
              <w:rPr>
                <w:sz w:val="20"/>
                <w:szCs w:val="20"/>
                <w:color w:val="auto"/>
              </w:rPr>
            </w:pPr>
            <w:r>
              <w:rPr>
                <w:rFonts w:ascii="Arial" w:cs="Arial" w:eastAsia="Arial" w:hAnsi="Arial"/>
                <w:sz w:val="18"/>
                <w:szCs w:val="18"/>
                <w:color w:val="F06A6A"/>
              </w:rPr>
              <w:t>FOR</w:t>
            </w:r>
          </w:p>
        </w:tc>
        <w:tc>
          <w:tcPr>
            <w:tcW w:w="0" w:type="dxa"/>
            <w:vAlign w:val="bottom"/>
          </w:tcPr>
          <w:p>
            <w:pPr>
              <w:spacing w:after="0"/>
              <w:rPr>
                <w:sz w:val="1"/>
                <w:szCs w:val="1"/>
                <w:color w:val="auto"/>
              </w:rPr>
            </w:pPr>
          </w:p>
        </w:tc>
      </w:tr>
      <w:tr>
        <w:trPr>
          <w:trHeight w:val="145"/>
        </w:trPr>
        <w:tc>
          <w:tcPr>
            <w:tcW w:w="1680" w:type="dxa"/>
            <w:vAlign w:val="bottom"/>
            <w:tcBorders>
              <w:left w:val="single" w:sz="8" w:color="A5A4A3"/>
              <w:right w:val="single" w:sz="8" w:color="A5A4A3"/>
            </w:tcBorders>
            <w:vMerge w:val="continue"/>
          </w:tcPr>
          <w:p>
            <w:pPr>
              <w:spacing w:after="0"/>
              <w:rPr>
                <w:sz w:val="12"/>
                <w:szCs w:val="12"/>
                <w:color w:val="auto"/>
              </w:rPr>
            </w:pPr>
          </w:p>
        </w:tc>
        <w:tc>
          <w:tcPr>
            <w:tcW w:w="5120" w:type="dxa"/>
            <w:vAlign w:val="bottom"/>
            <w:tcBorders>
              <w:right w:val="single" w:sz="8" w:color="A5A4A3"/>
            </w:tcBorders>
            <w:vMerge w:val="restart"/>
          </w:tcPr>
          <w:p>
            <w:pPr>
              <w:ind w:left="80"/>
              <w:spacing w:after="0"/>
              <w:rPr>
                <w:sz w:val="20"/>
                <w:szCs w:val="20"/>
                <w:color w:val="auto"/>
              </w:rPr>
            </w:pPr>
            <w:r>
              <w:rPr>
                <w:rFonts w:ascii="Arial" w:cs="Arial" w:eastAsia="Arial" w:hAnsi="Arial"/>
                <w:sz w:val="18"/>
                <w:szCs w:val="18"/>
                <w:color w:val="0D0E10"/>
              </w:rPr>
              <w:t>public accounting firm for our fiscal year ending January 31,</w:t>
            </w:r>
          </w:p>
        </w:tc>
        <w:tc>
          <w:tcPr>
            <w:tcW w:w="3480" w:type="dxa"/>
            <w:vAlign w:val="bottom"/>
            <w:tcBorders>
              <w:right w:val="single" w:sz="8" w:color="A5A4A3"/>
            </w:tcBorders>
            <w:vMerge w:val="continue"/>
          </w:tcPr>
          <w:p>
            <w:pPr>
              <w:spacing w:after="0"/>
              <w:rPr>
                <w:sz w:val="12"/>
                <w:szCs w:val="12"/>
                <w:color w:val="auto"/>
              </w:rPr>
            </w:pPr>
          </w:p>
        </w:tc>
        <w:tc>
          <w:tcPr>
            <w:tcW w:w="980" w:type="dxa"/>
            <w:vAlign w:val="bottom"/>
            <w:tcBorders>
              <w:right w:val="single" w:sz="8" w:color="A5A4A3"/>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680" w:type="dxa"/>
            <w:vAlign w:val="bottom"/>
            <w:tcBorders>
              <w:left w:val="single" w:sz="8" w:color="A5A4A3"/>
              <w:right w:val="single" w:sz="8" w:color="A5A4A3"/>
            </w:tcBorders>
          </w:tcPr>
          <w:p>
            <w:pPr>
              <w:spacing w:after="0"/>
              <w:rPr>
                <w:sz w:val="7"/>
                <w:szCs w:val="7"/>
                <w:color w:val="auto"/>
              </w:rPr>
            </w:pPr>
          </w:p>
        </w:tc>
        <w:tc>
          <w:tcPr>
            <w:tcW w:w="5120" w:type="dxa"/>
            <w:vAlign w:val="bottom"/>
            <w:tcBorders>
              <w:right w:val="single" w:sz="8" w:color="A5A4A3"/>
            </w:tcBorders>
            <w:vMerge w:val="continue"/>
          </w:tcPr>
          <w:p>
            <w:pPr>
              <w:spacing w:after="0"/>
              <w:rPr>
                <w:sz w:val="7"/>
                <w:szCs w:val="7"/>
                <w:color w:val="auto"/>
              </w:rPr>
            </w:pPr>
          </w:p>
        </w:tc>
        <w:tc>
          <w:tcPr>
            <w:tcW w:w="3480" w:type="dxa"/>
            <w:vAlign w:val="bottom"/>
            <w:tcBorders>
              <w:right w:val="single" w:sz="8" w:color="A5A4A3"/>
            </w:tcBorders>
          </w:tcPr>
          <w:p>
            <w:pPr>
              <w:spacing w:after="0"/>
              <w:rPr>
                <w:sz w:val="7"/>
                <w:szCs w:val="7"/>
                <w:color w:val="auto"/>
              </w:rPr>
            </w:pPr>
          </w:p>
        </w:tc>
        <w:tc>
          <w:tcPr>
            <w:tcW w:w="980" w:type="dxa"/>
            <w:vAlign w:val="bottom"/>
            <w:tcBorders>
              <w:right w:val="single" w:sz="8" w:color="A5A4A3"/>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680" w:type="dxa"/>
            <w:vAlign w:val="bottom"/>
            <w:tcBorders>
              <w:left w:val="single" w:sz="8" w:color="A5A4A3"/>
              <w:right w:val="single" w:sz="8" w:color="A5A4A3"/>
            </w:tcBorders>
          </w:tcPr>
          <w:p>
            <w:pPr>
              <w:spacing w:after="0"/>
              <w:rPr>
                <w:sz w:val="20"/>
                <w:szCs w:val="20"/>
                <w:color w:val="auto"/>
              </w:rPr>
            </w:pPr>
          </w:p>
        </w:tc>
        <w:tc>
          <w:tcPr>
            <w:tcW w:w="5120" w:type="dxa"/>
            <w:vAlign w:val="bottom"/>
            <w:tcBorders>
              <w:right w:val="single" w:sz="8" w:color="A5A4A3"/>
            </w:tcBorders>
          </w:tcPr>
          <w:p>
            <w:pPr>
              <w:ind w:left="80"/>
              <w:spacing w:after="0"/>
              <w:rPr>
                <w:sz w:val="20"/>
                <w:szCs w:val="20"/>
                <w:color w:val="auto"/>
              </w:rPr>
            </w:pPr>
            <w:r>
              <w:rPr>
                <w:rFonts w:ascii="Arial" w:cs="Arial" w:eastAsia="Arial" w:hAnsi="Arial"/>
                <w:sz w:val="18"/>
                <w:szCs w:val="18"/>
                <w:color w:val="0D0E10"/>
              </w:rPr>
              <w:t>2025.</w:t>
            </w:r>
          </w:p>
        </w:tc>
        <w:tc>
          <w:tcPr>
            <w:tcW w:w="3480" w:type="dxa"/>
            <w:vAlign w:val="bottom"/>
            <w:tcBorders>
              <w:right w:val="single" w:sz="8" w:color="A5A4A3"/>
            </w:tcBorders>
          </w:tcPr>
          <w:p>
            <w:pPr>
              <w:spacing w:after="0"/>
              <w:rPr>
                <w:sz w:val="20"/>
                <w:szCs w:val="20"/>
                <w:color w:val="auto"/>
              </w:rPr>
            </w:pPr>
          </w:p>
        </w:tc>
        <w:tc>
          <w:tcPr>
            <w:tcW w:w="980" w:type="dxa"/>
            <w:vAlign w:val="bottom"/>
            <w:tcBorders>
              <w:right w:val="single" w:sz="8" w:color="A5A4A3"/>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680" w:type="dxa"/>
            <w:vAlign w:val="bottom"/>
            <w:tcBorders>
              <w:left w:val="single" w:sz="8" w:color="A5A4A3"/>
              <w:bottom w:val="single" w:sz="8" w:color="A5A4A3"/>
              <w:right w:val="single" w:sz="8" w:color="A5A4A3"/>
            </w:tcBorders>
          </w:tcPr>
          <w:p>
            <w:pPr>
              <w:spacing w:after="0"/>
              <w:rPr>
                <w:sz w:val="2"/>
                <w:szCs w:val="2"/>
                <w:color w:val="auto"/>
              </w:rPr>
            </w:pPr>
          </w:p>
        </w:tc>
        <w:tc>
          <w:tcPr>
            <w:tcW w:w="5120" w:type="dxa"/>
            <w:vAlign w:val="bottom"/>
            <w:tcBorders>
              <w:bottom w:val="single" w:sz="8" w:color="A5A4A3"/>
              <w:right w:val="single" w:sz="8" w:color="A5A4A3"/>
            </w:tcBorders>
          </w:tcPr>
          <w:p>
            <w:pPr>
              <w:spacing w:after="0"/>
              <w:rPr>
                <w:sz w:val="2"/>
                <w:szCs w:val="2"/>
                <w:color w:val="auto"/>
              </w:rPr>
            </w:pPr>
          </w:p>
        </w:tc>
        <w:tc>
          <w:tcPr>
            <w:tcW w:w="3480" w:type="dxa"/>
            <w:vAlign w:val="bottom"/>
            <w:tcBorders>
              <w:bottom w:val="single" w:sz="8" w:color="A5A4A3"/>
              <w:right w:val="single" w:sz="8" w:color="A5A4A3"/>
            </w:tcBorders>
          </w:tcPr>
          <w:p>
            <w:pPr>
              <w:spacing w:after="0"/>
              <w:rPr>
                <w:sz w:val="2"/>
                <w:szCs w:val="2"/>
                <w:color w:val="auto"/>
              </w:rPr>
            </w:pPr>
          </w:p>
        </w:tc>
        <w:tc>
          <w:tcPr>
            <w:tcW w:w="980" w:type="dxa"/>
            <w:vAlign w:val="bottom"/>
            <w:tcBorders>
              <w:bottom w:val="single" w:sz="8" w:color="A5A4A3"/>
              <w:right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1680" w:type="dxa"/>
            <w:vAlign w:val="bottom"/>
            <w:tcBorders>
              <w:left w:val="single" w:sz="8" w:color="A5A4A3"/>
              <w:right w:val="single" w:sz="8" w:color="A5A4A3"/>
            </w:tcBorders>
            <w:vMerge w:val="restart"/>
          </w:tcPr>
          <w:p>
            <w:pPr>
              <w:ind w:left="120"/>
              <w:spacing w:after="0"/>
              <w:rPr>
                <w:sz w:val="20"/>
                <w:szCs w:val="20"/>
                <w:color w:val="auto"/>
              </w:rPr>
            </w:pPr>
            <w:r>
              <w:rPr>
                <w:rFonts w:ascii="Arial" w:cs="Arial" w:eastAsia="Arial" w:hAnsi="Arial"/>
                <w:sz w:val="22"/>
                <w:szCs w:val="22"/>
                <w:color w:val="0D0E10"/>
              </w:rPr>
              <w:t>Proposal 3</w:t>
            </w:r>
          </w:p>
        </w:tc>
        <w:tc>
          <w:tcPr>
            <w:tcW w:w="5120" w:type="dxa"/>
            <w:vAlign w:val="bottom"/>
            <w:tcBorders>
              <w:right w:val="single" w:sz="8" w:color="A5A4A3"/>
            </w:tcBorders>
          </w:tcPr>
          <w:p>
            <w:pPr>
              <w:ind w:left="80"/>
              <w:spacing w:after="0"/>
              <w:rPr>
                <w:sz w:val="20"/>
                <w:szCs w:val="20"/>
                <w:color w:val="auto"/>
              </w:rPr>
            </w:pPr>
            <w:r>
              <w:rPr>
                <w:rFonts w:ascii="Arial" w:cs="Arial" w:eastAsia="Arial" w:hAnsi="Arial"/>
                <w:sz w:val="18"/>
                <w:szCs w:val="18"/>
                <w:color w:val="0D0E10"/>
              </w:rPr>
              <w:t>The approval, on an advisory basis, of the compensation of</w:t>
            </w:r>
          </w:p>
        </w:tc>
        <w:tc>
          <w:tcPr>
            <w:tcW w:w="3480" w:type="dxa"/>
            <w:vAlign w:val="bottom"/>
            <w:tcBorders>
              <w:right w:val="single" w:sz="8" w:color="A5A4A3"/>
            </w:tcBorders>
            <w:vMerge w:val="restart"/>
          </w:tcPr>
          <w:p>
            <w:pPr>
              <w:jc w:val="center"/>
              <w:spacing w:after="0"/>
              <w:rPr>
                <w:sz w:val="20"/>
                <w:szCs w:val="20"/>
                <w:color w:val="auto"/>
              </w:rPr>
            </w:pPr>
            <w:r>
              <w:rPr>
                <w:rFonts w:ascii="Arial" w:cs="Arial" w:eastAsia="Arial" w:hAnsi="Arial"/>
                <w:sz w:val="18"/>
                <w:szCs w:val="18"/>
                <w:color w:val="0D0E10"/>
                <w:w w:val="99"/>
              </w:rPr>
              <w:t>Majority of votes present</w:t>
            </w:r>
          </w:p>
        </w:tc>
        <w:tc>
          <w:tcPr>
            <w:tcW w:w="980" w:type="dxa"/>
            <w:vAlign w:val="bottom"/>
            <w:tcBorders>
              <w:right w:val="single" w:sz="8" w:color="A5A4A3"/>
            </w:tcBorders>
            <w:vMerge w:val="restart"/>
          </w:tcPr>
          <w:p>
            <w:pPr>
              <w:ind w:left="300"/>
              <w:spacing w:after="0"/>
              <w:rPr>
                <w:sz w:val="20"/>
                <w:szCs w:val="20"/>
                <w:color w:val="auto"/>
              </w:rPr>
            </w:pPr>
            <w:r>
              <w:rPr>
                <w:rFonts w:ascii="Arial" w:cs="Arial" w:eastAsia="Arial" w:hAnsi="Arial"/>
                <w:sz w:val="18"/>
                <w:szCs w:val="18"/>
                <w:color w:val="F06A6A"/>
              </w:rPr>
              <w:t>FOR</w:t>
            </w:r>
          </w:p>
        </w:tc>
        <w:tc>
          <w:tcPr>
            <w:tcW w:w="0" w:type="dxa"/>
            <w:vAlign w:val="bottom"/>
          </w:tcPr>
          <w:p>
            <w:pPr>
              <w:spacing w:after="0"/>
              <w:rPr>
                <w:sz w:val="1"/>
                <w:szCs w:val="1"/>
                <w:color w:val="auto"/>
              </w:rPr>
            </w:pPr>
          </w:p>
        </w:tc>
      </w:tr>
      <w:tr>
        <w:trPr>
          <w:trHeight w:val="154"/>
        </w:trPr>
        <w:tc>
          <w:tcPr>
            <w:tcW w:w="1680" w:type="dxa"/>
            <w:vAlign w:val="bottom"/>
            <w:tcBorders>
              <w:left w:val="single" w:sz="8" w:color="A5A4A3"/>
              <w:right w:val="single" w:sz="8" w:color="A5A4A3"/>
            </w:tcBorders>
            <w:vMerge w:val="continue"/>
          </w:tcPr>
          <w:p>
            <w:pPr>
              <w:spacing w:after="0"/>
              <w:rPr>
                <w:sz w:val="13"/>
                <w:szCs w:val="13"/>
                <w:color w:val="auto"/>
              </w:rPr>
            </w:pPr>
          </w:p>
        </w:tc>
        <w:tc>
          <w:tcPr>
            <w:tcW w:w="5120" w:type="dxa"/>
            <w:vAlign w:val="bottom"/>
            <w:tcBorders>
              <w:right w:val="single" w:sz="8" w:color="A5A4A3"/>
            </w:tcBorders>
            <w:vMerge w:val="restart"/>
          </w:tcPr>
          <w:p>
            <w:pPr>
              <w:ind w:left="80"/>
              <w:spacing w:after="0"/>
              <w:rPr>
                <w:sz w:val="20"/>
                <w:szCs w:val="20"/>
                <w:color w:val="auto"/>
              </w:rPr>
            </w:pPr>
            <w:r>
              <w:rPr>
                <w:rFonts w:ascii="Arial" w:cs="Arial" w:eastAsia="Arial" w:hAnsi="Arial"/>
                <w:sz w:val="18"/>
                <w:szCs w:val="18"/>
                <w:color w:val="0D0E10"/>
              </w:rPr>
              <w:t>our named executive officers, or the Say-on-Pay vote.</w:t>
            </w:r>
          </w:p>
        </w:tc>
        <w:tc>
          <w:tcPr>
            <w:tcW w:w="3480" w:type="dxa"/>
            <w:vAlign w:val="bottom"/>
            <w:tcBorders>
              <w:right w:val="single" w:sz="8" w:color="A5A4A3"/>
            </w:tcBorders>
            <w:vMerge w:val="continue"/>
          </w:tcPr>
          <w:p>
            <w:pPr>
              <w:spacing w:after="0"/>
              <w:rPr>
                <w:sz w:val="13"/>
                <w:szCs w:val="13"/>
                <w:color w:val="auto"/>
              </w:rPr>
            </w:pPr>
          </w:p>
        </w:tc>
        <w:tc>
          <w:tcPr>
            <w:tcW w:w="980" w:type="dxa"/>
            <w:vAlign w:val="bottom"/>
            <w:tcBorders>
              <w:right w:val="single" w:sz="8" w:color="A5A4A3"/>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1680" w:type="dxa"/>
            <w:vAlign w:val="bottom"/>
            <w:tcBorders>
              <w:left w:val="single" w:sz="8" w:color="A5A4A3"/>
              <w:right w:val="single" w:sz="8" w:color="A5A4A3"/>
            </w:tcBorders>
          </w:tcPr>
          <w:p>
            <w:pPr>
              <w:spacing w:after="0"/>
              <w:rPr>
                <w:sz w:val="7"/>
                <w:szCs w:val="7"/>
                <w:color w:val="auto"/>
              </w:rPr>
            </w:pPr>
          </w:p>
        </w:tc>
        <w:tc>
          <w:tcPr>
            <w:tcW w:w="5120" w:type="dxa"/>
            <w:vAlign w:val="bottom"/>
            <w:tcBorders>
              <w:right w:val="single" w:sz="8" w:color="A5A4A3"/>
            </w:tcBorders>
            <w:vMerge w:val="continue"/>
          </w:tcPr>
          <w:p>
            <w:pPr>
              <w:spacing w:after="0"/>
              <w:rPr>
                <w:sz w:val="7"/>
                <w:szCs w:val="7"/>
                <w:color w:val="auto"/>
              </w:rPr>
            </w:pPr>
          </w:p>
        </w:tc>
        <w:tc>
          <w:tcPr>
            <w:tcW w:w="3480" w:type="dxa"/>
            <w:vAlign w:val="bottom"/>
            <w:tcBorders>
              <w:right w:val="single" w:sz="8" w:color="A5A4A3"/>
            </w:tcBorders>
          </w:tcPr>
          <w:p>
            <w:pPr>
              <w:spacing w:after="0"/>
              <w:rPr>
                <w:sz w:val="7"/>
                <w:szCs w:val="7"/>
                <w:color w:val="auto"/>
              </w:rPr>
            </w:pPr>
          </w:p>
        </w:tc>
        <w:tc>
          <w:tcPr>
            <w:tcW w:w="980" w:type="dxa"/>
            <w:vAlign w:val="bottom"/>
            <w:tcBorders>
              <w:right w:val="single" w:sz="8" w:color="A5A4A3"/>
            </w:tcBorders>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680" w:type="dxa"/>
            <w:vAlign w:val="bottom"/>
            <w:tcBorders>
              <w:left w:val="single" w:sz="8" w:color="A5A4A3"/>
              <w:bottom w:val="single" w:sz="8" w:color="A5A4A3"/>
              <w:right w:val="single" w:sz="8" w:color="A5A4A3"/>
            </w:tcBorders>
          </w:tcPr>
          <w:p>
            <w:pPr>
              <w:spacing w:after="0"/>
              <w:rPr>
                <w:sz w:val="3"/>
                <w:szCs w:val="3"/>
                <w:color w:val="auto"/>
              </w:rPr>
            </w:pPr>
          </w:p>
        </w:tc>
        <w:tc>
          <w:tcPr>
            <w:tcW w:w="5120" w:type="dxa"/>
            <w:vAlign w:val="bottom"/>
            <w:tcBorders>
              <w:bottom w:val="single" w:sz="8" w:color="A5A4A3"/>
              <w:right w:val="single" w:sz="8" w:color="A5A4A3"/>
            </w:tcBorders>
          </w:tcPr>
          <w:p>
            <w:pPr>
              <w:spacing w:after="0"/>
              <w:rPr>
                <w:sz w:val="3"/>
                <w:szCs w:val="3"/>
                <w:color w:val="auto"/>
              </w:rPr>
            </w:pPr>
          </w:p>
        </w:tc>
        <w:tc>
          <w:tcPr>
            <w:tcW w:w="3480" w:type="dxa"/>
            <w:vAlign w:val="bottom"/>
            <w:tcBorders>
              <w:bottom w:val="single" w:sz="8" w:color="A5A4A3"/>
              <w:right w:val="single" w:sz="8" w:color="A5A4A3"/>
            </w:tcBorders>
          </w:tcPr>
          <w:p>
            <w:pPr>
              <w:spacing w:after="0"/>
              <w:rPr>
                <w:sz w:val="3"/>
                <w:szCs w:val="3"/>
                <w:color w:val="auto"/>
              </w:rPr>
            </w:pPr>
          </w:p>
        </w:tc>
        <w:tc>
          <w:tcPr>
            <w:tcW w:w="980" w:type="dxa"/>
            <w:vAlign w:val="bottom"/>
            <w:tcBorders>
              <w:bottom w:val="single" w:sz="8" w:color="A5A4A3"/>
              <w:right w:val="single" w:sz="8" w:color="A5A4A3"/>
            </w:tcBorders>
          </w:tcPr>
          <w:p>
            <w:pPr>
              <w:spacing w:after="0"/>
              <w:rPr>
                <w:sz w:val="3"/>
                <w:szCs w:val="3"/>
                <w:color w:val="auto"/>
              </w:rPr>
            </w:pPr>
          </w:p>
        </w:tc>
        <w:tc>
          <w:tcPr>
            <w:tcW w:w="0" w:type="dxa"/>
            <w:vAlign w:val="bottom"/>
          </w:tcPr>
          <w:p>
            <w:pPr>
              <w:spacing w:after="0"/>
              <w:rPr>
                <w:sz w:val="1"/>
                <w:szCs w:val="1"/>
                <w:color w:val="auto"/>
              </w:rPr>
            </w:pPr>
          </w:p>
        </w:tc>
      </w:tr>
      <w:tr>
        <w:trPr>
          <w:trHeight w:val="715"/>
        </w:trPr>
        <w:tc>
          <w:tcPr>
            <w:tcW w:w="1680" w:type="dxa"/>
            <w:vAlign w:val="bottom"/>
          </w:tcPr>
          <w:p>
            <w:pPr>
              <w:ind w:left="20"/>
              <w:spacing w:after="0"/>
              <w:rPr>
                <w:sz w:val="20"/>
                <w:szCs w:val="20"/>
                <w:color w:val="auto"/>
              </w:rPr>
            </w:pPr>
            <w:r>
              <w:rPr>
                <w:rFonts w:ascii="Arial" w:cs="Arial" w:eastAsia="Arial" w:hAnsi="Arial"/>
                <w:sz w:val="14"/>
                <w:szCs w:val="14"/>
                <w:color w:val="0D0E10"/>
              </w:rPr>
              <w:t>2024 Proxy Statement</w:t>
            </w:r>
          </w:p>
        </w:tc>
        <w:tc>
          <w:tcPr>
            <w:tcW w:w="5120" w:type="dxa"/>
            <w:vAlign w:val="bottom"/>
          </w:tcPr>
          <w:p>
            <w:pPr>
              <w:ind w:left="3900"/>
              <w:spacing w:after="0"/>
              <w:rPr>
                <w:sz w:val="20"/>
                <w:szCs w:val="20"/>
                <w:color w:val="auto"/>
              </w:rPr>
            </w:pPr>
            <w:r>
              <w:rPr>
                <w:rFonts w:ascii="Arial" w:cs="Arial" w:eastAsia="Arial" w:hAnsi="Arial"/>
                <w:sz w:val="16"/>
                <w:szCs w:val="16"/>
                <w:b w:val="1"/>
                <w:bCs w:val="1"/>
                <w:color w:val="F06A6A"/>
              </w:rPr>
              <w:t>1</w:t>
            </w:r>
          </w:p>
        </w:tc>
        <w:tc>
          <w:tcPr>
            <w:tcW w:w="3480" w:type="dxa"/>
            <w:vAlign w:val="bottom"/>
          </w:tcPr>
          <w:p>
            <w:pPr>
              <w:spacing w:after="0"/>
              <w:rPr>
                <w:sz w:val="24"/>
                <w:szCs w:val="24"/>
                <w:color w:val="auto"/>
              </w:rPr>
            </w:pPr>
          </w:p>
        </w:tc>
        <w:tc>
          <w:tcPr>
            <w:tcW w:w="980" w:type="dxa"/>
            <w:vAlign w:val="bottom"/>
          </w:tcPr>
          <w:p>
            <w:pPr>
              <w:ind w:left="540"/>
              <w:spacing w:after="0"/>
              <w:rPr>
                <w:sz w:val="20"/>
                <w:szCs w:val="20"/>
                <w:color w:val="auto"/>
              </w:rPr>
            </w:pPr>
            <w:r>
              <w:rPr>
                <w:rFonts w:ascii="Arial" w:cs="Arial" w:eastAsia="Arial" w:hAnsi="Arial"/>
                <w:sz w:val="14"/>
                <w:szCs w:val="14"/>
                <w:color w:val="0D0E10"/>
              </w:rPr>
              <w:t>Asana</w:t>
            </w:r>
          </w:p>
        </w:tc>
        <w:tc>
          <w:tcPr>
            <w:tcW w:w="0" w:type="dxa"/>
            <w:vAlign w:val="bottom"/>
          </w:tcPr>
          <w:p>
            <w:pPr>
              <w:spacing w:after="0"/>
              <w:rPr>
                <w:sz w:val="1"/>
                <w:szCs w:val="1"/>
                <w:color w:val="auto"/>
              </w:rPr>
            </w:pPr>
          </w:p>
        </w:tc>
      </w:tr>
      <w:tr>
        <w:trPr>
          <w:trHeight w:val="217"/>
        </w:trPr>
        <w:tc>
          <w:tcPr>
            <w:tcW w:w="1680" w:type="dxa"/>
            <w:vAlign w:val="bottom"/>
            <w:tcBorders>
              <w:bottom w:val="single" w:sz="8" w:color="9A9A9A"/>
            </w:tcBorders>
          </w:tcPr>
          <w:p>
            <w:pPr>
              <w:spacing w:after="0"/>
              <w:rPr>
                <w:sz w:val="18"/>
                <w:szCs w:val="18"/>
                <w:color w:val="auto"/>
              </w:rPr>
            </w:pPr>
          </w:p>
        </w:tc>
        <w:tc>
          <w:tcPr>
            <w:tcW w:w="5120" w:type="dxa"/>
            <w:vAlign w:val="bottom"/>
            <w:tcBorders>
              <w:bottom w:val="single" w:sz="8" w:color="9A9A9A"/>
            </w:tcBorders>
          </w:tcPr>
          <w:p>
            <w:pPr>
              <w:spacing w:after="0"/>
              <w:rPr>
                <w:sz w:val="18"/>
                <w:szCs w:val="18"/>
                <w:color w:val="auto"/>
              </w:rPr>
            </w:pPr>
          </w:p>
        </w:tc>
        <w:tc>
          <w:tcPr>
            <w:tcW w:w="34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383" w:right="2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2024 Annual Meeting of Stockholders</w:t>
      </w:r>
    </w:p>
    <w:p>
      <w:pPr>
        <w:spacing w:after="0" w:line="343" w:lineRule="exact"/>
        <w:rPr>
          <w:sz w:val="20"/>
          <w:szCs w:val="20"/>
          <w:color w:val="auto"/>
        </w:rPr>
      </w:pPr>
    </w:p>
    <w:p>
      <w:pPr>
        <w:spacing w:after="0"/>
        <w:rPr>
          <w:sz w:val="20"/>
          <w:szCs w:val="20"/>
          <w:color w:val="auto"/>
        </w:rPr>
      </w:pPr>
      <w:r>
        <w:rPr>
          <w:rFonts w:ascii="Arial" w:cs="Arial" w:eastAsia="Arial" w:hAnsi="Arial"/>
          <w:sz w:val="32"/>
          <w:szCs w:val="32"/>
          <w:color w:val="0D0E10"/>
        </w:rPr>
        <w:t>Monday, June 17, 2024 at 2:00 P.M. Pacific Time</w:t>
      </w:r>
    </w:p>
    <w:p>
      <w:pPr>
        <w:spacing w:after="0" w:line="195"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 xml:space="preserve">This proxy statement and the enclosed form of proxy are being provided to you in connection with the solicitation of proxies by our board of directors, referred to as the Board of Directors or the Board, for use at the 2024 annual meeting of stockholders of Asana, Inc., a Delaware corporation, referred to as the Company or Asana, and any postponements, adjournments, or continuations thereof, referred to as the Annual Meeting. The Annual Meeting will be held as a virtual meeting on Monday, June 17, 2024 at 2:00 p.m. Pacific Time via a live audio webcast on the internet at </w:t>
      </w:r>
      <w:r>
        <w:rPr>
          <w:rFonts w:ascii="Arial" w:cs="Arial" w:eastAsia="Arial" w:hAnsi="Arial"/>
          <w:sz w:val="18"/>
          <w:szCs w:val="18"/>
          <w:i w:val="1"/>
          <w:iCs w:val="1"/>
          <w:color w:val="F06A6A"/>
        </w:rPr>
        <w:t>www.virtualshareholdermeeting.com/ASAN2024</w:t>
      </w:r>
      <w:r>
        <w:rPr>
          <w:rFonts w:ascii="Arial" w:cs="Arial" w:eastAsia="Arial" w:hAnsi="Arial"/>
          <w:sz w:val="18"/>
          <w:szCs w:val="18"/>
          <w:color w:val="0D0E10"/>
        </w:rPr>
        <w:t xml:space="preserve"> where you will be able to listen to the meeting, submit questions, and vote online. The Notice of Internet Availability of Proxy Materials, or the Notice, containing instructions on how to access this proxy statement and our annual report is first being mailed on or about May 3, 2024 to all stockholders entitled to vote at the Annual Meeting.</w:t>
      </w:r>
    </w:p>
    <w:p>
      <w:pPr>
        <w:spacing w:after="0" w:line="118"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color w:val="0D0E10"/>
        </w:rPr>
        <w:t>A list of stockholders entitled to vote will be available for 10 days prior to the Annual Meeting at our headquarters, 633 Folsom Street, Suite 100, San Francisco, California 94107. If you would like to view the stockholder list, please contact our Investor Relations department with an electronic mail, or e-mail, message to ir@asana.com to schedule an appointment.</w:t>
      </w:r>
    </w:p>
    <w:p>
      <w:pPr>
        <w:spacing w:after="0" w:line="103" w:lineRule="exact"/>
        <w:rPr>
          <w:sz w:val="20"/>
          <w:szCs w:val="20"/>
          <w:color w:val="auto"/>
        </w:rPr>
      </w:pPr>
    </w:p>
    <w:p>
      <w:pPr>
        <w:ind w:right="60"/>
        <w:spacing w:after="0" w:line="304" w:lineRule="auto"/>
        <w:rPr>
          <w:sz w:val="20"/>
          <w:szCs w:val="20"/>
          <w:color w:val="auto"/>
        </w:rPr>
      </w:pPr>
      <w:r>
        <w:rPr>
          <w:rFonts w:ascii="Arial" w:cs="Arial" w:eastAsia="Arial" w:hAnsi="Arial"/>
          <w:sz w:val="18"/>
          <w:szCs w:val="18"/>
          <w:color w:val="0D0E1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19" w:lineRule="exact"/>
        <w:rPr>
          <w:sz w:val="20"/>
          <w:szCs w:val="20"/>
          <w:color w:val="auto"/>
        </w:rPr>
      </w:pPr>
    </w:p>
    <w:p>
      <w:pPr>
        <w:ind w:right="360"/>
        <w:spacing w:after="0" w:line="277" w:lineRule="auto"/>
        <w:rPr>
          <w:sz w:val="20"/>
          <w:szCs w:val="20"/>
          <w:color w:val="auto"/>
        </w:rPr>
      </w:pPr>
      <w:r>
        <w:rPr>
          <w:rFonts w:ascii="Arial" w:cs="Arial" w:eastAsia="Arial" w:hAnsi="Arial"/>
          <w:sz w:val="32"/>
          <w:szCs w:val="32"/>
          <w:color w:val="0D0E10"/>
        </w:rPr>
        <w:t>Questions and Answers Regarding this Solicitation and Voting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0D0E10"/>
        </w:rPr>
        <w:t>What matters am I voting 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F06A6A"/>
        </w:rPr>
        <w:t>You will be voting on:</w:t>
      </w:r>
    </w:p>
    <w:p>
      <w:pPr>
        <w:spacing w:after="0" w:line="117" w:lineRule="exact"/>
        <w:rPr>
          <w:sz w:val="20"/>
          <w:szCs w:val="20"/>
          <w:color w:val="auto"/>
        </w:rPr>
      </w:pPr>
    </w:p>
    <w:p>
      <w:pPr>
        <w:ind w:left="660" w:right="20" w:hanging="328"/>
        <w:spacing w:after="0" w:line="334" w:lineRule="auto"/>
        <w:tabs>
          <w:tab w:leader="none" w:pos="661" w:val="left"/>
        </w:tabs>
        <w:numPr>
          <w:ilvl w:val="0"/>
          <w:numId w:val="12"/>
        </w:numPr>
        <w:rPr>
          <w:rFonts w:ascii="Arial" w:cs="Arial" w:eastAsia="Arial" w:hAnsi="Arial"/>
          <w:sz w:val="18"/>
          <w:szCs w:val="18"/>
          <w:color w:val="0D0E10"/>
        </w:rPr>
      </w:pPr>
      <w:r>
        <w:rPr>
          <w:rFonts w:ascii="Arial" w:cs="Arial" w:eastAsia="Arial" w:hAnsi="Arial"/>
          <w:sz w:val="18"/>
          <w:szCs w:val="18"/>
          <w:color w:val="0D0E10"/>
        </w:rPr>
        <w:t>the election of the two nominees for Class I directors to serve on our board of directors until our 2027 annual meeting of stockholders and until their successors are duly elected and qualified;</w:t>
      </w:r>
    </w:p>
    <w:p>
      <w:pPr>
        <w:spacing w:after="0" w:line="98" w:lineRule="exact"/>
        <w:rPr>
          <w:rFonts w:ascii="Arial" w:cs="Arial" w:eastAsia="Arial" w:hAnsi="Arial"/>
          <w:sz w:val="18"/>
          <w:szCs w:val="18"/>
          <w:color w:val="0D0E10"/>
        </w:rPr>
      </w:pPr>
    </w:p>
    <w:p>
      <w:pPr>
        <w:ind w:left="660" w:right="40" w:hanging="328"/>
        <w:spacing w:after="0" w:line="318" w:lineRule="auto"/>
        <w:tabs>
          <w:tab w:leader="none" w:pos="661" w:val="left"/>
        </w:tabs>
        <w:numPr>
          <w:ilvl w:val="0"/>
          <w:numId w:val="12"/>
        </w:numPr>
        <w:rPr>
          <w:rFonts w:ascii="Arial" w:cs="Arial" w:eastAsia="Arial" w:hAnsi="Arial"/>
          <w:sz w:val="18"/>
          <w:szCs w:val="18"/>
          <w:color w:val="0D0E10"/>
        </w:rPr>
      </w:pPr>
      <w:r>
        <w:rPr>
          <w:rFonts w:ascii="Arial" w:cs="Arial" w:eastAsia="Arial" w:hAnsi="Arial"/>
          <w:sz w:val="18"/>
          <w:szCs w:val="18"/>
          <w:color w:val="0D0E10"/>
        </w:rPr>
        <w:t>the ratification of the selection of PricewaterhouseCoopers LLP by the Audit Committee of our Board of Directors as our independent registered public accounting firm for our fiscal year ending January 31, 2025;</w:t>
      </w:r>
    </w:p>
    <w:p>
      <w:pPr>
        <w:spacing w:after="0" w:line="112" w:lineRule="exact"/>
        <w:rPr>
          <w:rFonts w:ascii="Arial" w:cs="Arial" w:eastAsia="Arial" w:hAnsi="Arial"/>
          <w:sz w:val="18"/>
          <w:szCs w:val="18"/>
          <w:color w:val="0D0E10"/>
        </w:rPr>
      </w:pPr>
    </w:p>
    <w:p>
      <w:pPr>
        <w:ind w:left="660" w:hanging="328"/>
        <w:spacing w:after="0"/>
        <w:tabs>
          <w:tab w:leader="none" w:pos="660" w:val="left"/>
        </w:tabs>
        <w:numPr>
          <w:ilvl w:val="0"/>
          <w:numId w:val="12"/>
        </w:numPr>
        <w:rPr>
          <w:rFonts w:ascii="Arial" w:cs="Arial" w:eastAsia="Arial" w:hAnsi="Arial"/>
          <w:sz w:val="18"/>
          <w:szCs w:val="18"/>
          <w:color w:val="0D0E10"/>
        </w:rPr>
      </w:pPr>
      <w:r>
        <w:rPr>
          <w:rFonts w:ascii="Arial" w:cs="Arial" w:eastAsia="Arial" w:hAnsi="Arial"/>
          <w:sz w:val="18"/>
          <w:szCs w:val="18"/>
          <w:color w:val="0D0E10"/>
        </w:rPr>
        <w:t>the advisory approval of the compensation of our named executive officers; and</w:t>
      </w:r>
    </w:p>
    <w:p>
      <w:pPr>
        <w:spacing w:after="0" w:line="198" w:lineRule="exact"/>
        <w:rPr>
          <w:rFonts w:ascii="Arial" w:cs="Arial" w:eastAsia="Arial" w:hAnsi="Arial"/>
          <w:sz w:val="18"/>
          <w:szCs w:val="18"/>
          <w:color w:val="0D0E10"/>
        </w:rPr>
      </w:pPr>
    </w:p>
    <w:p>
      <w:pPr>
        <w:ind w:left="660" w:hanging="328"/>
        <w:spacing w:after="0"/>
        <w:tabs>
          <w:tab w:leader="none" w:pos="660" w:val="left"/>
        </w:tabs>
        <w:numPr>
          <w:ilvl w:val="0"/>
          <w:numId w:val="12"/>
        </w:numPr>
        <w:rPr>
          <w:rFonts w:ascii="Arial" w:cs="Arial" w:eastAsia="Arial" w:hAnsi="Arial"/>
          <w:sz w:val="18"/>
          <w:szCs w:val="18"/>
          <w:color w:val="0D0E10"/>
        </w:rPr>
      </w:pPr>
      <w:r>
        <w:rPr>
          <w:rFonts w:ascii="Arial" w:cs="Arial" w:eastAsia="Arial" w:hAnsi="Arial"/>
          <w:sz w:val="18"/>
          <w:szCs w:val="18"/>
          <w:color w:val="0D0E10"/>
        </w:rPr>
        <w:t>any other business as may properly come before the Annual Meeting or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2</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7" w:name="page8"/>
    <w:bookmarkEnd w:id="7"/>
    <w:p>
      <w:pPr>
        <w:ind w:left="850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D0E10"/>
        </w:rPr>
        <w:t>How does the Board of Directors recommend I vote on these proposals?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F06A6A"/>
        </w:rPr>
        <w:t>Our Board of Directors recommends a vote:</w:t>
      </w:r>
    </w:p>
    <w:p>
      <w:pPr>
        <w:spacing w:after="0" w:line="117"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0D0E10"/>
        </w:rPr>
      </w:pPr>
      <w:r>
        <w:rPr>
          <w:rFonts w:ascii="Arial" w:cs="Arial" w:eastAsia="Arial" w:hAnsi="Arial"/>
          <w:sz w:val="18"/>
          <w:szCs w:val="18"/>
          <w:color w:val="0D0E10"/>
        </w:rPr>
        <w:t>“FOR” the election of Matthew Cohler and Dustin Moskovitz as Class I directors;</w:t>
      </w:r>
    </w:p>
    <w:p>
      <w:pPr>
        <w:spacing w:after="0" w:line="103" w:lineRule="exact"/>
        <w:rPr>
          <w:rFonts w:ascii="Arial" w:cs="Arial" w:eastAsia="Arial" w:hAnsi="Arial"/>
          <w:sz w:val="18"/>
          <w:szCs w:val="18"/>
          <w:color w:val="0D0E10"/>
        </w:rPr>
      </w:pPr>
    </w:p>
    <w:p>
      <w:pPr>
        <w:ind w:left="660" w:right="260" w:hanging="328"/>
        <w:spacing w:after="0" w:line="318" w:lineRule="auto"/>
        <w:tabs>
          <w:tab w:leader="none" w:pos="615" w:val="left"/>
        </w:tabs>
        <w:numPr>
          <w:ilvl w:val="0"/>
          <w:numId w:val="13"/>
        </w:numPr>
        <w:rPr>
          <w:rFonts w:ascii="Arial" w:cs="Arial" w:eastAsia="Arial" w:hAnsi="Arial"/>
          <w:sz w:val="18"/>
          <w:szCs w:val="18"/>
          <w:color w:val="0D0E10"/>
        </w:rPr>
      </w:pPr>
      <w:r>
        <w:rPr>
          <w:rFonts w:ascii="Arial" w:cs="Arial" w:eastAsia="Arial" w:hAnsi="Arial"/>
          <w:sz w:val="18"/>
          <w:szCs w:val="18"/>
          <w:color w:val="0D0E10"/>
        </w:rPr>
        <w:t>“FOR” the ratification of the appointment of PricewaterhouseCoopers LLP as our independent registered public accounting firm for our fiscal year ending January 31, 2025; and</w:t>
      </w:r>
    </w:p>
    <w:p>
      <w:pPr>
        <w:spacing w:after="0" w:line="4" w:lineRule="exact"/>
        <w:rPr>
          <w:rFonts w:ascii="Arial" w:cs="Arial" w:eastAsia="Arial" w:hAnsi="Arial"/>
          <w:sz w:val="18"/>
          <w:szCs w:val="18"/>
          <w:color w:val="0D0E10"/>
        </w:rPr>
      </w:pPr>
    </w:p>
    <w:p>
      <w:pPr>
        <w:ind w:left="660" w:right="180" w:hanging="328"/>
        <w:spacing w:after="0" w:line="334" w:lineRule="auto"/>
        <w:tabs>
          <w:tab w:leader="none" w:pos="615" w:val="left"/>
        </w:tabs>
        <w:numPr>
          <w:ilvl w:val="0"/>
          <w:numId w:val="13"/>
        </w:numPr>
        <w:rPr>
          <w:rFonts w:ascii="Arial" w:cs="Arial" w:eastAsia="Arial" w:hAnsi="Arial"/>
          <w:sz w:val="18"/>
          <w:szCs w:val="18"/>
          <w:color w:val="0D0E10"/>
        </w:rPr>
      </w:pPr>
      <w:r>
        <w:rPr>
          <w:rFonts w:ascii="Arial" w:cs="Arial" w:eastAsia="Arial" w:hAnsi="Arial"/>
          <w:sz w:val="18"/>
          <w:szCs w:val="18"/>
          <w:color w:val="0D0E10"/>
        </w:rPr>
        <w:t>“FOR” the advisory approval of the compensation of our named executive officers, or Say-on-Pay, for our fiscal year ended January 31, 2024.</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0D0E10"/>
        </w:rPr>
        <w:t>Who is entitled to vote?</w:t>
      </w:r>
    </w:p>
    <w:p>
      <w:pPr>
        <w:spacing w:after="0" w:line="187"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0D0E10"/>
        </w:rPr>
        <w:t>Holders of either class of our common stock as of the close of business on April 19, 2024, the Record Date, may vote at the Annual Meeting. As of the Record Date, there were 142,330,590 shares of our Class A common stock outstanding and 85,489,359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our Class A common stock is entitled to one vote on each proposal and each share of our Class B common stock is entitled to 10 votes on each proposal. Our Class A common stock and Class B common stock are collectively referred to in this proxy statement as our common stock.</w:t>
      </w:r>
    </w:p>
    <w:p>
      <w:pPr>
        <w:spacing w:after="0" w:line="131" w:lineRule="exact"/>
        <w:rPr>
          <w:sz w:val="20"/>
          <w:szCs w:val="20"/>
          <w:color w:val="auto"/>
        </w:rPr>
      </w:pPr>
    </w:p>
    <w:p>
      <w:pPr>
        <w:ind w:right="40"/>
        <w:spacing w:after="0" w:line="349" w:lineRule="auto"/>
        <w:rPr>
          <w:sz w:val="20"/>
          <w:szCs w:val="20"/>
          <w:color w:val="auto"/>
        </w:rPr>
      </w:pPr>
      <w:r>
        <w:rPr>
          <w:rFonts w:ascii="Arial" w:cs="Arial" w:eastAsia="Arial" w:hAnsi="Arial"/>
          <w:sz w:val="17"/>
          <w:szCs w:val="17"/>
          <w:i w:val="1"/>
          <w:iCs w:val="1"/>
          <w:color w:val="F06A6A"/>
        </w:rPr>
        <w:t xml:space="preserve">Registered Stockholders. </w:t>
      </w:r>
      <w:r>
        <w:rPr>
          <w:rFonts w:ascii="Arial" w:cs="Arial" w:eastAsia="Arial" w:hAnsi="Arial"/>
          <w:sz w:val="17"/>
          <w:szCs w:val="17"/>
          <w:color w:val="0D0E10"/>
        </w:rPr>
        <w:t>If shares of our common stock are registered directly in your name with our transfer agent, Computershare Trust</w:t>
      </w:r>
      <w:r>
        <w:rPr>
          <w:rFonts w:ascii="Arial" w:cs="Arial" w:eastAsia="Arial" w:hAnsi="Arial"/>
          <w:sz w:val="17"/>
          <w:szCs w:val="17"/>
          <w:i w:val="1"/>
          <w:iCs w:val="1"/>
          <w:color w:val="F06A6A"/>
        </w:rPr>
        <w:t xml:space="preserve"> </w:t>
      </w:r>
      <w:r>
        <w:rPr>
          <w:rFonts w:ascii="Arial" w:cs="Arial" w:eastAsia="Arial" w:hAnsi="Arial"/>
          <w:sz w:val="17"/>
          <w:szCs w:val="17"/>
          <w:color w:val="0D0E10"/>
        </w:rPr>
        <w:t>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collectively as “stockholders of record.”</w:t>
      </w:r>
    </w:p>
    <w:p>
      <w:pPr>
        <w:spacing w:after="0" w:line="105" w:lineRule="exact"/>
        <w:rPr>
          <w:sz w:val="20"/>
          <w:szCs w:val="20"/>
          <w:color w:val="auto"/>
        </w:rPr>
      </w:pPr>
    </w:p>
    <w:p>
      <w:pPr>
        <w:spacing w:after="0" w:line="317" w:lineRule="auto"/>
        <w:rPr>
          <w:sz w:val="20"/>
          <w:szCs w:val="20"/>
          <w:color w:val="auto"/>
        </w:rPr>
      </w:pPr>
      <w:r>
        <w:rPr>
          <w:rFonts w:ascii="Arial" w:cs="Arial" w:eastAsia="Arial" w:hAnsi="Arial"/>
          <w:sz w:val="18"/>
          <w:szCs w:val="18"/>
          <w:i w:val="1"/>
          <w:iCs w:val="1"/>
          <w:color w:val="F06A6A"/>
        </w:rPr>
        <w:t xml:space="preserve">Street Name Stockholders. </w:t>
      </w:r>
      <w:r>
        <w:rPr>
          <w:rFonts w:ascii="Arial" w:cs="Arial" w:eastAsia="Arial" w:hAnsi="Arial"/>
          <w:sz w:val="18"/>
          <w:szCs w:val="18"/>
          <w:color w:val="0D0E10"/>
        </w:rPr>
        <w:t>If shares of our common stock are held on your behalf in a brokerage account or by a bank or other nominee, you</w:t>
      </w:r>
      <w:r>
        <w:rPr>
          <w:rFonts w:ascii="Arial" w:cs="Arial" w:eastAsia="Arial" w:hAnsi="Arial"/>
          <w:sz w:val="18"/>
          <w:szCs w:val="18"/>
          <w:i w:val="1"/>
          <w:iCs w:val="1"/>
          <w:color w:val="F06A6A"/>
        </w:rPr>
        <w:t xml:space="preserve"> </w:t>
      </w:r>
      <w:r>
        <w:rPr>
          <w:rFonts w:ascii="Arial" w:cs="Arial" w:eastAsia="Arial" w:hAnsi="Arial"/>
          <w:sz w:val="18"/>
          <w:szCs w:val="18"/>
          <w:color w:val="0D0E10"/>
        </w:rPr>
        <w:t>are 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collectively as “street name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0D0E10"/>
        </w:rPr>
        <w:t>How many votes are needed for approval of each proposal?</w:t>
      </w:r>
    </w:p>
    <w:p>
      <w:pPr>
        <w:spacing w:after="0" w:line="187" w:lineRule="exact"/>
        <w:rPr>
          <w:sz w:val="20"/>
          <w:szCs w:val="20"/>
          <w:color w:val="auto"/>
        </w:rPr>
      </w:pPr>
    </w:p>
    <w:p>
      <w:pPr>
        <w:ind w:left="660" w:right="60" w:hanging="328"/>
        <w:spacing w:after="0" w:line="320" w:lineRule="auto"/>
        <w:tabs>
          <w:tab w:leader="none" w:pos="615" w:val="left"/>
        </w:tabs>
        <w:numPr>
          <w:ilvl w:val="0"/>
          <w:numId w:val="14"/>
        </w:numPr>
        <w:rPr>
          <w:rFonts w:ascii="Arial" w:cs="Arial" w:eastAsia="Arial" w:hAnsi="Arial"/>
          <w:sz w:val="18"/>
          <w:szCs w:val="18"/>
          <w:i w:val="1"/>
          <w:iCs w:val="1"/>
          <w:color w:val="F06A6A"/>
        </w:rPr>
      </w:pPr>
      <w:r>
        <w:rPr>
          <w:rFonts w:ascii="Arial" w:cs="Arial" w:eastAsia="Arial" w:hAnsi="Arial"/>
          <w:sz w:val="18"/>
          <w:szCs w:val="18"/>
          <w:i w:val="1"/>
          <w:iCs w:val="1"/>
          <w:color w:val="F06A6A"/>
        </w:rPr>
        <w:t xml:space="preserve">Proposal No. 1. </w:t>
      </w:r>
      <w:r>
        <w:rPr>
          <w:rFonts w:ascii="Arial" w:cs="Arial" w:eastAsia="Arial" w:hAnsi="Arial"/>
          <w:sz w:val="18"/>
          <w:szCs w:val="18"/>
          <w:color w:val="0D0E10"/>
        </w:rPr>
        <w:t>The election of directors requires a plurality of the voting power of the shares of our common stock present in person</w:t>
      </w:r>
      <w:r>
        <w:rPr>
          <w:rFonts w:ascii="Arial" w:cs="Arial" w:eastAsia="Arial" w:hAnsi="Arial"/>
          <w:sz w:val="18"/>
          <w:szCs w:val="18"/>
          <w:i w:val="1"/>
          <w:iCs w:val="1"/>
          <w:color w:val="F06A6A"/>
        </w:rPr>
        <w:t xml:space="preserve"> </w:t>
      </w:r>
      <w:r>
        <w:rPr>
          <w:rFonts w:ascii="Arial" w:cs="Arial" w:eastAsia="Arial" w:hAnsi="Arial"/>
          <w:sz w:val="18"/>
          <w:szCs w:val="18"/>
          <w:color w:val="0D0E10"/>
        </w:rPr>
        <w:t>or by 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each have no effect on the outcome of this proposal.</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56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3</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8" w:name="page9"/>
    <w:bookmarkEnd w:id="8"/>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right="80" w:hanging="328"/>
        <w:spacing w:after="0" w:line="325" w:lineRule="auto"/>
        <w:tabs>
          <w:tab w:leader="none" w:pos="615" w:val="left"/>
        </w:tabs>
        <w:numPr>
          <w:ilvl w:val="0"/>
          <w:numId w:val="15"/>
        </w:numPr>
        <w:rPr>
          <w:rFonts w:ascii="Arial" w:cs="Arial" w:eastAsia="Arial" w:hAnsi="Arial"/>
          <w:sz w:val="18"/>
          <w:szCs w:val="18"/>
          <w:i w:val="1"/>
          <w:iCs w:val="1"/>
          <w:color w:val="F06A6A"/>
        </w:rPr>
      </w:pPr>
      <w:r>
        <w:rPr>
          <w:rFonts w:ascii="Arial" w:cs="Arial" w:eastAsia="Arial" w:hAnsi="Arial"/>
          <w:sz w:val="18"/>
          <w:szCs w:val="18"/>
          <w:i w:val="1"/>
          <w:iCs w:val="1"/>
          <w:color w:val="F06A6A"/>
        </w:rPr>
        <w:t xml:space="preserve">Proposal No. 2. </w:t>
      </w:r>
      <w:r>
        <w:rPr>
          <w:rFonts w:ascii="Arial" w:cs="Arial" w:eastAsia="Arial" w:hAnsi="Arial"/>
          <w:sz w:val="18"/>
          <w:szCs w:val="18"/>
          <w:color w:val="0D0E10"/>
        </w:rPr>
        <w:t>The ratification of the appointment of PricewaterhouseCoopers LLP as our independent registered public accounting</w:t>
      </w:r>
      <w:r>
        <w:rPr>
          <w:rFonts w:ascii="Arial" w:cs="Arial" w:eastAsia="Arial" w:hAnsi="Arial"/>
          <w:sz w:val="18"/>
          <w:szCs w:val="18"/>
          <w:i w:val="1"/>
          <w:iCs w:val="1"/>
          <w:color w:val="F06A6A"/>
        </w:rPr>
        <w:t xml:space="preserve"> </w:t>
      </w:r>
      <w:r>
        <w:rPr>
          <w:rFonts w:ascii="Arial" w:cs="Arial" w:eastAsia="Arial" w:hAnsi="Arial"/>
          <w:sz w:val="18"/>
          <w:szCs w:val="18"/>
          <w:color w:val="0D0E10"/>
        </w:rPr>
        <w:t>firm for our fiscal year ending January 31, 2025 requires the affirmative vote of a majority of the voting power of the shares of our common stock entitled to vote thereon that are present in person or by proxy at the Annual Meeting and are voted for or against the proposal to be approved. Abstentions and broker non-votes will each have no effect on the outcome of this proposal.</w:t>
      </w:r>
    </w:p>
    <w:p>
      <w:pPr>
        <w:spacing w:after="0" w:line="26" w:lineRule="exact"/>
        <w:rPr>
          <w:rFonts w:ascii="Arial" w:cs="Arial" w:eastAsia="Arial" w:hAnsi="Arial"/>
          <w:sz w:val="18"/>
          <w:szCs w:val="18"/>
          <w:i w:val="1"/>
          <w:iCs w:val="1"/>
          <w:color w:val="F06A6A"/>
        </w:rPr>
      </w:pPr>
    </w:p>
    <w:p>
      <w:pPr>
        <w:ind w:left="660" w:right="20" w:hanging="328"/>
        <w:spacing w:after="0" w:line="318" w:lineRule="auto"/>
        <w:tabs>
          <w:tab w:leader="none" w:pos="615" w:val="left"/>
        </w:tabs>
        <w:numPr>
          <w:ilvl w:val="0"/>
          <w:numId w:val="15"/>
        </w:numPr>
        <w:rPr>
          <w:rFonts w:ascii="Arial" w:cs="Arial" w:eastAsia="Arial" w:hAnsi="Arial"/>
          <w:sz w:val="18"/>
          <w:szCs w:val="18"/>
          <w:i w:val="1"/>
          <w:iCs w:val="1"/>
          <w:color w:val="F06A6A"/>
        </w:rPr>
      </w:pPr>
      <w:r>
        <w:rPr>
          <w:rFonts w:ascii="Arial" w:cs="Arial" w:eastAsia="Arial" w:hAnsi="Arial"/>
          <w:sz w:val="18"/>
          <w:szCs w:val="18"/>
          <w:i w:val="1"/>
          <w:iCs w:val="1"/>
          <w:color w:val="F06A6A"/>
        </w:rPr>
        <w:t xml:space="preserve">Proposal No. 3. </w:t>
      </w:r>
      <w:r>
        <w:rPr>
          <w:rFonts w:ascii="Arial" w:cs="Arial" w:eastAsia="Arial" w:hAnsi="Arial"/>
          <w:sz w:val="18"/>
          <w:szCs w:val="18"/>
          <w:color w:val="0D0E10"/>
        </w:rPr>
        <w:t>This non-binding advisory vote on the compensation of the named executive officers, or Say-on-Pay, requires the</w:t>
      </w:r>
      <w:r>
        <w:rPr>
          <w:rFonts w:ascii="Arial" w:cs="Arial" w:eastAsia="Arial" w:hAnsi="Arial"/>
          <w:sz w:val="18"/>
          <w:szCs w:val="18"/>
          <w:i w:val="1"/>
          <w:iCs w:val="1"/>
          <w:color w:val="F06A6A"/>
        </w:rPr>
        <w:t xml:space="preserve"> </w:t>
      </w:r>
      <w:r>
        <w:rPr>
          <w:rFonts w:ascii="Arial" w:cs="Arial" w:eastAsia="Arial" w:hAnsi="Arial"/>
          <w:sz w:val="18"/>
          <w:szCs w:val="18"/>
          <w:color w:val="0D0E10"/>
        </w:rPr>
        <w:t>affirmative vote of a majority of the voting power of the shares of our common stock entitled to vote thereon that are present in person or by proxy at the Annual Meeting and are voted for or against the proposal to be approved. Abstentions and broker non-votes will each have no effect on the outcome of this proposal. As an advisory vote, this proposal is not binding upon the Company, our Board, or our Compensation Committee. Notwithstanding the advisory nature of this vote, our Board and our Compensation Committee, which is responsible for designing and approving our named executive officer compensation program, value the opinions expressed by our stockholders in their vote on this proposal and will consider the outcome of the vote when making future compensation decisions for our named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D0E10"/>
        </w:rPr>
        <w:t>What is a quorum?</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0D0E10"/>
        </w:rPr>
        <w:t>A quorum is the minimum number of shares required to be present at the Annual Meeting to properly hold an annual meeting of stockholders and conduct business under our bylaws and Delaware law. The presence, virtually or by proxy, of a majority of the voting power of all issued and outstanding shares of our common stock entitled to vote at the Annual Meeting will constitute a quorum at the Annual Meeting.</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0D0E10"/>
        </w:rPr>
        <w:t>Abstentions, withhold votes, and broker non-votes are counted as shares present and entitled to vote for purposes of determining a quorum.</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0D0E10"/>
        </w:rPr>
        <w:t>How do I vote?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F06A6A"/>
        </w:rPr>
        <w:t>If you are a stockholder of record, there are four ways to vote:</w:t>
      </w:r>
    </w:p>
    <w:p>
      <w:pPr>
        <w:spacing w:after="0" w:line="117" w:lineRule="exact"/>
        <w:rPr>
          <w:sz w:val="20"/>
          <w:szCs w:val="20"/>
          <w:color w:val="auto"/>
        </w:rPr>
      </w:pPr>
    </w:p>
    <w:p>
      <w:pPr>
        <w:ind w:left="660" w:right="240" w:hanging="328"/>
        <w:spacing w:after="0" w:line="328" w:lineRule="auto"/>
        <w:tabs>
          <w:tab w:leader="none" w:pos="615" w:val="left"/>
        </w:tabs>
        <w:numPr>
          <w:ilvl w:val="0"/>
          <w:numId w:val="16"/>
        </w:numPr>
        <w:rPr>
          <w:rFonts w:ascii="Arial" w:cs="Arial" w:eastAsia="Arial" w:hAnsi="Arial"/>
          <w:sz w:val="18"/>
          <w:szCs w:val="18"/>
          <w:color w:val="0D0E10"/>
        </w:rPr>
      </w:pPr>
      <w:r>
        <w:rPr>
          <w:rFonts w:ascii="Arial" w:cs="Arial" w:eastAsia="Arial" w:hAnsi="Arial"/>
          <w:sz w:val="18"/>
          <w:szCs w:val="18"/>
          <w:color w:val="0D0E10"/>
        </w:rPr>
        <w:t xml:space="preserve">by Internet at </w:t>
      </w:r>
      <w:r>
        <w:rPr>
          <w:rFonts w:ascii="Arial" w:cs="Arial" w:eastAsia="Arial" w:hAnsi="Arial"/>
          <w:sz w:val="18"/>
          <w:szCs w:val="18"/>
          <w:i w:val="1"/>
          <w:iCs w:val="1"/>
          <w:color w:val="F06A6A"/>
        </w:rPr>
        <w:t>www.proxyvote.com</w:t>
      </w:r>
      <w:r>
        <w:rPr>
          <w:rFonts w:ascii="Arial" w:cs="Arial" w:eastAsia="Arial" w:hAnsi="Arial"/>
          <w:sz w:val="18"/>
          <w:szCs w:val="18"/>
          <w:color w:val="0D0E10"/>
        </w:rPr>
        <w:t>, 24 hours a day, seven days a week, until 11:59 p.m. Eastern Time on June 16, 2024 (have your Notice or proxy card in hand when you visit the website);</w:t>
      </w:r>
    </w:p>
    <w:p>
      <w:pPr>
        <w:spacing w:after="0" w:line="1" w:lineRule="exact"/>
        <w:rPr>
          <w:rFonts w:ascii="Arial" w:cs="Arial" w:eastAsia="Arial" w:hAnsi="Arial"/>
          <w:sz w:val="18"/>
          <w:szCs w:val="18"/>
          <w:color w:val="0D0E10"/>
        </w:rPr>
      </w:pPr>
    </w:p>
    <w:p>
      <w:pPr>
        <w:ind w:left="660" w:right="380" w:hanging="328"/>
        <w:spacing w:after="0" w:line="318" w:lineRule="auto"/>
        <w:tabs>
          <w:tab w:leader="none" w:pos="615" w:val="left"/>
        </w:tabs>
        <w:numPr>
          <w:ilvl w:val="0"/>
          <w:numId w:val="16"/>
        </w:numPr>
        <w:rPr>
          <w:rFonts w:ascii="Arial" w:cs="Arial" w:eastAsia="Arial" w:hAnsi="Arial"/>
          <w:sz w:val="18"/>
          <w:szCs w:val="18"/>
          <w:color w:val="0D0E10"/>
        </w:rPr>
      </w:pPr>
      <w:r>
        <w:rPr>
          <w:rFonts w:ascii="Arial" w:cs="Arial" w:eastAsia="Arial" w:hAnsi="Arial"/>
          <w:sz w:val="18"/>
          <w:szCs w:val="18"/>
          <w:color w:val="0D0E10"/>
        </w:rPr>
        <w:t>by toll-free telephone until 11:59 p.m. Eastern Time on June 16, 2024 at 1-800-690-6903 (have your Notice or proxy card in hand when you call);</w:t>
      </w:r>
    </w:p>
    <w:p>
      <w:pPr>
        <w:spacing w:after="0" w:line="4" w:lineRule="exact"/>
        <w:rPr>
          <w:rFonts w:ascii="Arial" w:cs="Arial" w:eastAsia="Arial" w:hAnsi="Arial"/>
          <w:sz w:val="18"/>
          <w:szCs w:val="18"/>
          <w:color w:val="0D0E10"/>
        </w:rPr>
      </w:pPr>
    </w:p>
    <w:p>
      <w:pPr>
        <w:ind w:left="620" w:hanging="288"/>
        <w:spacing w:after="0"/>
        <w:tabs>
          <w:tab w:leader="none" w:pos="620" w:val="left"/>
        </w:tabs>
        <w:numPr>
          <w:ilvl w:val="0"/>
          <w:numId w:val="16"/>
        </w:numPr>
        <w:rPr>
          <w:rFonts w:ascii="Arial" w:cs="Arial" w:eastAsia="Arial" w:hAnsi="Arial"/>
          <w:sz w:val="18"/>
          <w:szCs w:val="18"/>
          <w:color w:val="0D0E10"/>
        </w:rPr>
      </w:pPr>
      <w:r>
        <w:rPr>
          <w:rFonts w:ascii="Arial" w:cs="Arial" w:eastAsia="Arial" w:hAnsi="Arial"/>
          <w:sz w:val="18"/>
          <w:szCs w:val="18"/>
          <w:color w:val="0D0E10"/>
        </w:rPr>
        <w:t>by completing and mailing your proxy card so it is received prior to the Annual Meeting (if you received printed proxy materials); or</w:t>
      </w:r>
    </w:p>
    <w:p>
      <w:pPr>
        <w:spacing w:after="0" w:line="103" w:lineRule="exact"/>
        <w:rPr>
          <w:rFonts w:ascii="Arial" w:cs="Arial" w:eastAsia="Arial" w:hAnsi="Arial"/>
          <w:sz w:val="18"/>
          <w:szCs w:val="18"/>
          <w:color w:val="0D0E10"/>
        </w:rPr>
      </w:pPr>
    </w:p>
    <w:p>
      <w:pPr>
        <w:ind w:left="660" w:right="180" w:hanging="328"/>
        <w:spacing w:after="0" w:line="318" w:lineRule="auto"/>
        <w:tabs>
          <w:tab w:leader="none" w:pos="615" w:val="left"/>
        </w:tabs>
        <w:numPr>
          <w:ilvl w:val="0"/>
          <w:numId w:val="16"/>
        </w:numPr>
        <w:rPr>
          <w:rFonts w:ascii="Arial" w:cs="Arial" w:eastAsia="Arial" w:hAnsi="Arial"/>
          <w:sz w:val="18"/>
          <w:szCs w:val="18"/>
          <w:color w:val="0D0E10"/>
        </w:rPr>
      </w:pPr>
      <w:r>
        <w:rPr>
          <w:rFonts w:ascii="Arial" w:cs="Arial" w:eastAsia="Arial" w:hAnsi="Arial"/>
          <w:sz w:val="18"/>
          <w:szCs w:val="18"/>
          <w:color w:val="0D0E10"/>
        </w:rPr>
        <w:t xml:space="preserve">by attending and voting at the Annual Meeting by visiting </w:t>
      </w:r>
      <w:r>
        <w:rPr>
          <w:rFonts w:ascii="Arial" w:cs="Arial" w:eastAsia="Arial" w:hAnsi="Arial"/>
          <w:sz w:val="18"/>
          <w:szCs w:val="18"/>
          <w:i w:val="1"/>
          <w:iCs w:val="1"/>
          <w:color w:val="F06A6A"/>
        </w:rPr>
        <w:t>www.virtualshareholdermeeting.com/ASAN2024</w:t>
      </w:r>
      <w:r>
        <w:rPr>
          <w:rFonts w:ascii="Arial" w:cs="Arial" w:eastAsia="Arial" w:hAnsi="Arial"/>
          <w:sz w:val="18"/>
          <w:szCs w:val="18"/>
          <w:color w:val="0D0E10"/>
        </w:rPr>
        <w:t>, where stockholders may vote and submit questions (before and during) the Annual Meeting (have your proxy card in hand when you visit the website).</w:t>
      </w:r>
    </w:p>
    <w:p>
      <w:pPr>
        <w:spacing w:after="0" w:line="113" w:lineRule="exact"/>
        <w:rPr>
          <w:sz w:val="20"/>
          <w:szCs w:val="20"/>
          <w:color w:val="auto"/>
        </w:rPr>
      </w:pPr>
    </w:p>
    <w:p>
      <w:pPr>
        <w:ind w:right="160"/>
        <w:spacing w:after="0" w:line="334" w:lineRule="auto"/>
        <w:rPr>
          <w:sz w:val="20"/>
          <w:szCs w:val="20"/>
          <w:color w:val="auto"/>
        </w:rPr>
      </w:pPr>
      <w:r>
        <w:rPr>
          <w:rFonts w:ascii="Arial" w:cs="Arial" w:eastAsia="Arial" w:hAnsi="Arial"/>
          <w:sz w:val="18"/>
          <w:szCs w:val="18"/>
          <w:color w:val="0D0E10"/>
        </w:rPr>
        <w:t>Even if you plan to attend the Annual Meeting, we recommend that you also vote by proxy prior to the Annual Meeting so that your vote will be counted if you later decide not to attend the Annual Meeting.</w:t>
      </w:r>
    </w:p>
    <w:p>
      <w:pPr>
        <w:spacing w:after="0" w:line="85"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color w:val="0D0E10"/>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4</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9" w:name="page10"/>
    <w:bookmarkEnd w:id="9"/>
    <w:p>
      <w:pPr>
        <w:ind w:left="850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D0E10"/>
        </w:rPr>
        <w:t>Can I change my vote?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0D0E10"/>
        </w:rPr>
        <w:t>Yes. If you are a stockholder of record, you can change your vote or revoke your proxy any time before the Annual Meeting by:</w:t>
      </w:r>
    </w:p>
    <w:p>
      <w:pPr>
        <w:spacing w:after="0" w:line="104" w:lineRule="exact"/>
        <w:rPr>
          <w:sz w:val="20"/>
          <w:szCs w:val="20"/>
          <w:color w:val="auto"/>
        </w:rPr>
      </w:pPr>
    </w:p>
    <w:p>
      <w:pPr>
        <w:ind w:left="660" w:right="100" w:hanging="328"/>
        <w:spacing w:after="0" w:line="320" w:lineRule="auto"/>
        <w:tabs>
          <w:tab w:leader="none" w:pos="615" w:val="left"/>
        </w:tabs>
        <w:numPr>
          <w:ilvl w:val="0"/>
          <w:numId w:val="17"/>
        </w:numPr>
        <w:rPr>
          <w:rFonts w:ascii="Arial" w:cs="Arial" w:eastAsia="Arial" w:hAnsi="Arial"/>
          <w:sz w:val="18"/>
          <w:szCs w:val="18"/>
          <w:color w:val="0D0E10"/>
        </w:rPr>
      </w:pPr>
      <w:r>
        <w:rPr>
          <w:rFonts w:ascii="Arial" w:cs="Arial" w:eastAsia="Arial" w:hAnsi="Arial"/>
          <w:sz w:val="18"/>
          <w:szCs w:val="18"/>
          <w:color w:val="0D0E10"/>
        </w:rPr>
        <w:t xml:space="preserve">entering a new vote by Internet at </w:t>
      </w:r>
      <w:r>
        <w:rPr>
          <w:rFonts w:ascii="Arial" w:cs="Arial" w:eastAsia="Arial" w:hAnsi="Arial"/>
          <w:sz w:val="18"/>
          <w:szCs w:val="18"/>
          <w:i w:val="1"/>
          <w:iCs w:val="1"/>
          <w:color w:val="F06A6A"/>
        </w:rPr>
        <w:t>www.proxyvote.com</w:t>
      </w:r>
      <w:r>
        <w:rPr>
          <w:rFonts w:ascii="Arial" w:cs="Arial" w:eastAsia="Arial" w:hAnsi="Arial"/>
          <w:sz w:val="18"/>
          <w:szCs w:val="18"/>
          <w:color w:val="0D0E10"/>
        </w:rPr>
        <w:t xml:space="preserve"> or by telephone at 1-800-690-6903 until 11:59 p.m. Eastern Time on June 16, 2024;</w:t>
      </w:r>
    </w:p>
    <w:p>
      <w:pPr>
        <w:spacing w:after="0" w:line="1" w:lineRule="exact"/>
        <w:rPr>
          <w:rFonts w:ascii="Arial" w:cs="Arial" w:eastAsia="Arial" w:hAnsi="Arial"/>
          <w:sz w:val="18"/>
          <w:szCs w:val="18"/>
          <w:color w:val="0D0E10"/>
        </w:rPr>
      </w:pPr>
    </w:p>
    <w:p>
      <w:pPr>
        <w:ind w:left="620" w:hanging="288"/>
        <w:spacing w:after="0"/>
        <w:tabs>
          <w:tab w:leader="none" w:pos="620" w:val="left"/>
        </w:tabs>
        <w:numPr>
          <w:ilvl w:val="0"/>
          <w:numId w:val="17"/>
        </w:numPr>
        <w:rPr>
          <w:rFonts w:ascii="Arial" w:cs="Arial" w:eastAsia="Arial" w:hAnsi="Arial"/>
          <w:sz w:val="18"/>
          <w:szCs w:val="18"/>
          <w:color w:val="0D0E10"/>
        </w:rPr>
      </w:pPr>
      <w:r>
        <w:rPr>
          <w:rFonts w:ascii="Arial" w:cs="Arial" w:eastAsia="Arial" w:hAnsi="Arial"/>
          <w:sz w:val="18"/>
          <w:szCs w:val="18"/>
          <w:color w:val="0D0E10"/>
        </w:rPr>
        <w:t>completing and returning a later-dated proxy card; or</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17"/>
        </w:numPr>
        <w:rPr>
          <w:rFonts w:ascii="Arial" w:cs="Arial" w:eastAsia="Arial" w:hAnsi="Arial"/>
          <w:sz w:val="18"/>
          <w:szCs w:val="18"/>
          <w:color w:val="0D0E10"/>
        </w:rPr>
      </w:pPr>
      <w:r>
        <w:rPr>
          <w:rFonts w:ascii="Arial" w:cs="Arial" w:eastAsia="Arial" w:hAnsi="Arial"/>
          <w:sz w:val="18"/>
          <w:szCs w:val="18"/>
          <w:color w:val="0D0E10"/>
        </w:rPr>
        <w:t>attending and voting at the Annual Meeting (although attendance at the Annual Meeting will not, by itself, revoke a proxy).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D0E10"/>
        </w:rPr>
        <w:t>If you are a street name stockholder, your broker, bank, or other nominee can provide you with instructions on how to change your vote.</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0D0E10"/>
        </w:rPr>
        <w:t>How do I attend the Annual Meeting?</w:t>
      </w:r>
    </w:p>
    <w:p>
      <w:pPr>
        <w:spacing w:after="0" w:line="173" w:lineRule="exact"/>
        <w:rPr>
          <w:sz w:val="20"/>
          <w:szCs w:val="20"/>
          <w:color w:val="auto"/>
        </w:rPr>
      </w:pPr>
    </w:p>
    <w:p>
      <w:pPr>
        <w:ind w:right="180"/>
        <w:spacing w:after="0" w:line="302" w:lineRule="auto"/>
        <w:rPr>
          <w:sz w:val="20"/>
          <w:szCs w:val="20"/>
          <w:color w:val="auto"/>
        </w:rPr>
      </w:pPr>
      <w:r>
        <w:rPr>
          <w:rFonts w:ascii="Arial" w:cs="Arial" w:eastAsia="Arial" w:hAnsi="Arial"/>
          <w:sz w:val="18"/>
          <w:szCs w:val="18"/>
          <w:color w:val="0D0E10"/>
        </w:rPr>
        <w:t xml:space="preserve">You will be able to attend the Annual Meeting online, submit your questions during the meeting, and vote your shares electronically at the Annual Meeting by visiting </w:t>
      </w:r>
      <w:r>
        <w:rPr>
          <w:rFonts w:ascii="Arial" w:cs="Arial" w:eastAsia="Arial" w:hAnsi="Arial"/>
          <w:sz w:val="18"/>
          <w:szCs w:val="18"/>
          <w:i w:val="1"/>
          <w:iCs w:val="1"/>
          <w:color w:val="F06A6A"/>
        </w:rPr>
        <w:t>www.virtualshareholdermeeting.com/ASAN2024</w:t>
      </w:r>
      <w:r>
        <w:rPr>
          <w:rFonts w:ascii="Arial" w:cs="Arial" w:eastAsia="Arial" w:hAnsi="Arial"/>
          <w:sz w:val="18"/>
          <w:szCs w:val="18"/>
          <w:color w:val="0D0E10"/>
        </w:rPr>
        <w:t>. To participate in the Annual Meeting online, you will need the control number included on your proxy card. The Annual Meeting webcast will begin promptly at 2:00 p.m. Pacific Time. We encourage you to access the meeting prior to the start time. Online check-in will begin at 1:55 p.m. Pacific Time and you should allow sufficient time for the check-in procedures.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D0E10"/>
        </w:rPr>
        <w:t>What is the effect of giving a proxy?</w:t>
      </w:r>
    </w:p>
    <w:p>
      <w:pPr>
        <w:spacing w:after="0" w:line="173"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0D0E10"/>
        </w:rPr>
        <w:t>Proxies are solicited by and on behalf of our Board of Directors. Dustin Moskovitz, Tim Wan, and Eleanor Lacey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postponed or prematurely adjourned, the proxy holders can vote the shares represented by proxies on the new Annual Meeting date as well, unless you have properly revoked your proxy instructions, as described above.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0D0E10"/>
        </w:rPr>
        <w:t>Why did I receive a Notice of Internet Availability of Proxy Materials instead of a full set of proxy materials?</w:t>
      </w:r>
    </w:p>
    <w:p>
      <w:pPr>
        <w:spacing w:after="0" w:line="187"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In accordance with the rules of the Securities and Exchange Commission, or the SEC, we have elected to furnish our proxy materials, including this proxy statement and our annual report, primarily via the Internet. The Notice containing instructions on how to access our proxy materials is first being mailed on or about May 3, 2024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56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5</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0" w:name="page11"/>
    <w:bookmarkEnd w:id="10"/>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D0E10"/>
        </w:rPr>
        <w:t>How are proxies solicited for the Annual Meeting?</w:t>
      </w:r>
    </w:p>
    <w:p>
      <w:pPr>
        <w:spacing w:after="0" w:line="173" w:lineRule="exact"/>
        <w:rPr>
          <w:sz w:val="20"/>
          <w:szCs w:val="20"/>
          <w:color w:val="auto"/>
        </w:rPr>
      </w:pPr>
    </w:p>
    <w:p>
      <w:pPr>
        <w:ind w:right="220"/>
        <w:spacing w:after="0" w:line="302" w:lineRule="auto"/>
        <w:rPr>
          <w:sz w:val="20"/>
          <w:szCs w:val="20"/>
          <w:color w:val="auto"/>
        </w:rPr>
      </w:pPr>
      <w:r>
        <w:rPr>
          <w:rFonts w:ascii="Arial" w:cs="Arial" w:eastAsia="Arial" w:hAnsi="Arial"/>
          <w:sz w:val="18"/>
          <w:szCs w:val="18"/>
          <w:color w:val="0D0E10"/>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0D0E10"/>
        </w:rPr>
        <w:t>How may my brokerage firm or other intermediary vote my shares if I fail to provide timely directions?</w:t>
      </w:r>
    </w:p>
    <w:p>
      <w:pPr>
        <w:spacing w:after="0" w:line="187"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color w:val="0D0E10"/>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PricewaterhouseCoopers LLP as our independent registered public accounting firm for our fiscal year ending January 31, 2025. Your broker will not have discretion to vote on any other proposals, which are “non-routine” matters, absent direction from you.</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0D0E10"/>
        </w:rPr>
        <w:t>Where can I find the voting results of the Annual Meeting?</w:t>
      </w:r>
    </w:p>
    <w:p>
      <w:pPr>
        <w:spacing w:after="0" w:line="173" w:lineRule="exact"/>
        <w:rPr>
          <w:sz w:val="20"/>
          <w:szCs w:val="20"/>
          <w:color w:val="auto"/>
        </w:rPr>
      </w:pPr>
    </w:p>
    <w:p>
      <w:pPr>
        <w:ind w:right="60"/>
        <w:spacing w:after="0" w:line="304" w:lineRule="auto"/>
        <w:rPr>
          <w:sz w:val="20"/>
          <w:szCs w:val="20"/>
          <w:color w:val="auto"/>
        </w:rPr>
      </w:pPr>
      <w:r>
        <w:rPr>
          <w:rFonts w:ascii="Arial" w:cs="Arial" w:eastAsia="Arial" w:hAnsi="Arial"/>
          <w:sz w:val="18"/>
          <w:szCs w:val="18"/>
          <w:color w:val="0D0E10"/>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72" w:lineRule="exact"/>
        <w:rPr>
          <w:sz w:val="20"/>
          <w:szCs w:val="20"/>
          <w:color w:val="auto"/>
        </w:rPr>
      </w:pPr>
    </w:p>
    <w:p>
      <w:pPr>
        <w:ind w:right="80"/>
        <w:spacing w:after="0" w:line="272" w:lineRule="auto"/>
        <w:rPr>
          <w:sz w:val="20"/>
          <w:szCs w:val="20"/>
          <w:color w:val="auto"/>
        </w:rPr>
      </w:pPr>
      <w:r>
        <w:rPr>
          <w:rFonts w:ascii="Arial" w:cs="Arial" w:eastAsia="Arial" w:hAnsi="Arial"/>
          <w:sz w:val="22"/>
          <w:szCs w:val="22"/>
          <w:color w:val="0D0E10"/>
        </w:rPr>
        <w:t>I share an address with another stockholder, and we received only one paper copy of the proxy materials. How may I obtain an additional copy of the proxy materials?</w:t>
      </w:r>
    </w:p>
    <w:p>
      <w:pPr>
        <w:spacing w:after="0" w:line="109"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promptly deliver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Asana, Inc.</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Attention: Investor Relations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633 Folsom Street, Suite 100</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San Francisco, California 94107</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Tel: 1-646-854-4063</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Email: ir@asana.com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0D0E10"/>
        </w:rPr>
        <w:t>Street name stockholders may contact their broker, bank, or other nominee to request information about householding.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6</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1" w:name="page12"/>
    <w:bookmarkEnd w:id="11"/>
    <w:p>
      <w:pPr>
        <w:ind w:left="850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80"/>
        <w:spacing w:after="0" w:line="272" w:lineRule="auto"/>
        <w:rPr>
          <w:sz w:val="20"/>
          <w:szCs w:val="20"/>
          <w:color w:val="auto"/>
        </w:rPr>
      </w:pPr>
      <w:r>
        <w:rPr>
          <w:rFonts w:ascii="Arial" w:cs="Arial" w:eastAsia="Arial" w:hAnsi="Arial"/>
          <w:sz w:val="22"/>
          <w:szCs w:val="22"/>
          <w:color w:val="0D0E10"/>
        </w:rPr>
        <w:t>What is the deadline to propose actions for consideration at next year’s annual meeting of stockholders or to nominate individuals to serve as directors?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F06A6A"/>
        </w:rPr>
        <w:t>STOCKHOLDER PROPOSALS</w:t>
      </w:r>
    </w:p>
    <w:p>
      <w:pPr>
        <w:spacing w:after="0" w:line="108" w:lineRule="exact"/>
        <w:rPr>
          <w:sz w:val="20"/>
          <w:szCs w:val="20"/>
          <w:color w:val="auto"/>
        </w:rPr>
      </w:pPr>
    </w:p>
    <w:p>
      <w:pPr>
        <w:ind w:right="380"/>
        <w:spacing w:after="0" w:line="298" w:lineRule="auto"/>
        <w:rPr>
          <w:sz w:val="20"/>
          <w:szCs w:val="20"/>
          <w:color w:val="auto"/>
        </w:rPr>
      </w:pPr>
      <w:r>
        <w:rPr>
          <w:rFonts w:ascii="Arial" w:cs="Arial" w:eastAsia="Arial" w:hAnsi="Arial"/>
          <w:sz w:val="18"/>
          <w:szCs w:val="18"/>
          <w:color w:val="0D0E10"/>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2025 annual meeting of stockholders, our Corporate Secretary must receive the written proposal at our principal executive offices not later than January 3, 2025. In addition, stockholder proposals must comply with the requirements of Rule 14a-8 under the Securities Exchange Act of 1934, as amended, or the Exchange Act, regarding the inclusion of stockholder proposals in company-sponsored proxy materials. Stockholder proposals should be addressed to:</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Asana, Inc.</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Attention: Corporate Secretary &amp; General Counsel, Legal Department</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633 Folsom Street, Suite 100</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San Francisco, California 94107</w:t>
      </w:r>
    </w:p>
    <w:p>
      <w:pPr>
        <w:spacing w:after="0" w:line="144"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0D0E10"/>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w:t>
      </w:r>
    </w:p>
    <w:p>
      <w:pPr>
        <w:spacing w:after="0" w:line="1" w:lineRule="exact"/>
        <w:rPr>
          <w:sz w:val="20"/>
          <w:szCs w:val="20"/>
          <w:color w:val="auto"/>
        </w:rPr>
      </w:pPr>
    </w:p>
    <w:p>
      <w:pPr>
        <w:ind w:right="400" w:firstLine="8"/>
        <w:spacing w:after="0" w:line="304" w:lineRule="auto"/>
        <w:tabs>
          <w:tab w:leader="none" w:pos="250" w:val="left"/>
        </w:tabs>
        <w:numPr>
          <w:ilvl w:val="0"/>
          <w:numId w:val="18"/>
        </w:numPr>
        <w:rPr>
          <w:rFonts w:ascii="Arial" w:cs="Arial" w:eastAsia="Arial" w:hAnsi="Arial"/>
          <w:sz w:val="18"/>
          <w:szCs w:val="18"/>
          <w:color w:val="0D0E10"/>
        </w:rPr>
      </w:pPr>
      <w:r>
        <w:rPr>
          <w:rFonts w:ascii="Arial" w:cs="Arial" w:eastAsia="Arial" w:hAnsi="Arial"/>
          <w:sz w:val="18"/>
          <w:szCs w:val="18"/>
          <w:color w:val="0D0E10"/>
        </w:rPr>
        <w:t>otherwise properly brought before such annual meeting by or at the direction of our Board of Directors, or (iii) properly brought before such annual meeting by a stockholder of record entitled to vote at such annual meeting who has delivered timely written notice to our Corporate Secretary, which notice must contain the information specified in our bylaws. To be timely for our 2025 annual meeting of stockholders, our Corporate Secretary must receive the written notice at our principal executive offices:</w:t>
      </w:r>
    </w:p>
    <w:p>
      <w:pPr>
        <w:spacing w:after="0" w:line="125" w:lineRule="exact"/>
        <w:rPr>
          <w:rFonts w:ascii="Arial" w:cs="Arial" w:eastAsia="Arial" w:hAnsi="Arial"/>
          <w:sz w:val="18"/>
          <w:szCs w:val="18"/>
          <w:color w:val="0D0E10"/>
        </w:rPr>
      </w:pPr>
    </w:p>
    <w:p>
      <w:pPr>
        <w:ind w:left="620" w:hanging="288"/>
        <w:spacing w:after="0"/>
        <w:tabs>
          <w:tab w:leader="none" w:pos="620" w:val="left"/>
        </w:tabs>
        <w:numPr>
          <w:ilvl w:val="1"/>
          <w:numId w:val="18"/>
        </w:numPr>
        <w:rPr>
          <w:rFonts w:ascii="Arial" w:cs="Arial" w:eastAsia="Arial" w:hAnsi="Arial"/>
          <w:sz w:val="18"/>
          <w:szCs w:val="18"/>
          <w:color w:val="0D0E10"/>
        </w:rPr>
      </w:pPr>
      <w:r>
        <w:rPr>
          <w:rFonts w:ascii="Arial" w:cs="Arial" w:eastAsia="Arial" w:hAnsi="Arial"/>
          <w:sz w:val="18"/>
          <w:szCs w:val="18"/>
          <w:color w:val="0D0E10"/>
        </w:rPr>
        <w:t>not earlier than February 17, 2025; and</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1"/>
          <w:numId w:val="18"/>
        </w:numPr>
        <w:rPr>
          <w:rFonts w:ascii="Arial" w:cs="Arial" w:eastAsia="Arial" w:hAnsi="Arial"/>
          <w:sz w:val="18"/>
          <w:szCs w:val="18"/>
          <w:color w:val="0D0E10"/>
        </w:rPr>
      </w:pPr>
      <w:r>
        <w:rPr>
          <w:rFonts w:ascii="Arial" w:cs="Arial" w:eastAsia="Arial" w:hAnsi="Arial"/>
          <w:sz w:val="18"/>
          <w:szCs w:val="18"/>
          <w:color w:val="0D0E10"/>
        </w:rPr>
        <w:t>not later than the close of business on March 19, 2025.</w:t>
      </w:r>
    </w:p>
    <w:p>
      <w:pPr>
        <w:spacing w:after="0" w:line="198" w:lineRule="exact"/>
        <w:rPr>
          <w:sz w:val="20"/>
          <w:szCs w:val="20"/>
          <w:color w:val="auto"/>
        </w:rPr>
      </w:pPr>
    </w:p>
    <w:p>
      <w:pPr>
        <w:spacing w:after="0" w:line="304" w:lineRule="auto"/>
        <w:rPr>
          <w:sz w:val="20"/>
          <w:szCs w:val="20"/>
          <w:color w:val="auto"/>
        </w:rPr>
      </w:pPr>
      <w:r>
        <w:rPr>
          <w:rFonts w:ascii="Arial" w:cs="Arial" w:eastAsia="Arial" w:hAnsi="Arial"/>
          <w:sz w:val="18"/>
          <w:szCs w:val="18"/>
          <w:color w:val="0D0E10"/>
        </w:rPr>
        <w:t>In the event that we hold the 2025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2025 annual meeting of stockholders and no later than the close of business on the later of the following two dates:</w:t>
      </w:r>
    </w:p>
    <w:p>
      <w:pPr>
        <w:spacing w:after="0" w:line="126"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0D0E10"/>
        </w:rPr>
      </w:pPr>
      <w:r>
        <w:rPr>
          <w:rFonts w:ascii="Arial" w:cs="Arial" w:eastAsia="Arial" w:hAnsi="Arial"/>
          <w:sz w:val="18"/>
          <w:szCs w:val="18"/>
          <w:color w:val="0D0E10"/>
        </w:rPr>
        <w:t>the 90th day prior to the 2025 annual meeting of stockholders; or</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19"/>
        </w:numPr>
        <w:rPr>
          <w:rFonts w:ascii="Arial" w:cs="Arial" w:eastAsia="Arial" w:hAnsi="Arial"/>
          <w:sz w:val="18"/>
          <w:szCs w:val="18"/>
          <w:color w:val="0D0E10"/>
        </w:rPr>
      </w:pPr>
      <w:r>
        <w:rPr>
          <w:rFonts w:ascii="Arial" w:cs="Arial" w:eastAsia="Arial" w:hAnsi="Arial"/>
          <w:sz w:val="18"/>
          <w:szCs w:val="18"/>
          <w:color w:val="0D0E10"/>
        </w:rPr>
        <w:t>the 10th day following the day on which public announcement of the date of our 2025 annual meeting of stockholders is first made.</w:t>
      </w:r>
    </w:p>
    <w:p>
      <w:pPr>
        <w:spacing w:after="0" w:line="198" w:lineRule="exact"/>
        <w:rPr>
          <w:sz w:val="20"/>
          <w:szCs w:val="20"/>
          <w:color w:val="auto"/>
        </w:rPr>
      </w:pPr>
    </w:p>
    <w:p>
      <w:pPr>
        <w:ind w:right="140"/>
        <w:spacing w:after="0" w:line="334" w:lineRule="auto"/>
        <w:rPr>
          <w:sz w:val="20"/>
          <w:szCs w:val="20"/>
          <w:color w:val="auto"/>
        </w:rPr>
      </w:pPr>
      <w:r>
        <w:rPr>
          <w:rFonts w:ascii="Arial" w:cs="Arial" w:eastAsia="Arial" w:hAnsi="Arial"/>
          <w:sz w:val="18"/>
          <w:szCs w:val="18"/>
          <w:color w:val="0D0E10"/>
        </w:rPr>
        <w:t>If a stockholder who has notified us of their intention to present a proposal at an annual meeting of stockholders does not appear to present their proposal at such annual meeting, we are not required to present the proposal for a vote at such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F06A6A"/>
        </w:rPr>
        <w:t>NOMINATION OF DIRECTOR CANDIDATES</w:t>
      </w:r>
    </w:p>
    <w:p>
      <w:pPr>
        <w:spacing w:after="0" w:line="108" w:lineRule="exact"/>
        <w:rPr>
          <w:sz w:val="20"/>
          <w:szCs w:val="20"/>
          <w:color w:val="auto"/>
        </w:rPr>
      </w:pPr>
    </w:p>
    <w:p>
      <w:pPr>
        <w:ind w:right="120"/>
        <w:spacing w:after="0" w:line="302" w:lineRule="auto"/>
        <w:rPr>
          <w:sz w:val="20"/>
          <w:szCs w:val="20"/>
          <w:color w:val="auto"/>
        </w:rPr>
      </w:pPr>
      <w:r>
        <w:rPr>
          <w:rFonts w:ascii="Arial" w:cs="Arial" w:eastAsia="Arial" w:hAnsi="Arial"/>
          <w:sz w:val="18"/>
          <w:szCs w:val="18"/>
          <w:color w:val="0D0E10"/>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556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7</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2" w:name="page13"/>
    <w:bookmarkEnd w:id="12"/>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40"/>
        <w:spacing w:after="0" w:line="302" w:lineRule="auto"/>
        <w:rPr>
          <w:sz w:val="20"/>
          <w:szCs w:val="20"/>
          <w:color w:val="auto"/>
        </w:rPr>
      </w:pPr>
      <w:r>
        <w:rPr>
          <w:rFonts w:ascii="Arial" w:cs="Arial" w:eastAsia="Arial" w:hAnsi="Arial"/>
          <w:sz w:val="18"/>
          <w:szCs w:val="18"/>
          <w:color w:val="0D0E10"/>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periods described above under the section titled “Stockholder Proposals” for stockholder proposals that are not intended to be included in a proxy statement.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F06A6A"/>
        </w:rPr>
        <w:t>UNIVERSAL PROXY</w:t>
      </w:r>
    </w:p>
    <w:p>
      <w:pPr>
        <w:spacing w:after="0" w:line="108"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0D0E10"/>
        </w:rPr>
        <w:t>In addition to satisfying the foregoing requirements under our bylaws, to comply with the universal proxy rules, stockholders who intend to solicit proxies in support of director nominees other than our Board of Directors’ nominees must provide notice that sets forth any additional information required by Rule 14a-19 under the Exchange Act in accordance with the advance notice procedure as described above.</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F06A6A"/>
        </w:rPr>
        <w:t>AVAILABILITY OF BYLAWS</w:t>
      </w:r>
    </w:p>
    <w:p>
      <w:pPr>
        <w:spacing w:after="0" w:line="95" w:lineRule="exact"/>
        <w:rPr>
          <w:sz w:val="20"/>
          <w:szCs w:val="20"/>
          <w:color w:val="auto"/>
        </w:rPr>
      </w:pPr>
    </w:p>
    <w:p>
      <w:pPr>
        <w:ind w:right="360"/>
        <w:spacing w:after="0" w:line="334" w:lineRule="auto"/>
        <w:rPr>
          <w:sz w:val="20"/>
          <w:szCs w:val="20"/>
          <w:color w:val="auto"/>
        </w:rPr>
      </w:pPr>
      <w:r>
        <w:rPr>
          <w:rFonts w:ascii="Arial" w:cs="Arial" w:eastAsia="Arial" w:hAnsi="Arial"/>
          <w:sz w:val="18"/>
          <w:szCs w:val="18"/>
          <w:color w:val="0D0E10"/>
        </w:rPr>
        <w:t>You may contact our Corporate Secretary at the address set forth above for a copy of the relevant provisions of our bylaws regarding the requirements for making stockholder proposals and nominating director candidates.</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8</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3" w:name="page14"/>
    <w:bookmarkEnd w:id="13"/>
    <w:p>
      <w:pPr>
        <w:ind w:right="640"/>
        <w:spacing w:after="0" w:line="273" w:lineRule="auto"/>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Special Note Regarding Forward-Looking Statements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8"/>
          <w:szCs w:val="18"/>
          <w:color w:val="0D0E10"/>
        </w:rPr>
        <w:t>This Proxy Statement contains forward-looking statements within the meaning of Section 27A of the Securities Act of 1933, as amended, and Section 21E of the Securities Exchange Act of 1934, as amended, which statements involve substantial risk and uncertainties. All statements other than statements of historical facts contained in this Proxy Statement are forward-looking statements. In some cases, you can identify forward-looking statements because they contain words such as “anticipate,” “believe,” “contemplate,” “continue,” “could,” “estimate,” “expect,” “intend,” “may,” “plan,” “potential,” “predict,” “project,” “should,” “will,” or “would” or the negative of these words or other similar terms or expressions. You should not rely on forward-looking statements as predictions of future events. We have based the forward-looking statements contained in this Proxy Statement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our Annual Report on Form 10-K for the year ended January 31, 2024, as filed with the SEC on March 14, 2024. Moreover, we operate in a very competitive and rapidly changing environment. New risks and uncertainties emerge from time to time, and it is not possible for us to predict all risks and uncertainties that could have an impact on the forward-looking statements contained in this Proxy Statement. The results, events, and circumstances reflected in the forward-looking statements may not be achieved or occur, and actual results, events, or circumstances could differ materially from those described in the forward-looking statements. The forward-looking statements made in this Proxy Statement relate only to events as of the date on which the statements are made. We undertake no obligation to update any forward-looking statements made in this Proxy Statement or to reflect new information or the occurrence of unanticipated events, except as required by law.</w:t>
      </w: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556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9</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3" w:right="359" w:bottom="1440" w:gutter="0" w:footer="0" w:header="0"/>
        </w:sectPr>
      </w:pPr>
    </w:p>
    <w:bookmarkStart w:id="14" w:name="page15"/>
    <w:bookmarkEnd w:id="14"/>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Board of Directors and</w:t>
      </w:r>
    </w:p>
    <w:p>
      <w:pPr>
        <w:spacing w:after="0" w:line="53" w:lineRule="exact"/>
        <w:rPr>
          <w:sz w:val="20"/>
          <w:szCs w:val="20"/>
          <w:color w:val="auto"/>
        </w:rPr>
      </w:pPr>
    </w:p>
    <w:p>
      <w:pPr>
        <w:spacing w:after="0"/>
        <w:rPr>
          <w:sz w:val="20"/>
          <w:szCs w:val="20"/>
          <w:color w:val="auto"/>
        </w:rPr>
      </w:pPr>
      <w:r>
        <w:rPr>
          <w:rFonts w:ascii="Arial" w:cs="Arial" w:eastAsia="Arial" w:hAnsi="Arial"/>
          <w:sz w:val="58"/>
          <w:szCs w:val="58"/>
          <w:color w:val="0D0E10"/>
        </w:rPr>
        <w:t>Corporate Governance</w:t>
      </w:r>
    </w:p>
    <w:p>
      <w:pPr>
        <w:spacing w:after="0" w:line="308" w:lineRule="exact"/>
        <w:rPr>
          <w:sz w:val="20"/>
          <w:szCs w:val="20"/>
          <w:color w:val="auto"/>
        </w:rPr>
      </w:pPr>
    </w:p>
    <w:p>
      <w:pPr>
        <w:ind w:right="220"/>
        <w:spacing w:after="0" w:line="304" w:lineRule="auto"/>
        <w:rPr>
          <w:sz w:val="20"/>
          <w:szCs w:val="20"/>
          <w:color w:val="auto"/>
        </w:rPr>
      </w:pPr>
      <w:r>
        <w:rPr>
          <w:rFonts w:ascii="Arial" w:cs="Arial" w:eastAsia="Arial" w:hAnsi="Arial"/>
          <w:sz w:val="18"/>
          <w:szCs w:val="18"/>
          <w:color w:val="0D0E10"/>
        </w:rPr>
        <w:t>Our business affairs are managed under the direction of our Board of Directors, which is currently composed of eight members. Five of our directors are independent within the meaning of the listing standards of The New York Stock Exchange, or the NYSE, and the Long-Term Stock Exchange, or the LTSE. Our Board of Directors is divided into three staggered classes of directors. At each annual meeting of stockholders, a class of directors will be elected for a three-year term to succeed the same class whose term is then expiring.</w:t>
      </w:r>
    </w:p>
    <w:p>
      <w:pPr>
        <w:spacing w:after="0" w:line="126"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color w:val="0D0E10"/>
        </w:rPr>
        <w:t>The following table sets forth the names, ages as of May 3, 2024, and certain other information for each of the members of our Board of Directors with terms expiring at the Annual Meeting (who are also nominees for election as a director at the Annual Meeting) and for each of the continuing members of our Board of Directors: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Directors with Terms</w:t>
            </w:r>
          </w:p>
        </w:tc>
        <w:tc>
          <w:tcPr>
            <w:tcW w:w="840" w:type="dxa"/>
            <w:vAlign w:val="bottom"/>
            <w:shd w:val="clear" w:color="auto" w:fill="EEEBEA"/>
          </w:tcPr>
          <w:p>
            <w:pPr>
              <w:spacing w:after="0"/>
              <w:rPr>
                <w:sz w:val="18"/>
                <w:szCs w:val="18"/>
                <w:color w:val="auto"/>
              </w:rPr>
            </w:pPr>
          </w:p>
        </w:tc>
        <w:tc>
          <w:tcPr>
            <w:tcW w:w="680" w:type="dxa"/>
            <w:vAlign w:val="bottom"/>
            <w:shd w:val="clear" w:color="auto" w:fill="EEEBEA"/>
          </w:tcPr>
          <w:p>
            <w:pPr>
              <w:spacing w:after="0"/>
              <w:rPr>
                <w:sz w:val="18"/>
                <w:szCs w:val="18"/>
                <w:color w:val="auto"/>
              </w:rPr>
            </w:pPr>
          </w:p>
        </w:tc>
        <w:tc>
          <w:tcPr>
            <w:tcW w:w="2500" w:type="dxa"/>
            <w:vAlign w:val="bottom"/>
            <w:shd w:val="clear" w:color="auto" w:fill="EEEBEA"/>
          </w:tcPr>
          <w:p>
            <w:pPr>
              <w:spacing w:after="0"/>
              <w:rPr>
                <w:sz w:val="18"/>
                <w:szCs w:val="18"/>
                <w:color w:val="auto"/>
              </w:rPr>
            </w:pPr>
          </w:p>
        </w:tc>
        <w:tc>
          <w:tcPr>
            <w:tcW w:w="1180" w:type="dxa"/>
            <w:vAlign w:val="bottom"/>
            <w:shd w:val="clear" w:color="auto" w:fill="EEEBEA"/>
          </w:tcPr>
          <w:p>
            <w:pPr>
              <w:spacing w:after="0"/>
              <w:rPr>
                <w:sz w:val="18"/>
                <w:szCs w:val="18"/>
                <w:color w:val="auto"/>
              </w:rPr>
            </w:pPr>
          </w:p>
        </w:tc>
        <w:tc>
          <w:tcPr>
            <w:tcW w:w="1220" w:type="dxa"/>
            <w:vAlign w:val="bottom"/>
            <w:shd w:val="clear" w:color="auto" w:fill="EEEBEA"/>
          </w:tcPr>
          <w:p>
            <w:pPr>
              <w:spacing w:after="0"/>
              <w:rPr>
                <w:sz w:val="18"/>
                <w:szCs w:val="18"/>
                <w:color w:val="auto"/>
              </w:rPr>
            </w:pP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Expiration of Term</w:t>
            </w:r>
          </w:p>
        </w:tc>
      </w:tr>
      <w:tr>
        <w:trPr>
          <w:trHeight w:val="216"/>
        </w:trPr>
        <w:tc>
          <w:tcPr>
            <w:tcW w:w="324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Expiring at the Annual</w:t>
            </w:r>
          </w:p>
        </w:tc>
        <w:tc>
          <w:tcPr>
            <w:tcW w:w="840" w:type="dxa"/>
            <w:vAlign w:val="bottom"/>
            <w:shd w:val="clear" w:color="auto" w:fill="EEEBEA"/>
          </w:tcPr>
          <w:p>
            <w:pPr>
              <w:spacing w:after="0"/>
              <w:rPr>
                <w:sz w:val="18"/>
                <w:szCs w:val="18"/>
                <w:color w:val="auto"/>
              </w:rPr>
            </w:pPr>
          </w:p>
        </w:tc>
        <w:tc>
          <w:tcPr>
            <w:tcW w:w="680" w:type="dxa"/>
            <w:vAlign w:val="bottom"/>
            <w:shd w:val="clear" w:color="auto" w:fill="EEEBEA"/>
          </w:tcPr>
          <w:p>
            <w:pPr>
              <w:spacing w:after="0"/>
              <w:rPr>
                <w:sz w:val="18"/>
                <w:szCs w:val="18"/>
                <w:color w:val="auto"/>
              </w:rPr>
            </w:pPr>
          </w:p>
        </w:tc>
        <w:tc>
          <w:tcPr>
            <w:tcW w:w="2500" w:type="dxa"/>
            <w:vAlign w:val="bottom"/>
            <w:shd w:val="clear" w:color="auto" w:fill="EEEBEA"/>
          </w:tcPr>
          <w:p>
            <w:pPr>
              <w:spacing w:after="0"/>
              <w:rPr>
                <w:sz w:val="18"/>
                <w:szCs w:val="18"/>
                <w:color w:val="auto"/>
              </w:rPr>
            </w:pPr>
          </w:p>
        </w:tc>
        <w:tc>
          <w:tcPr>
            <w:tcW w:w="1180" w:type="dxa"/>
            <w:vAlign w:val="bottom"/>
            <w:shd w:val="clear" w:color="auto" w:fill="EEEBEA"/>
          </w:tcPr>
          <w:p>
            <w:pPr>
              <w:jc w:val="center"/>
              <w:ind w:left="219"/>
              <w:spacing w:after="0"/>
              <w:rPr>
                <w:sz w:val="20"/>
                <w:szCs w:val="20"/>
                <w:color w:val="auto"/>
              </w:rPr>
            </w:pPr>
            <w:r>
              <w:rPr>
                <w:rFonts w:ascii="Arial" w:cs="Arial" w:eastAsia="Arial" w:hAnsi="Arial"/>
                <w:sz w:val="16"/>
                <w:szCs w:val="16"/>
                <w:b w:val="1"/>
                <w:bCs w:val="1"/>
                <w:color w:val="F06A6A"/>
              </w:rPr>
              <w:t>Director</w:t>
            </w:r>
          </w:p>
        </w:tc>
        <w:tc>
          <w:tcPr>
            <w:tcW w:w="12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8"/>
              </w:rPr>
              <w:t>Current Term</w:t>
            </w: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For Which</w:t>
            </w:r>
          </w:p>
        </w:tc>
      </w:tr>
      <w:tr>
        <w:trPr>
          <w:trHeight w:val="223"/>
        </w:trPr>
        <w:tc>
          <w:tcPr>
            <w:tcW w:w="324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Meeting/Nominees</w:t>
            </w:r>
          </w:p>
        </w:tc>
        <w:tc>
          <w:tcPr>
            <w:tcW w:w="8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8"/>
              </w:rPr>
              <w:t>Class</w:t>
            </w:r>
          </w:p>
        </w:tc>
        <w:tc>
          <w:tcPr>
            <w:tcW w:w="6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Age</w:t>
            </w:r>
          </w:p>
        </w:tc>
        <w:tc>
          <w:tcPr>
            <w:tcW w:w="2500" w:type="dxa"/>
            <w:vAlign w:val="bottom"/>
            <w:shd w:val="clear" w:color="auto" w:fill="EEEBEA"/>
          </w:tcPr>
          <w:p>
            <w:pPr>
              <w:ind w:left="140"/>
              <w:spacing w:after="0"/>
              <w:rPr>
                <w:sz w:val="20"/>
                <w:szCs w:val="20"/>
                <w:color w:val="auto"/>
              </w:rPr>
            </w:pPr>
            <w:r>
              <w:rPr>
                <w:rFonts w:ascii="Arial" w:cs="Arial" w:eastAsia="Arial" w:hAnsi="Arial"/>
                <w:sz w:val="16"/>
                <w:szCs w:val="16"/>
                <w:b w:val="1"/>
                <w:bCs w:val="1"/>
                <w:color w:val="F06A6A"/>
              </w:rPr>
              <w:t>Position</w:t>
            </w:r>
          </w:p>
        </w:tc>
        <w:tc>
          <w:tcPr>
            <w:tcW w:w="1180" w:type="dxa"/>
            <w:vAlign w:val="bottom"/>
            <w:shd w:val="clear" w:color="auto" w:fill="EEEBEA"/>
          </w:tcPr>
          <w:p>
            <w:pPr>
              <w:jc w:val="center"/>
              <w:ind w:left="219"/>
              <w:spacing w:after="0"/>
              <w:rPr>
                <w:sz w:val="20"/>
                <w:szCs w:val="20"/>
                <w:color w:val="auto"/>
              </w:rPr>
            </w:pPr>
            <w:r>
              <w:rPr>
                <w:rFonts w:ascii="Arial" w:cs="Arial" w:eastAsia="Arial" w:hAnsi="Arial"/>
                <w:sz w:val="16"/>
                <w:szCs w:val="16"/>
                <w:b w:val="1"/>
                <w:bCs w:val="1"/>
                <w:color w:val="F06A6A"/>
              </w:rPr>
              <w:t>Since</w:t>
            </w:r>
          </w:p>
        </w:tc>
        <w:tc>
          <w:tcPr>
            <w:tcW w:w="12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Expires</w:t>
            </w: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Nominated</w:t>
            </w:r>
          </w:p>
        </w:tc>
      </w:tr>
      <w:tr>
        <w:trPr>
          <w:trHeight w:val="129"/>
        </w:trPr>
        <w:tc>
          <w:tcPr>
            <w:tcW w:w="3240" w:type="dxa"/>
            <w:vAlign w:val="bottom"/>
            <w:tcBorders>
              <w:bottom w:val="single" w:sz="8" w:color="A5A4A3"/>
            </w:tcBorders>
            <w:shd w:val="clear" w:color="auto" w:fill="EEEBEA"/>
          </w:tcPr>
          <w:p>
            <w:pPr>
              <w:spacing w:after="0"/>
              <w:rPr>
                <w:sz w:val="11"/>
                <w:szCs w:val="11"/>
                <w:color w:val="auto"/>
              </w:rPr>
            </w:pPr>
          </w:p>
        </w:tc>
        <w:tc>
          <w:tcPr>
            <w:tcW w:w="840" w:type="dxa"/>
            <w:vAlign w:val="bottom"/>
            <w:tcBorders>
              <w:bottom w:val="single" w:sz="8" w:color="A5A4A3"/>
            </w:tcBorders>
            <w:shd w:val="clear" w:color="auto" w:fill="EEEBEA"/>
          </w:tcPr>
          <w:p>
            <w:pPr>
              <w:spacing w:after="0"/>
              <w:rPr>
                <w:sz w:val="11"/>
                <w:szCs w:val="11"/>
                <w:color w:val="auto"/>
              </w:rPr>
            </w:pPr>
          </w:p>
        </w:tc>
        <w:tc>
          <w:tcPr>
            <w:tcW w:w="680" w:type="dxa"/>
            <w:vAlign w:val="bottom"/>
            <w:tcBorders>
              <w:bottom w:val="single" w:sz="8" w:color="A5A4A3"/>
            </w:tcBorders>
            <w:shd w:val="clear" w:color="auto" w:fill="EEEBEA"/>
          </w:tcPr>
          <w:p>
            <w:pPr>
              <w:spacing w:after="0"/>
              <w:rPr>
                <w:sz w:val="11"/>
                <w:szCs w:val="11"/>
                <w:color w:val="auto"/>
              </w:rPr>
            </w:pPr>
          </w:p>
        </w:tc>
        <w:tc>
          <w:tcPr>
            <w:tcW w:w="2500" w:type="dxa"/>
            <w:vAlign w:val="bottom"/>
            <w:tcBorders>
              <w:bottom w:val="single" w:sz="8" w:color="A5A4A3"/>
            </w:tcBorders>
            <w:shd w:val="clear" w:color="auto" w:fill="EEEBEA"/>
          </w:tcPr>
          <w:p>
            <w:pPr>
              <w:spacing w:after="0"/>
              <w:rPr>
                <w:sz w:val="11"/>
                <w:szCs w:val="11"/>
                <w:color w:val="auto"/>
              </w:rPr>
            </w:pPr>
          </w:p>
        </w:tc>
        <w:tc>
          <w:tcPr>
            <w:tcW w:w="1180" w:type="dxa"/>
            <w:vAlign w:val="bottom"/>
            <w:tcBorders>
              <w:bottom w:val="single" w:sz="8" w:color="A5A4A3"/>
            </w:tcBorders>
            <w:shd w:val="clear" w:color="auto" w:fill="EEEBEA"/>
          </w:tcPr>
          <w:p>
            <w:pPr>
              <w:spacing w:after="0"/>
              <w:rPr>
                <w:sz w:val="11"/>
                <w:szCs w:val="11"/>
                <w:color w:val="auto"/>
              </w:rPr>
            </w:pPr>
          </w:p>
        </w:tc>
        <w:tc>
          <w:tcPr>
            <w:tcW w:w="1220" w:type="dxa"/>
            <w:vAlign w:val="bottom"/>
            <w:tcBorders>
              <w:bottom w:val="single" w:sz="8" w:color="A5A4A3"/>
            </w:tcBorders>
            <w:shd w:val="clear" w:color="auto" w:fill="EEEBEA"/>
          </w:tcPr>
          <w:p>
            <w:pPr>
              <w:spacing w:after="0"/>
              <w:rPr>
                <w:sz w:val="11"/>
                <w:szCs w:val="11"/>
                <w:color w:val="auto"/>
              </w:rPr>
            </w:pPr>
          </w:p>
        </w:tc>
        <w:tc>
          <w:tcPr>
            <w:tcW w:w="1580" w:type="dxa"/>
            <w:vAlign w:val="bottom"/>
            <w:tcBorders>
              <w:bottom w:val="single" w:sz="8" w:color="A5A4A3"/>
            </w:tcBorders>
            <w:shd w:val="clear" w:color="auto" w:fill="EEEBEA"/>
          </w:tcPr>
          <w:p>
            <w:pPr>
              <w:spacing w:after="0"/>
              <w:rPr>
                <w:sz w:val="11"/>
                <w:szCs w:val="11"/>
                <w:color w:val="auto"/>
              </w:rPr>
            </w:pPr>
          </w:p>
        </w:tc>
      </w:tr>
      <w:tr>
        <w:trPr>
          <w:trHeight w:val="250"/>
        </w:trPr>
        <w:tc>
          <w:tcPr>
            <w:tcW w:w="324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Matthew Cohler</w:t>
            </w:r>
            <w:r>
              <w:rPr>
                <w:rFonts w:ascii="Arial" w:cs="Arial" w:eastAsia="Arial" w:hAnsi="Arial"/>
                <w:sz w:val="21"/>
                <w:szCs w:val="21"/>
                <w:color w:val="0D0E10"/>
                <w:vertAlign w:val="superscript"/>
              </w:rPr>
              <w:t>(3)</w:t>
            </w:r>
          </w:p>
        </w:tc>
        <w:tc>
          <w:tcPr>
            <w:tcW w:w="8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88"/>
              </w:rPr>
              <w:t>I</w:t>
            </w:r>
          </w:p>
        </w:tc>
        <w:tc>
          <w:tcPr>
            <w:tcW w:w="6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47</w:t>
            </w:r>
          </w:p>
        </w:tc>
        <w:tc>
          <w:tcPr>
            <w:tcW w:w="2500" w:type="dxa"/>
            <w:vAlign w:val="bottom"/>
            <w:tcBorders>
              <w:bottom w:val="single" w:sz="8" w:color="A5A4A3"/>
            </w:tcBorders>
          </w:tcPr>
          <w:p>
            <w:pPr>
              <w:ind w:left="140"/>
              <w:spacing w:after="0"/>
              <w:rPr>
                <w:sz w:val="20"/>
                <w:szCs w:val="20"/>
                <w:color w:val="auto"/>
              </w:rPr>
            </w:pPr>
            <w:r>
              <w:rPr>
                <w:rFonts w:ascii="Arial" w:cs="Arial" w:eastAsia="Arial" w:hAnsi="Arial"/>
                <w:sz w:val="16"/>
                <w:szCs w:val="16"/>
                <w:color w:val="0D0E10"/>
              </w:rPr>
              <w:t>Director</w:t>
            </w:r>
          </w:p>
        </w:tc>
        <w:tc>
          <w:tcPr>
            <w:tcW w:w="1180" w:type="dxa"/>
            <w:vAlign w:val="bottom"/>
            <w:tcBorders>
              <w:bottom w:val="single" w:sz="8" w:color="A5A4A3"/>
            </w:tcBorders>
          </w:tcPr>
          <w:p>
            <w:pPr>
              <w:jc w:val="center"/>
              <w:ind w:left="219"/>
              <w:spacing w:after="0"/>
              <w:rPr>
                <w:sz w:val="20"/>
                <w:szCs w:val="20"/>
                <w:color w:val="auto"/>
              </w:rPr>
            </w:pPr>
            <w:r>
              <w:rPr>
                <w:rFonts w:ascii="Arial" w:cs="Arial" w:eastAsia="Arial" w:hAnsi="Arial"/>
                <w:sz w:val="16"/>
                <w:szCs w:val="16"/>
                <w:color w:val="0D0E10"/>
              </w:rPr>
              <w:t>2009</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2024</w:t>
            </w:r>
          </w:p>
        </w:tc>
        <w:tc>
          <w:tcPr>
            <w:tcW w:w="15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2027</w:t>
            </w:r>
          </w:p>
        </w:tc>
      </w:tr>
      <w:tr>
        <w:trPr>
          <w:trHeight w:val="209"/>
        </w:trPr>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color w:val="0D0E10"/>
              </w:rPr>
              <w:t>Co-Founder, President,</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3"/>
        </w:trPr>
        <w:tc>
          <w:tcPr>
            <w:tcW w:w="324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840" w:type="dxa"/>
            <w:vAlign w:val="bottom"/>
          </w:tcPr>
          <w:p>
            <w:pPr>
              <w:jc w:val="center"/>
              <w:spacing w:after="0"/>
              <w:rPr>
                <w:sz w:val="20"/>
                <w:szCs w:val="20"/>
                <w:color w:val="auto"/>
              </w:rPr>
            </w:pPr>
            <w:r>
              <w:rPr>
                <w:rFonts w:ascii="Arial" w:cs="Arial" w:eastAsia="Arial" w:hAnsi="Arial"/>
                <w:sz w:val="16"/>
                <w:szCs w:val="16"/>
                <w:color w:val="0D0E10"/>
                <w:w w:val="88"/>
              </w:rPr>
              <w:t>I</w:t>
            </w:r>
          </w:p>
        </w:tc>
        <w:tc>
          <w:tcPr>
            <w:tcW w:w="680" w:type="dxa"/>
            <w:vAlign w:val="bottom"/>
          </w:tcPr>
          <w:p>
            <w:pPr>
              <w:jc w:val="center"/>
              <w:spacing w:after="0"/>
              <w:rPr>
                <w:sz w:val="20"/>
                <w:szCs w:val="20"/>
                <w:color w:val="auto"/>
              </w:rPr>
            </w:pPr>
            <w:r>
              <w:rPr>
                <w:rFonts w:ascii="Arial" w:cs="Arial" w:eastAsia="Arial" w:hAnsi="Arial"/>
                <w:sz w:val="16"/>
                <w:szCs w:val="16"/>
                <w:color w:val="0D0E10"/>
              </w:rPr>
              <w:t>39</w:t>
            </w:r>
          </w:p>
        </w:tc>
        <w:tc>
          <w:tcPr>
            <w:tcW w:w="2500" w:type="dxa"/>
            <w:vAlign w:val="bottom"/>
          </w:tcPr>
          <w:p>
            <w:pPr>
              <w:ind w:left="140"/>
              <w:spacing w:after="0"/>
              <w:rPr>
                <w:sz w:val="20"/>
                <w:szCs w:val="20"/>
                <w:color w:val="auto"/>
              </w:rPr>
            </w:pPr>
            <w:r>
              <w:rPr>
                <w:rFonts w:ascii="Arial" w:cs="Arial" w:eastAsia="Arial" w:hAnsi="Arial"/>
                <w:sz w:val="16"/>
                <w:szCs w:val="16"/>
                <w:color w:val="0D0E10"/>
              </w:rPr>
              <w:t>Chief Executive Officer,</w:t>
            </w:r>
          </w:p>
        </w:tc>
        <w:tc>
          <w:tcPr>
            <w:tcW w:w="1180" w:type="dxa"/>
            <w:vAlign w:val="bottom"/>
          </w:tcPr>
          <w:p>
            <w:pPr>
              <w:jc w:val="center"/>
              <w:ind w:left="219"/>
              <w:spacing w:after="0"/>
              <w:rPr>
                <w:sz w:val="20"/>
                <w:szCs w:val="20"/>
                <w:color w:val="auto"/>
              </w:rPr>
            </w:pPr>
            <w:r>
              <w:rPr>
                <w:rFonts w:ascii="Arial" w:cs="Arial" w:eastAsia="Arial" w:hAnsi="Arial"/>
                <w:sz w:val="16"/>
                <w:szCs w:val="16"/>
                <w:color w:val="0D0E10"/>
              </w:rPr>
              <w:t>2008</w:t>
            </w:r>
          </w:p>
        </w:tc>
        <w:tc>
          <w:tcPr>
            <w:tcW w:w="1220" w:type="dxa"/>
            <w:vAlign w:val="bottom"/>
          </w:tcPr>
          <w:p>
            <w:pPr>
              <w:jc w:val="center"/>
              <w:spacing w:after="0"/>
              <w:rPr>
                <w:sz w:val="20"/>
                <w:szCs w:val="20"/>
                <w:color w:val="auto"/>
              </w:rPr>
            </w:pPr>
            <w:r>
              <w:rPr>
                <w:rFonts w:ascii="Arial" w:cs="Arial" w:eastAsia="Arial" w:hAnsi="Arial"/>
                <w:sz w:val="16"/>
                <w:szCs w:val="16"/>
                <w:color w:val="0D0E10"/>
              </w:rPr>
              <w:t>2024</w:t>
            </w:r>
          </w:p>
        </w:tc>
        <w:tc>
          <w:tcPr>
            <w:tcW w:w="1580" w:type="dxa"/>
            <w:vAlign w:val="bottom"/>
          </w:tcPr>
          <w:p>
            <w:pPr>
              <w:jc w:val="center"/>
              <w:spacing w:after="0"/>
              <w:rPr>
                <w:sz w:val="20"/>
                <w:szCs w:val="20"/>
                <w:color w:val="auto"/>
              </w:rPr>
            </w:pPr>
            <w:r>
              <w:rPr>
                <w:rFonts w:ascii="Arial" w:cs="Arial" w:eastAsia="Arial" w:hAnsi="Arial"/>
                <w:sz w:val="16"/>
                <w:szCs w:val="16"/>
                <w:color w:val="0D0E10"/>
              </w:rPr>
              <w:t>2027</w:t>
            </w:r>
          </w:p>
        </w:tc>
      </w:tr>
      <w:tr>
        <w:trPr>
          <w:trHeight w:val="215"/>
        </w:trPr>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color w:val="0D0E10"/>
              </w:rPr>
              <w:t>and Chair</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9"/>
        </w:trPr>
        <w:tc>
          <w:tcPr>
            <w:tcW w:w="3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324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Continuing Directors</w:t>
            </w:r>
          </w:p>
        </w:tc>
        <w:tc>
          <w:tcPr>
            <w:tcW w:w="840" w:type="dxa"/>
            <w:vAlign w:val="bottom"/>
            <w:shd w:val="clear" w:color="auto" w:fill="EEEBEA"/>
          </w:tcPr>
          <w:p>
            <w:pPr>
              <w:spacing w:after="0"/>
              <w:rPr>
                <w:sz w:val="20"/>
                <w:szCs w:val="20"/>
                <w:color w:val="auto"/>
              </w:rPr>
            </w:pPr>
          </w:p>
        </w:tc>
        <w:tc>
          <w:tcPr>
            <w:tcW w:w="680" w:type="dxa"/>
            <w:vAlign w:val="bottom"/>
            <w:shd w:val="clear" w:color="auto" w:fill="EEEBEA"/>
          </w:tcPr>
          <w:p>
            <w:pPr>
              <w:spacing w:after="0"/>
              <w:rPr>
                <w:sz w:val="20"/>
                <w:szCs w:val="20"/>
                <w:color w:val="auto"/>
              </w:rPr>
            </w:pPr>
          </w:p>
        </w:tc>
        <w:tc>
          <w:tcPr>
            <w:tcW w:w="2500" w:type="dxa"/>
            <w:vAlign w:val="bottom"/>
            <w:shd w:val="clear" w:color="auto" w:fill="EEEBEA"/>
          </w:tcPr>
          <w:p>
            <w:pPr>
              <w:spacing w:after="0"/>
              <w:rPr>
                <w:sz w:val="20"/>
                <w:szCs w:val="20"/>
                <w:color w:val="auto"/>
              </w:rPr>
            </w:pPr>
          </w:p>
        </w:tc>
        <w:tc>
          <w:tcPr>
            <w:tcW w:w="1180" w:type="dxa"/>
            <w:vAlign w:val="bottom"/>
            <w:shd w:val="clear" w:color="auto" w:fill="EEEBEA"/>
          </w:tcPr>
          <w:p>
            <w:pPr>
              <w:spacing w:after="0"/>
              <w:rPr>
                <w:sz w:val="20"/>
                <w:szCs w:val="20"/>
                <w:color w:val="auto"/>
              </w:rPr>
            </w:pPr>
          </w:p>
        </w:tc>
        <w:tc>
          <w:tcPr>
            <w:tcW w:w="1220" w:type="dxa"/>
            <w:vAlign w:val="bottom"/>
            <w:shd w:val="clear" w:color="auto" w:fill="EEEBEA"/>
          </w:tcPr>
          <w:p>
            <w:pPr>
              <w:spacing w:after="0"/>
              <w:rPr>
                <w:sz w:val="20"/>
                <w:szCs w:val="20"/>
                <w:color w:val="auto"/>
              </w:rPr>
            </w:pPr>
          </w:p>
        </w:tc>
        <w:tc>
          <w:tcPr>
            <w:tcW w:w="1580" w:type="dxa"/>
            <w:vAlign w:val="bottom"/>
            <w:shd w:val="clear" w:color="auto" w:fill="EEEBEA"/>
          </w:tcPr>
          <w:p>
            <w:pPr>
              <w:spacing w:after="0"/>
              <w:rPr>
                <w:sz w:val="20"/>
                <w:szCs w:val="20"/>
                <w:color w:val="auto"/>
              </w:rPr>
            </w:pPr>
          </w:p>
        </w:tc>
      </w:tr>
      <w:tr>
        <w:trPr>
          <w:trHeight w:val="129"/>
        </w:trPr>
        <w:tc>
          <w:tcPr>
            <w:tcW w:w="3240" w:type="dxa"/>
            <w:vAlign w:val="bottom"/>
            <w:tcBorders>
              <w:bottom w:val="single" w:sz="8" w:color="A5A4A3"/>
            </w:tcBorders>
            <w:shd w:val="clear" w:color="auto" w:fill="EEEBEA"/>
          </w:tcPr>
          <w:p>
            <w:pPr>
              <w:spacing w:after="0"/>
              <w:rPr>
                <w:sz w:val="11"/>
                <w:szCs w:val="11"/>
                <w:color w:val="auto"/>
              </w:rPr>
            </w:pPr>
          </w:p>
        </w:tc>
        <w:tc>
          <w:tcPr>
            <w:tcW w:w="840" w:type="dxa"/>
            <w:vAlign w:val="bottom"/>
            <w:tcBorders>
              <w:bottom w:val="single" w:sz="8" w:color="A5A4A3"/>
            </w:tcBorders>
            <w:shd w:val="clear" w:color="auto" w:fill="EEEBEA"/>
          </w:tcPr>
          <w:p>
            <w:pPr>
              <w:spacing w:after="0"/>
              <w:rPr>
                <w:sz w:val="11"/>
                <w:szCs w:val="11"/>
                <w:color w:val="auto"/>
              </w:rPr>
            </w:pPr>
          </w:p>
        </w:tc>
        <w:tc>
          <w:tcPr>
            <w:tcW w:w="680" w:type="dxa"/>
            <w:vAlign w:val="bottom"/>
            <w:tcBorders>
              <w:bottom w:val="single" w:sz="8" w:color="A5A4A3"/>
            </w:tcBorders>
            <w:shd w:val="clear" w:color="auto" w:fill="EEEBEA"/>
          </w:tcPr>
          <w:p>
            <w:pPr>
              <w:spacing w:after="0"/>
              <w:rPr>
                <w:sz w:val="11"/>
                <w:szCs w:val="11"/>
                <w:color w:val="auto"/>
              </w:rPr>
            </w:pPr>
          </w:p>
        </w:tc>
        <w:tc>
          <w:tcPr>
            <w:tcW w:w="2500" w:type="dxa"/>
            <w:vAlign w:val="bottom"/>
            <w:tcBorders>
              <w:bottom w:val="single" w:sz="8" w:color="A5A4A3"/>
            </w:tcBorders>
            <w:shd w:val="clear" w:color="auto" w:fill="EEEBEA"/>
          </w:tcPr>
          <w:p>
            <w:pPr>
              <w:spacing w:after="0"/>
              <w:rPr>
                <w:sz w:val="11"/>
                <w:szCs w:val="11"/>
                <w:color w:val="auto"/>
              </w:rPr>
            </w:pPr>
          </w:p>
        </w:tc>
        <w:tc>
          <w:tcPr>
            <w:tcW w:w="1180" w:type="dxa"/>
            <w:vAlign w:val="bottom"/>
            <w:tcBorders>
              <w:bottom w:val="single" w:sz="8" w:color="A5A4A3"/>
            </w:tcBorders>
            <w:shd w:val="clear" w:color="auto" w:fill="EEEBEA"/>
          </w:tcPr>
          <w:p>
            <w:pPr>
              <w:spacing w:after="0"/>
              <w:rPr>
                <w:sz w:val="11"/>
                <w:szCs w:val="11"/>
                <w:color w:val="auto"/>
              </w:rPr>
            </w:pPr>
          </w:p>
        </w:tc>
        <w:tc>
          <w:tcPr>
            <w:tcW w:w="1220" w:type="dxa"/>
            <w:vAlign w:val="bottom"/>
            <w:tcBorders>
              <w:bottom w:val="single" w:sz="8" w:color="A5A4A3"/>
            </w:tcBorders>
            <w:shd w:val="clear" w:color="auto" w:fill="EEEBEA"/>
          </w:tcPr>
          <w:p>
            <w:pPr>
              <w:spacing w:after="0"/>
              <w:rPr>
                <w:sz w:val="11"/>
                <w:szCs w:val="11"/>
                <w:color w:val="auto"/>
              </w:rPr>
            </w:pPr>
          </w:p>
        </w:tc>
        <w:tc>
          <w:tcPr>
            <w:tcW w:w="1580" w:type="dxa"/>
            <w:vAlign w:val="bottom"/>
            <w:tcBorders>
              <w:bottom w:val="single" w:sz="8" w:color="A5A4A3"/>
            </w:tcBorders>
            <w:shd w:val="clear" w:color="auto" w:fill="EEEBEA"/>
          </w:tcPr>
          <w:p>
            <w:pPr>
              <w:spacing w:after="0"/>
              <w:rPr>
                <w:sz w:val="11"/>
                <w:szCs w:val="11"/>
                <w:color w:val="auto"/>
              </w:rPr>
            </w:pPr>
          </w:p>
        </w:tc>
      </w:tr>
      <w:tr>
        <w:trPr>
          <w:trHeight w:val="250"/>
        </w:trPr>
        <w:tc>
          <w:tcPr>
            <w:tcW w:w="324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Krista Anderson-Copperman</w:t>
            </w:r>
            <w:r>
              <w:rPr>
                <w:rFonts w:ascii="Arial" w:cs="Arial" w:eastAsia="Arial" w:hAnsi="Arial"/>
                <w:sz w:val="21"/>
                <w:szCs w:val="21"/>
                <w:color w:val="0D0E10"/>
                <w:vertAlign w:val="superscript"/>
              </w:rPr>
              <w:t>(1)(2)</w:t>
            </w:r>
          </w:p>
        </w:tc>
        <w:tc>
          <w:tcPr>
            <w:tcW w:w="8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III</w:t>
            </w:r>
          </w:p>
        </w:tc>
        <w:tc>
          <w:tcPr>
            <w:tcW w:w="6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47</w:t>
            </w:r>
          </w:p>
        </w:tc>
        <w:tc>
          <w:tcPr>
            <w:tcW w:w="2500" w:type="dxa"/>
            <w:vAlign w:val="bottom"/>
            <w:tcBorders>
              <w:bottom w:val="single" w:sz="8" w:color="A5A4A3"/>
            </w:tcBorders>
          </w:tcPr>
          <w:p>
            <w:pPr>
              <w:ind w:left="140"/>
              <w:spacing w:after="0"/>
              <w:rPr>
                <w:sz w:val="20"/>
                <w:szCs w:val="20"/>
                <w:color w:val="auto"/>
              </w:rPr>
            </w:pPr>
            <w:r>
              <w:rPr>
                <w:rFonts w:ascii="Arial" w:cs="Arial" w:eastAsia="Arial" w:hAnsi="Arial"/>
                <w:sz w:val="16"/>
                <w:szCs w:val="16"/>
                <w:color w:val="0D0E10"/>
              </w:rPr>
              <w:t>Director</w:t>
            </w:r>
          </w:p>
        </w:tc>
        <w:tc>
          <w:tcPr>
            <w:tcW w:w="1180" w:type="dxa"/>
            <w:vAlign w:val="bottom"/>
            <w:tcBorders>
              <w:bottom w:val="single" w:sz="8" w:color="A5A4A3"/>
            </w:tcBorders>
          </w:tcPr>
          <w:p>
            <w:pPr>
              <w:jc w:val="center"/>
              <w:ind w:left="219"/>
              <w:spacing w:after="0"/>
              <w:rPr>
                <w:sz w:val="20"/>
                <w:szCs w:val="20"/>
                <w:color w:val="auto"/>
              </w:rPr>
            </w:pPr>
            <w:r>
              <w:rPr>
                <w:rFonts w:ascii="Arial" w:cs="Arial" w:eastAsia="Arial" w:hAnsi="Arial"/>
                <w:sz w:val="16"/>
                <w:szCs w:val="16"/>
                <w:color w:val="0D0E10"/>
              </w:rPr>
              <w:t>2022</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2026</w:t>
            </w:r>
          </w:p>
        </w:tc>
        <w:tc>
          <w:tcPr>
            <w:tcW w:w="15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w:t>
            </w:r>
          </w:p>
        </w:tc>
      </w:tr>
      <w:tr>
        <w:trPr>
          <w:trHeight w:val="250"/>
        </w:trPr>
        <w:tc>
          <w:tcPr>
            <w:tcW w:w="324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0D0E10"/>
              </w:rPr>
              <w:t>Sydney Carey</w:t>
            </w:r>
            <w:r>
              <w:rPr>
                <w:rFonts w:ascii="Arial" w:cs="Arial" w:eastAsia="Arial" w:hAnsi="Arial"/>
                <w:sz w:val="21"/>
                <w:szCs w:val="21"/>
                <w:color w:val="0D0E10"/>
                <w:vertAlign w:val="superscript"/>
              </w:rPr>
              <w:t>(1)(2)</w:t>
            </w:r>
          </w:p>
        </w:tc>
        <w:tc>
          <w:tcPr>
            <w:tcW w:w="84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III</w:t>
            </w:r>
          </w:p>
        </w:tc>
        <w:tc>
          <w:tcPr>
            <w:tcW w:w="68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59</w:t>
            </w:r>
          </w:p>
        </w:tc>
        <w:tc>
          <w:tcPr>
            <w:tcW w:w="2500" w:type="dxa"/>
            <w:vAlign w:val="bottom"/>
            <w:tcBorders>
              <w:bottom w:val="single" w:sz="8" w:color="B6B6B6"/>
            </w:tcBorders>
          </w:tcPr>
          <w:p>
            <w:pPr>
              <w:ind w:left="140"/>
              <w:spacing w:after="0"/>
              <w:rPr>
                <w:sz w:val="20"/>
                <w:szCs w:val="20"/>
                <w:color w:val="auto"/>
              </w:rPr>
            </w:pPr>
            <w:r>
              <w:rPr>
                <w:rFonts w:ascii="Arial" w:cs="Arial" w:eastAsia="Arial" w:hAnsi="Arial"/>
                <w:sz w:val="16"/>
                <w:szCs w:val="16"/>
                <w:color w:val="0D0E10"/>
              </w:rPr>
              <w:t>Director</w:t>
            </w:r>
          </w:p>
        </w:tc>
        <w:tc>
          <w:tcPr>
            <w:tcW w:w="1180" w:type="dxa"/>
            <w:vAlign w:val="bottom"/>
            <w:tcBorders>
              <w:bottom w:val="single" w:sz="8" w:color="B6B6B6"/>
            </w:tcBorders>
          </w:tcPr>
          <w:p>
            <w:pPr>
              <w:jc w:val="center"/>
              <w:ind w:left="219"/>
              <w:spacing w:after="0"/>
              <w:rPr>
                <w:sz w:val="20"/>
                <w:szCs w:val="20"/>
                <w:color w:val="auto"/>
              </w:rPr>
            </w:pPr>
            <w:r>
              <w:rPr>
                <w:rFonts w:ascii="Arial" w:cs="Arial" w:eastAsia="Arial" w:hAnsi="Arial"/>
                <w:sz w:val="16"/>
                <w:szCs w:val="16"/>
                <w:color w:val="0D0E10"/>
              </w:rPr>
              <w:t>2019</w:t>
            </w:r>
          </w:p>
        </w:tc>
        <w:tc>
          <w:tcPr>
            <w:tcW w:w="122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2026</w:t>
            </w:r>
          </w:p>
        </w:tc>
        <w:tc>
          <w:tcPr>
            <w:tcW w:w="158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w:t>
            </w:r>
          </w:p>
        </w:tc>
      </w:tr>
      <w:tr>
        <w:trPr>
          <w:trHeight w:val="221"/>
        </w:trPr>
        <w:tc>
          <w:tcPr>
            <w:tcW w:w="3240" w:type="dxa"/>
            <w:vAlign w:val="bottom"/>
          </w:tcPr>
          <w:p>
            <w:pPr>
              <w:ind w:left="100"/>
              <w:spacing w:after="0"/>
              <w:rPr>
                <w:sz w:val="20"/>
                <w:szCs w:val="20"/>
                <w:color w:val="auto"/>
              </w:rPr>
            </w:pPr>
            <w:r>
              <w:rPr>
                <w:rFonts w:ascii="Arial" w:cs="Arial" w:eastAsia="Arial" w:hAnsi="Arial"/>
                <w:sz w:val="16"/>
                <w:szCs w:val="16"/>
                <w:color w:val="0D0E10"/>
              </w:rPr>
              <w:t>Adam D’Angelo</w:t>
            </w:r>
          </w:p>
        </w:tc>
        <w:tc>
          <w:tcPr>
            <w:tcW w:w="840" w:type="dxa"/>
            <w:vAlign w:val="bottom"/>
          </w:tcPr>
          <w:p>
            <w:pPr>
              <w:jc w:val="center"/>
              <w:spacing w:after="0"/>
              <w:rPr>
                <w:sz w:val="20"/>
                <w:szCs w:val="20"/>
                <w:color w:val="auto"/>
              </w:rPr>
            </w:pPr>
            <w:r>
              <w:rPr>
                <w:rFonts w:ascii="Arial" w:cs="Arial" w:eastAsia="Arial" w:hAnsi="Arial"/>
                <w:sz w:val="16"/>
                <w:szCs w:val="16"/>
                <w:color w:val="0D0E10"/>
              </w:rPr>
              <w:t>III</w:t>
            </w:r>
          </w:p>
        </w:tc>
        <w:tc>
          <w:tcPr>
            <w:tcW w:w="680" w:type="dxa"/>
            <w:vAlign w:val="bottom"/>
          </w:tcPr>
          <w:p>
            <w:pPr>
              <w:jc w:val="center"/>
              <w:spacing w:after="0"/>
              <w:rPr>
                <w:sz w:val="20"/>
                <w:szCs w:val="20"/>
                <w:color w:val="auto"/>
              </w:rPr>
            </w:pPr>
            <w:r>
              <w:rPr>
                <w:rFonts w:ascii="Arial" w:cs="Arial" w:eastAsia="Arial" w:hAnsi="Arial"/>
                <w:sz w:val="16"/>
                <w:szCs w:val="16"/>
                <w:color w:val="0D0E10"/>
              </w:rPr>
              <w:t>39</w:t>
            </w:r>
          </w:p>
        </w:tc>
        <w:tc>
          <w:tcPr>
            <w:tcW w:w="2500" w:type="dxa"/>
            <w:vAlign w:val="bottom"/>
          </w:tcPr>
          <w:p>
            <w:pPr>
              <w:ind w:left="140"/>
              <w:spacing w:after="0"/>
              <w:rPr>
                <w:sz w:val="20"/>
                <w:szCs w:val="20"/>
                <w:color w:val="auto"/>
              </w:rPr>
            </w:pPr>
            <w:r>
              <w:rPr>
                <w:rFonts w:ascii="Arial" w:cs="Arial" w:eastAsia="Arial" w:hAnsi="Arial"/>
                <w:sz w:val="16"/>
                <w:szCs w:val="16"/>
                <w:color w:val="0D0E10"/>
              </w:rPr>
              <w:t>Director</w:t>
            </w:r>
          </w:p>
        </w:tc>
        <w:tc>
          <w:tcPr>
            <w:tcW w:w="1180" w:type="dxa"/>
            <w:vAlign w:val="bottom"/>
          </w:tcPr>
          <w:p>
            <w:pPr>
              <w:jc w:val="center"/>
              <w:ind w:left="219"/>
              <w:spacing w:after="0"/>
              <w:rPr>
                <w:sz w:val="20"/>
                <w:szCs w:val="20"/>
                <w:color w:val="auto"/>
              </w:rPr>
            </w:pPr>
            <w:r>
              <w:rPr>
                <w:rFonts w:ascii="Arial" w:cs="Arial" w:eastAsia="Arial" w:hAnsi="Arial"/>
                <w:sz w:val="16"/>
                <w:szCs w:val="16"/>
                <w:color w:val="0D0E10"/>
              </w:rPr>
              <w:t>2008</w:t>
            </w:r>
          </w:p>
        </w:tc>
        <w:tc>
          <w:tcPr>
            <w:tcW w:w="1220" w:type="dxa"/>
            <w:vAlign w:val="bottom"/>
          </w:tcPr>
          <w:p>
            <w:pPr>
              <w:jc w:val="center"/>
              <w:spacing w:after="0"/>
              <w:rPr>
                <w:sz w:val="20"/>
                <w:szCs w:val="20"/>
                <w:color w:val="auto"/>
              </w:rPr>
            </w:pPr>
            <w:r>
              <w:rPr>
                <w:rFonts w:ascii="Arial" w:cs="Arial" w:eastAsia="Arial" w:hAnsi="Arial"/>
                <w:sz w:val="16"/>
                <w:szCs w:val="16"/>
                <w:color w:val="0D0E10"/>
              </w:rPr>
              <w:t>2026</w:t>
            </w:r>
          </w:p>
        </w:tc>
        <w:tc>
          <w:tcPr>
            <w:tcW w:w="1580" w:type="dxa"/>
            <w:vAlign w:val="bottom"/>
          </w:tcPr>
          <w:p>
            <w:pPr>
              <w:jc w:val="center"/>
              <w:spacing w:after="0"/>
              <w:rPr>
                <w:sz w:val="20"/>
                <w:szCs w:val="20"/>
                <w:color w:val="auto"/>
              </w:rPr>
            </w:pPr>
            <w:r>
              <w:rPr>
                <w:rFonts w:ascii="Arial" w:cs="Arial" w:eastAsia="Arial" w:hAnsi="Arial"/>
                <w:sz w:val="16"/>
                <w:szCs w:val="16"/>
                <w:color w:val="0D0E10"/>
              </w:rPr>
              <w:t>—</w:t>
            </w:r>
          </w:p>
        </w:tc>
      </w:tr>
      <w:tr>
        <w:trPr>
          <w:trHeight w:val="29"/>
        </w:trPr>
        <w:tc>
          <w:tcPr>
            <w:tcW w:w="3240" w:type="dxa"/>
            <w:vAlign w:val="bottom"/>
            <w:tcBorders>
              <w:bottom w:val="single" w:sz="8" w:color="B6B6B6"/>
            </w:tcBorders>
          </w:tcPr>
          <w:p>
            <w:pPr>
              <w:spacing w:after="0"/>
              <w:rPr>
                <w:sz w:val="2"/>
                <w:szCs w:val="2"/>
                <w:color w:val="auto"/>
              </w:rPr>
            </w:pPr>
          </w:p>
        </w:tc>
        <w:tc>
          <w:tcPr>
            <w:tcW w:w="8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2500" w:type="dxa"/>
            <w:vAlign w:val="bottom"/>
            <w:tcBorders>
              <w:bottom w:val="single" w:sz="8" w:color="B6B6B6"/>
            </w:tcBorders>
          </w:tcPr>
          <w:p>
            <w:pPr>
              <w:spacing w:after="0"/>
              <w:rPr>
                <w:sz w:val="2"/>
                <w:szCs w:val="2"/>
                <w:color w:val="auto"/>
              </w:rPr>
            </w:pPr>
          </w:p>
        </w:tc>
        <w:tc>
          <w:tcPr>
            <w:tcW w:w="118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r>
      <w:tr>
        <w:trPr>
          <w:trHeight w:val="250"/>
        </w:trPr>
        <w:tc>
          <w:tcPr>
            <w:tcW w:w="324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Andrew Lindsay</w:t>
            </w:r>
            <w:r>
              <w:rPr>
                <w:rFonts w:ascii="Arial" w:cs="Arial" w:eastAsia="Arial" w:hAnsi="Arial"/>
                <w:sz w:val="21"/>
                <w:szCs w:val="21"/>
                <w:color w:val="0D0E10"/>
                <w:vertAlign w:val="superscript"/>
              </w:rPr>
              <w:t>(1)(3)</w:t>
            </w:r>
          </w:p>
        </w:tc>
        <w:tc>
          <w:tcPr>
            <w:tcW w:w="8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II</w:t>
            </w:r>
          </w:p>
        </w:tc>
        <w:tc>
          <w:tcPr>
            <w:tcW w:w="6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44</w:t>
            </w:r>
          </w:p>
        </w:tc>
        <w:tc>
          <w:tcPr>
            <w:tcW w:w="2500" w:type="dxa"/>
            <w:vAlign w:val="bottom"/>
            <w:tcBorders>
              <w:bottom w:val="single" w:sz="8" w:color="A5A4A3"/>
            </w:tcBorders>
          </w:tcPr>
          <w:p>
            <w:pPr>
              <w:ind w:left="140"/>
              <w:spacing w:after="0"/>
              <w:rPr>
                <w:sz w:val="20"/>
                <w:szCs w:val="20"/>
                <w:color w:val="auto"/>
              </w:rPr>
            </w:pPr>
            <w:r>
              <w:rPr>
                <w:rFonts w:ascii="Arial" w:cs="Arial" w:eastAsia="Arial" w:hAnsi="Arial"/>
                <w:sz w:val="16"/>
                <w:szCs w:val="16"/>
                <w:color w:val="0D0E10"/>
              </w:rPr>
              <w:t>Director</w:t>
            </w:r>
          </w:p>
        </w:tc>
        <w:tc>
          <w:tcPr>
            <w:tcW w:w="1180" w:type="dxa"/>
            <w:vAlign w:val="bottom"/>
            <w:tcBorders>
              <w:bottom w:val="single" w:sz="8" w:color="A5A4A3"/>
            </w:tcBorders>
          </w:tcPr>
          <w:p>
            <w:pPr>
              <w:jc w:val="center"/>
              <w:ind w:left="219"/>
              <w:spacing w:after="0"/>
              <w:rPr>
                <w:sz w:val="20"/>
                <w:szCs w:val="20"/>
                <w:color w:val="auto"/>
              </w:rPr>
            </w:pPr>
            <w:r>
              <w:rPr>
                <w:rFonts w:ascii="Arial" w:cs="Arial" w:eastAsia="Arial" w:hAnsi="Arial"/>
                <w:sz w:val="16"/>
                <w:szCs w:val="16"/>
                <w:color w:val="0D0E10"/>
              </w:rPr>
              <w:t>2021</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2025</w:t>
            </w:r>
          </w:p>
        </w:tc>
        <w:tc>
          <w:tcPr>
            <w:tcW w:w="15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w:t>
            </w:r>
          </w:p>
        </w:tc>
      </w:tr>
      <w:tr>
        <w:trPr>
          <w:trHeight w:val="250"/>
        </w:trPr>
        <w:tc>
          <w:tcPr>
            <w:tcW w:w="324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0D0E10"/>
              </w:rPr>
              <w:t>Lorrie Norrington</w:t>
            </w:r>
            <w:r>
              <w:rPr>
                <w:rFonts w:ascii="Arial" w:cs="Arial" w:eastAsia="Arial" w:hAnsi="Arial"/>
                <w:sz w:val="21"/>
                <w:szCs w:val="21"/>
                <w:color w:val="0D0E10"/>
                <w:vertAlign w:val="superscript"/>
              </w:rPr>
              <w:t>(1)(3)(4)</w:t>
            </w:r>
          </w:p>
        </w:tc>
        <w:tc>
          <w:tcPr>
            <w:tcW w:w="84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II</w:t>
            </w:r>
          </w:p>
        </w:tc>
        <w:tc>
          <w:tcPr>
            <w:tcW w:w="68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64</w:t>
            </w:r>
          </w:p>
        </w:tc>
        <w:tc>
          <w:tcPr>
            <w:tcW w:w="2500" w:type="dxa"/>
            <w:vAlign w:val="bottom"/>
            <w:tcBorders>
              <w:bottom w:val="single" w:sz="8" w:color="B6B6B6"/>
            </w:tcBorders>
          </w:tcPr>
          <w:p>
            <w:pPr>
              <w:ind w:left="140"/>
              <w:spacing w:after="0"/>
              <w:rPr>
                <w:sz w:val="20"/>
                <w:szCs w:val="20"/>
                <w:color w:val="auto"/>
              </w:rPr>
            </w:pPr>
            <w:r>
              <w:rPr>
                <w:rFonts w:ascii="Arial" w:cs="Arial" w:eastAsia="Arial" w:hAnsi="Arial"/>
                <w:sz w:val="16"/>
                <w:szCs w:val="16"/>
                <w:color w:val="0D0E10"/>
              </w:rPr>
              <w:t>Lead Independent Director</w:t>
            </w:r>
          </w:p>
        </w:tc>
        <w:tc>
          <w:tcPr>
            <w:tcW w:w="1180" w:type="dxa"/>
            <w:vAlign w:val="bottom"/>
            <w:tcBorders>
              <w:bottom w:val="single" w:sz="8" w:color="B6B6B6"/>
            </w:tcBorders>
          </w:tcPr>
          <w:p>
            <w:pPr>
              <w:jc w:val="center"/>
              <w:ind w:left="219"/>
              <w:spacing w:after="0"/>
              <w:rPr>
                <w:sz w:val="20"/>
                <w:szCs w:val="20"/>
                <w:color w:val="auto"/>
              </w:rPr>
            </w:pPr>
            <w:r>
              <w:rPr>
                <w:rFonts w:ascii="Arial" w:cs="Arial" w:eastAsia="Arial" w:hAnsi="Arial"/>
                <w:sz w:val="16"/>
                <w:szCs w:val="16"/>
                <w:color w:val="0D0E10"/>
              </w:rPr>
              <w:t>2019</w:t>
            </w:r>
          </w:p>
        </w:tc>
        <w:tc>
          <w:tcPr>
            <w:tcW w:w="122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2025</w:t>
            </w:r>
          </w:p>
        </w:tc>
        <w:tc>
          <w:tcPr>
            <w:tcW w:w="158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rPr>
              <w:t>—</w:t>
            </w:r>
          </w:p>
        </w:tc>
      </w:tr>
      <w:tr>
        <w:trPr>
          <w:trHeight w:val="221"/>
        </w:trPr>
        <w:tc>
          <w:tcPr>
            <w:tcW w:w="3240" w:type="dxa"/>
            <w:vAlign w:val="bottom"/>
          </w:tcPr>
          <w:p>
            <w:pPr>
              <w:ind w:left="100"/>
              <w:spacing w:after="0"/>
              <w:rPr>
                <w:sz w:val="20"/>
                <w:szCs w:val="20"/>
                <w:color w:val="auto"/>
              </w:rPr>
            </w:pPr>
            <w:r>
              <w:rPr>
                <w:rFonts w:ascii="Arial" w:cs="Arial" w:eastAsia="Arial" w:hAnsi="Arial"/>
                <w:sz w:val="16"/>
                <w:szCs w:val="16"/>
                <w:color w:val="0D0E10"/>
              </w:rPr>
              <w:t>Justin Rosenstein</w:t>
            </w:r>
          </w:p>
        </w:tc>
        <w:tc>
          <w:tcPr>
            <w:tcW w:w="840" w:type="dxa"/>
            <w:vAlign w:val="bottom"/>
          </w:tcPr>
          <w:p>
            <w:pPr>
              <w:jc w:val="center"/>
              <w:spacing w:after="0"/>
              <w:rPr>
                <w:sz w:val="20"/>
                <w:szCs w:val="20"/>
                <w:color w:val="auto"/>
              </w:rPr>
            </w:pPr>
            <w:r>
              <w:rPr>
                <w:rFonts w:ascii="Arial" w:cs="Arial" w:eastAsia="Arial" w:hAnsi="Arial"/>
                <w:sz w:val="16"/>
                <w:szCs w:val="16"/>
                <w:color w:val="0D0E10"/>
              </w:rPr>
              <w:t>II</w:t>
            </w:r>
          </w:p>
        </w:tc>
        <w:tc>
          <w:tcPr>
            <w:tcW w:w="680" w:type="dxa"/>
            <w:vAlign w:val="bottom"/>
          </w:tcPr>
          <w:p>
            <w:pPr>
              <w:jc w:val="center"/>
              <w:spacing w:after="0"/>
              <w:rPr>
                <w:sz w:val="20"/>
                <w:szCs w:val="20"/>
                <w:color w:val="auto"/>
              </w:rPr>
            </w:pPr>
            <w:r>
              <w:rPr>
                <w:rFonts w:ascii="Arial" w:cs="Arial" w:eastAsia="Arial" w:hAnsi="Arial"/>
                <w:sz w:val="16"/>
                <w:szCs w:val="16"/>
                <w:color w:val="0D0E10"/>
              </w:rPr>
              <w:t>40</w:t>
            </w:r>
          </w:p>
        </w:tc>
        <w:tc>
          <w:tcPr>
            <w:tcW w:w="2500" w:type="dxa"/>
            <w:vAlign w:val="bottom"/>
          </w:tcPr>
          <w:p>
            <w:pPr>
              <w:ind w:left="140"/>
              <w:spacing w:after="0"/>
              <w:rPr>
                <w:sz w:val="20"/>
                <w:szCs w:val="20"/>
                <w:color w:val="auto"/>
              </w:rPr>
            </w:pPr>
            <w:r>
              <w:rPr>
                <w:rFonts w:ascii="Arial" w:cs="Arial" w:eastAsia="Arial" w:hAnsi="Arial"/>
                <w:sz w:val="16"/>
                <w:szCs w:val="16"/>
                <w:color w:val="0D0E10"/>
              </w:rPr>
              <w:t>Director</w:t>
            </w:r>
          </w:p>
        </w:tc>
        <w:tc>
          <w:tcPr>
            <w:tcW w:w="1180" w:type="dxa"/>
            <w:vAlign w:val="bottom"/>
          </w:tcPr>
          <w:p>
            <w:pPr>
              <w:jc w:val="center"/>
              <w:ind w:left="219"/>
              <w:spacing w:after="0"/>
              <w:rPr>
                <w:sz w:val="20"/>
                <w:szCs w:val="20"/>
                <w:color w:val="auto"/>
              </w:rPr>
            </w:pPr>
            <w:r>
              <w:rPr>
                <w:rFonts w:ascii="Arial" w:cs="Arial" w:eastAsia="Arial" w:hAnsi="Arial"/>
                <w:sz w:val="16"/>
                <w:szCs w:val="16"/>
                <w:color w:val="0D0E10"/>
              </w:rPr>
              <w:t>2008</w:t>
            </w:r>
          </w:p>
        </w:tc>
        <w:tc>
          <w:tcPr>
            <w:tcW w:w="1220" w:type="dxa"/>
            <w:vAlign w:val="bottom"/>
          </w:tcPr>
          <w:p>
            <w:pPr>
              <w:jc w:val="center"/>
              <w:spacing w:after="0"/>
              <w:rPr>
                <w:sz w:val="20"/>
                <w:szCs w:val="20"/>
                <w:color w:val="auto"/>
              </w:rPr>
            </w:pPr>
            <w:r>
              <w:rPr>
                <w:rFonts w:ascii="Arial" w:cs="Arial" w:eastAsia="Arial" w:hAnsi="Arial"/>
                <w:sz w:val="16"/>
                <w:szCs w:val="16"/>
                <w:color w:val="0D0E10"/>
              </w:rPr>
              <w:t>2025</w:t>
            </w:r>
          </w:p>
        </w:tc>
        <w:tc>
          <w:tcPr>
            <w:tcW w:w="1580" w:type="dxa"/>
            <w:vAlign w:val="bottom"/>
          </w:tcPr>
          <w:p>
            <w:pPr>
              <w:jc w:val="center"/>
              <w:spacing w:after="0"/>
              <w:rPr>
                <w:sz w:val="20"/>
                <w:szCs w:val="20"/>
                <w:color w:val="auto"/>
              </w:rPr>
            </w:pPr>
            <w:r>
              <w:rPr>
                <w:rFonts w:ascii="Arial" w:cs="Arial" w:eastAsia="Arial" w:hAnsi="Arial"/>
                <w:sz w:val="16"/>
                <w:szCs w:val="16"/>
                <w:color w:val="0D0E10"/>
              </w:rPr>
              <w:t>—</w:t>
            </w:r>
          </w:p>
        </w:tc>
      </w:tr>
      <w:tr>
        <w:trPr>
          <w:trHeight w:val="29"/>
        </w:trPr>
        <w:tc>
          <w:tcPr>
            <w:tcW w:w="3240" w:type="dxa"/>
            <w:vAlign w:val="bottom"/>
            <w:tcBorders>
              <w:bottom w:val="single" w:sz="8" w:color="B6B6B6"/>
            </w:tcBorders>
          </w:tcPr>
          <w:p>
            <w:pPr>
              <w:spacing w:after="0"/>
              <w:rPr>
                <w:sz w:val="2"/>
                <w:szCs w:val="2"/>
                <w:color w:val="auto"/>
              </w:rPr>
            </w:pPr>
          </w:p>
        </w:tc>
        <w:tc>
          <w:tcPr>
            <w:tcW w:w="840" w:type="dxa"/>
            <w:vAlign w:val="bottom"/>
            <w:tcBorders>
              <w:bottom w:val="single" w:sz="8" w:color="B6B6B6"/>
            </w:tcBorders>
          </w:tcPr>
          <w:p>
            <w:pPr>
              <w:spacing w:after="0"/>
              <w:rPr>
                <w:sz w:val="2"/>
                <w:szCs w:val="2"/>
                <w:color w:val="auto"/>
              </w:rPr>
            </w:pPr>
          </w:p>
        </w:tc>
        <w:tc>
          <w:tcPr>
            <w:tcW w:w="680" w:type="dxa"/>
            <w:vAlign w:val="bottom"/>
            <w:tcBorders>
              <w:bottom w:val="single" w:sz="8" w:color="B6B6B6"/>
            </w:tcBorders>
          </w:tcPr>
          <w:p>
            <w:pPr>
              <w:spacing w:after="0"/>
              <w:rPr>
                <w:sz w:val="2"/>
                <w:szCs w:val="2"/>
                <w:color w:val="auto"/>
              </w:rPr>
            </w:pPr>
          </w:p>
        </w:tc>
        <w:tc>
          <w:tcPr>
            <w:tcW w:w="2500" w:type="dxa"/>
            <w:vAlign w:val="bottom"/>
            <w:tcBorders>
              <w:bottom w:val="single" w:sz="8" w:color="B6B6B6"/>
            </w:tcBorders>
          </w:tcPr>
          <w:p>
            <w:pPr>
              <w:spacing w:after="0"/>
              <w:rPr>
                <w:sz w:val="2"/>
                <w:szCs w:val="2"/>
                <w:color w:val="auto"/>
              </w:rPr>
            </w:pPr>
          </w:p>
        </w:tc>
        <w:tc>
          <w:tcPr>
            <w:tcW w:w="1180" w:type="dxa"/>
            <w:vAlign w:val="bottom"/>
            <w:tcBorders>
              <w:bottom w:val="single" w:sz="8" w:color="B6B6B6"/>
            </w:tcBorders>
          </w:tcPr>
          <w:p>
            <w:pPr>
              <w:spacing w:after="0"/>
              <w:rPr>
                <w:sz w:val="2"/>
                <w:szCs w:val="2"/>
                <w:color w:val="auto"/>
              </w:rPr>
            </w:pPr>
          </w:p>
        </w:tc>
        <w:tc>
          <w:tcPr>
            <w:tcW w:w="1220" w:type="dxa"/>
            <w:vAlign w:val="bottom"/>
            <w:tcBorders>
              <w:bottom w:val="single" w:sz="8" w:color="B6B6B6"/>
            </w:tcBorders>
          </w:tcPr>
          <w:p>
            <w:pPr>
              <w:spacing w:after="0"/>
              <w:rPr>
                <w:sz w:val="2"/>
                <w:szCs w:val="2"/>
                <w:color w:val="auto"/>
              </w:rPr>
            </w:pPr>
          </w:p>
        </w:tc>
        <w:tc>
          <w:tcPr>
            <w:tcW w:w="1580" w:type="dxa"/>
            <w:vAlign w:val="bottom"/>
            <w:tcBorders>
              <w:bottom w:val="single" w:sz="8" w:color="B6B6B6"/>
            </w:tcBorders>
          </w:tcPr>
          <w:p>
            <w:pPr>
              <w:spacing w:after="0"/>
              <w:rPr>
                <w:sz w:val="2"/>
                <w:szCs w:val="2"/>
                <w:color w:val="auto"/>
              </w:rPr>
            </w:pPr>
          </w:p>
        </w:tc>
      </w:tr>
    </w:tbl>
    <w:p>
      <w:pPr>
        <w:spacing w:after="0" w:line="19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3"/>
          <w:szCs w:val="13"/>
          <w:color w:val="0D0E10"/>
        </w:rPr>
      </w:pPr>
      <w:r>
        <w:rPr>
          <w:rFonts w:ascii="Arial" w:cs="Arial" w:eastAsia="Arial" w:hAnsi="Arial"/>
          <w:sz w:val="13"/>
          <w:szCs w:val="13"/>
          <w:color w:val="0D0E10"/>
        </w:rPr>
        <w:t>Member of our Audit Committee</w:t>
      </w:r>
    </w:p>
    <w:p>
      <w:pPr>
        <w:spacing w:after="0" w:line="93" w:lineRule="exact"/>
        <w:rPr>
          <w:rFonts w:ascii="Arial" w:cs="Arial" w:eastAsia="Arial" w:hAnsi="Arial"/>
          <w:sz w:val="13"/>
          <w:szCs w:val="13"/>
          <w:color w:val="0D0E10"/>
        </w:rPr>
      </w:pPr>
    </w:p>
    <w:p>
      <w:pPr>
        <w:ind w:left="340" w:hanging="332"/>
        <w:spacing w:after="0"/>
        <w:tabs>
          <w:tab w:leader="none" w:pos="340" w:val="left"/>
        </w:tabs>
        <w:numPr>
          <w:ilvl w:val="0"/>
          <w:numId w:val="20"/>
        </w:numPr>
        <w:rPr>
          <w:rFonts w:ascii="Arial" w:cs="Arial" w:eastAsia="Arial" w:hAnsi="Arial"/>
          <w:sz w:val="13"/>
          <w:szCs w:val="13"/>
          <w:color w:val="0D0E10"/>
        </w:rPr>
      </w:pPr>
      <w:r>
        <w:rPr>
          <w:rFonts w:ascii="Arial" w:cs="Arial" w:eastAsia="Arial" w:hAnsi="Arial"/>
          <w:sz w:val="13"/>
          <w:szCs w:val="13"/>
          <w:color w:val="0D0E10"/>
        </w:rPr>
        <w:t>Member of our Compensation Committee</w:t>
      </w:r>
    </w:p>
    <w:p>
      <w:pPr>
        <w:spacing w:after="0" w:line="80" w:lineRule="exact"/>
        <w:rPr>
          <w:rFonts w:ascii="Arial" w:cs="Arial" w:eastAsia="Arial" w:hAnsi="Arial"/>
          <w:sz w:val="13"/>
          <w:szCs w:val="13"/>
          <w:color w:val="0D0E10"/>
        </w:rPr>
      </w:pPr>
    </w:p>
    <w:p>
      <w:pPr>
        <w:ind w:left="340" w:hanging="332"/>
        <w:spacing w:after="0"/>
        <w:tabs>
          <w:tab w:leader="none" w:pos="340" w:val="left"/>
        </w:tabs>
        <w:numPr>
          <w:ilvl w:val="0"/>
          <w:numId w:val="20"/>
        </w:numPr>
        <w:rPr>
          <w:rFonts w:ascii="Arial" w:cs="Arial" w:eastAsia="Arial" w:hAnsi="Arial"/>
          <w:sz w:val="13"/>
          <w:szCs w:val="13"/>
          <w:color w:val="0D0E10"/>
        </w:rPr>
      </w:pPr>
      <w:r>
        <w:rPr>
          <w:rFonts w:ascii="Arial" w:cs="Arial" w:eastAsia="Arial" w:hAnsi="Arial"/>
          <w:sz w:val="13"/>
          <w:szCs w:val="13"/>
          <w:color w:val="0D0E10"/>
        </w:rPr>
        <w:t>Member of our Nominating and Corporate Governance Committee</w:t>
      </w:r>
    </w:p>
    <w:p>
      <w:pPr>
        <w:spacing w:after="0" w:line="93" w:lineRule="exact"/>
        <w:rPr>
          <w:rFonts w:ascii="Arial" w:cs="Arial" w:eastAsia="Arial" w:hAnsi="Arial"/>
          <w:sz w:val="13"/>
          <w:szCs w:val="13"/>
          <w:color w:val="0D0E10"/>
        </w:rPr>
      </w:pPr>
    </w:p>
    <w:p>
      <w:pPr>
        <w:ind w:left="340" w:hanging="332"/>
        <w:spacing w:after="0"/>
        <w:tabs>
          <w:tab w:leader="none" w:pos="340" w:val="left"/>
        </w:tabs>
        <w:numPr>
          <w:ilvl w:val="0"/>
          <w:numId w:val="20"/>
        </w:numPr>
        <w:rPr>
          <w:rFonts w:ascii="Arial" w:cs="Arial" w:eastAsia="Arial" w:hAnsi="Arial"/>
          <w:sz w:val="13"/>
          <w:szCs w:val="13"/>
          <w:color w:val="0D0E10"/>
        </w:rPr>
      </w:pPr>
      <w:r>
        <w:rPr>
          <w:rFonts w:ascii="Arial" w:cs="Arial" w:eastAsia="Arial" w:hAnsi="Arial"/>
          <w:sz w:val="13"/>
          <w:szCs w:val="13"/>
          <w:color w:val="0D0E10"/>
        </w:rPr>
        <w:t>Lead Independent Director</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10</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15" w:name="page16"/>
    <w:bookmarkEnd w:id="15"/>
    <w:p>
      <w:pPr>
        <w:ind w:left="64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Board Diversity</w:t>
      </w:r>
    </w:p>
    <w:p>
      <w:pPr>
        <w:spacing w:after="0" w:line="195"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0D0E10"/>
        </w:rPr>
        <w:t>In service of our mission, we are working to create a more diverse and inclusive team. This commitment extends to the composition of our Board of Directors. Of our eight-member Board, three identify as female, including our Lead Independent Director; one identifies as agender; one identifies as Black; and one identifies as a member of the LGBTQ+ community, as self-reported by members of our Board. Our Nominating and Corporate Governance Committee works with the Board to determine the desired qualifications, expertise, and characteristics for our Board members, including factors such as business experience, diversity, professional background, education, skill, and other individual qualities and attributes, that contribute to the diverse mix of backgrounds, viewpoints and experience represented on the Board.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0D0E10"/>
        </w:rPr>
        <w:t>The following charts set forth information relating to the independence, age, and tenure of our Board of Directors.</w:t>
      </w:r>
    </w:p>
    <w:p>
      <w:pPr>
        <w:sectPr>
          <w:pgSz w:w="11900" w:h="16838" w:orient="portrait"/>
          <w:cols w:equalWidth="0" w:num="1">
            <w:col w:w="11220"/>
          </w:cols>
          <w:pgMar w:left="320" w:top="279" w:right="359" w:bottom="1440" w:gutter="0" w:footer="0" w:header="0"/>
        </w:sectPr>
      </w:pPr>
    </w:p>
    <w:p>
      <w:pPr>
        <w:spacing w:after="0" w:line="266"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0D0E10"/>
        </w:rPr>
        <w:t>INDEPENDENCE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D0E10"/>
        </w:rPr>
        <w:t>AGE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D0E10"/>
        </w:rPr>
        <w:t>TENURE</w:t>
      </w:r>
    </w:p>
    <w:p>
      <w:pPr>
        <w:spacing w:after="0" w:line="50" w:lineRule="exact"/>
        <w:rPr>
          <w:sz w:val="20"/>
          <w:szCs w:val="20"/>
          <w:color w:val="auto"/>
        </w:rPr>
      </w:pPr>
    </w:p>
    <w:p>
      <w:pPr>
        <w:sectPr>
          <w:pgSz w:w="11900" w:h="16838" w:orient="portrait"/>
          <w:cols w:equalWidth="0" w:num="3">
            <w:col w:w="4700" w:space="720"/>
            <w:col w:w="2240" w:space="720"/>
            <w:col w:w="2840"/>
          </w:cols>
          <w:pgMar w:left="320" w:top="279" w:right="359" w:bottom="1440" w:gutter="0" w:footer="0" w:header="0"/>
          <w:type w:val="continuous"/>
        </w:sectPr>
      </w:pPr>
    </w:p>
    <w:p>
      <w:pPr>
        <w:ind w:left="1680"/>
        <w:spacing w:after="0"/>
        <w:rPr>
          <w:sz w:val="20"/>
          <w:szCs w:val="20"/>
          <w:color w:val="auto"/>
        </w:rPr>
      </w:pPr>
      <w:r>
        <w:rPr>
          <w:rFonts w:ascii="Arial" w:cs="Arial" w:eastAsia="Arial" w:hAnsi="Arial"/>
          <w:sz w:val="17"/>
          <w:szCs w:val="17"/>
          <w:b w:val="1"/>
          <w:bCs w:val="1"/>
          <w:color w:val="0D0E10"/>
        </w:rPr>
        <w:t>62.5%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110490</wp:posOffset>
            </wp:positionV>
            <wp:extent cx="1979930" cy="21431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79930"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Arial" w:cs="Arial" w:eastAsia="Arial" w:hAnsi="Arial"/>
          <w:sz w:val="17"/>
          <w:szCs w:val="17"/>
          <w:b w:val="1"/>
          <w:bCs w:val="1"/>
          <w:color w:val="0D0E10"/>
        </w:rPr>
        <w:t>47.4 Years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110490</wp:posOffset>
            </wp:positionV>
            <wp:extent cx="1979930" cy="2143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9930"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Arial" w:cs="Arial" w:eastAsia="Arial" w:hAnsi="Arial"/>
          <w:sz w:val="17"/>
          <w:szCs w:val="17"/>
          <w:b w:val="1"/>
          <w:bCs w:val="1"/>
          <w:color w:val="0D0E10"/>
        </w:rPr>
        <w:t>9.2 Years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110490</wp:posOffset>
            </wp:positionV>
            <wp:extent cx="1979930" cy="214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9930" cy="2143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080" w:space="720"/>
            <w:col w:w="2460" w:space="720"/>
            <w:col w:w="3240"/>
          </w:cols>
          <w:pgMar w:left="320" w:top="27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552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11</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16" w:name="page17"/>
    <w:bookmarkEnd w:id="16"/>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Nominees for Director</w:t>
      </w:r>
    </w:p>
    <w:p>
      <w:pPr>
        <w:spacing w:after="0" w:line="357" w:lineRule="exact"/>
        <w:rPr>
          <w:sz w:val="20"/>
          <w:szCs w:val="20"/>
          <w:color w:val="auto"/>
        </w:rPr>
      </w:pPr>
    </w:p>
    <w:p>
      <w:pPr>
        <w:ind w:left="2940"/>
        <w:spacing w:after="0"/>
        <w:rPr>
          <w:sz w:val="20"/>
          <w:szCs w:val="20"/>
          <w:color w:val="auto"/>
        </w:rPr>
      </w:pPr>
      <w:r>
        <w:rPr>
          <w:rFonts w:ascii="Arial" w:cs="Arial" w:eastAsia="Arial" w:hAnsi="Arial"/>
          <w:sz w:val="18"/>
          <w:szCs w:val="18"/>
          <w:color w:val="0D0E10"/>
        </w:rPr>
        <w:t>Matthew Cohler has served as a member of our Board of Directors since November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1328420" cy="1329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78" w:lineRule="exact"/>
        <w:rPr>
          <w:sz w:val="20"/>
          <w:szCs w:val="20"/>
          <w:color w:val="auto"/>
        </w:rPr>
      </w:pPr>
    </w:p>
    <w:p>
      <w:pPr>
        <w:ind w:left="2940" w:right="20"/>
        <w:spacing w:after="0" w:line="298" w:lineRule="auto"/>
        <w:rPr>
          <w:sz w:val="20"/>
          <w:szCs w:val="20"/>
          <w:color w:val="auto"/>
        </w:rPr>
      </w:pPr>
      <w:r>
        <w:rPr>
          <w:rFonts w:ascii="Arial" w:cs="Arial" w:eastAsia="Arial" w:hAnsi="Arial"/>
          <w:sz w:val="18"/>
          <w:szCs w:val="18"/>
          <w:color w:val="0D0E10"/>
        </w:rPr>
        <w:t>Mr. Cohler has been a Partner at Benchmark Capital, a venture capital firm, since June 2008. Before Benchmark Capital, Mr. Cohler served as the Vice President of Product Management at Meta Platforms, Inc. (formerly Facebook, Inc.), a social media and networking company, from 2005 to June 2008, and as the Vice President of LinkedIn Corporation, an internet software company, from 2003 to 2005. Mr. Cohler has served on the board of directors of 1stDibs, Inc., an e-commerce company, since September 2011 and on the board of directors of KKR &amp; Co. Inc., a global investment firm, since December 2021. Mr. Cohler previously served on the boards of directors of Domo, Inc. from July 2011 to March 2019, and Uber Technologies, Inc. from June 2017 to July 2019. Mr. Cohler holds a B.A. in music from Yale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480695</wp:posOffset>
            </wp:positionV>
            <wp:extent cx="52806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40" w:right="40"/>
        <w:spacing w:after="0" w:line="311" w:lineRule="auto"/>
        <w:rPr>
          <w:sz w:val="20"/>
          <w:szCs w:val="20"/>
          <w:color w:val="auto"/>
        </w:rPr>
      </w:pPr>
      <w:r>
        <w:rPr>
          <w:rFonts w:ascii="Arial" w:cs="Arial" w:eastAsia="Arial" w:hAnsi="Arial"/>
          <w:sz w:val="14"/>
          <w:szCs w:val="14"/>
          <w:color w:val="F06A6A"/>
        </w:rPr>
        <w:t>WE BELIEVE THAT MR. COHLER IS QUALIFIED TO SERVE AS A MEMBER OF OUR BOARD OF DIRECTORS BECAUSE OF HIS EXTENSIVE EXPERIENCE AS AN EXECUTIVE AND BOARD MEMBER OF MANY TECHNOLOGY, HIGH-GROWTH,</w:t>
      </w:r>
    </w:p>
    <w:p>
      <w:pPr>
        <w:spacing w:after="0" w:line="1" w:lineRule="exact"/>
        <w:rPr>
          <w:sz w:val="20"/>
          <w:szCs w:val="20"/>
          <w:color w:val="auto"/>
        </w:rPr>
      </w:pPr>
    </w:p>
    <w:p>
      <w:pPr>
        <w:ind w:left="2940"/>
        <w:spacing w:after="0"/>
        <w:rPr>
          <w:sz w:val="20"/>
          <w:szCs w:val="20"/>
          <w:color w:val="auto"/>
        </w:rPr>
      </w:pPr>
      <w:r>
        <w:rPr>
          <w:rFonts w:ascii="Arial" w:cs="Arial" w:eastAsia="Arial" w:hAnsi="Arial"/>
          <w:sz w:val="14"/>
          <w:szCs w:val="14"/>
          <w:color w:val="F06A6A"/>
        </w:rPr>
        <w:t>CONSUMER AND DIGITAL COMPANIES, HIS INVESTMENT EXPERIENCE, AND HIS KNOWLEDGE OF OUR INDUSTRY.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940" w:right="300"/>
        <w:spacing w:after="0" w:line="315" w:lineRule="auto"/>
        <w:rPr>
          <w:sz w:val="20"/>
          <w:szCs w:val="20"/>
          <w:color w:val="auto"/>
        </w:rPr>
      </w:pPr>
      <w:r>
        <w:rPr>
          <w:rFonts w:ascii="Arial" w:cs="Arial" w:eastAsia="Arial" w:hAnsi="Arial"/>
          <w:sz w:val="18"/>
          <w:szCs w:val="18"/>
          <w:color w:val="0D0E10"/>
        </w:rPr>
        <w:t>Dustin Moskovitz co-founded Asana and has served as a member of our Board of Directors since December 2008, as our Chief Executive Officer, or CEO, since October 2010, as our President since February 2019, and as our Chair since December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-462280</wp:posOffset>
            </wp:positionV>
            <wp:extent cx="1328420" cy="1329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83" w:lineRule="exact"/>
        <w:rPr>
          <w:sz w:val="20"/>
          <w:szCs w:val="20"/>
          <w:color w:val="auto"/>
        </w:rPr>
      </w:pPr>
    </w:p>
    <w:p>
      <w:pPr>
        <w:ind w:left="2940" w:right="80"/>
        <w:spacing w:after="0" w:line="301" w:lineRule="auto"/>
        <w:rPr>
          <w:sz w:val="20"/>
          <w:szCs w:val="20"/>
          <w:color w:val="auto"/>
        </w:rPr>
      </w:pPr>
      <w:r>
        <w:rPr>
          <w:rFonts w:ascii="Arial" w:cs="Arial" w:eastAsia="Arial" w:hAnsi="Arial"/>
          <w:sz w:val="18"/>
          <w:szCs w:val="18"/>
          <w:color w:val="0D0E10"/>
        </w:rPr>
        <w:t>Previously, Mr. Moskovitz served as our Chief Financial Officer from February 2009 to January 2017, and as our Secretary from February 2009 to October 2017. Prior to Asana, Mr. Moskovitz co-founded Meta Platforms, Inc. (formerly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266065</wp:posOffset>
            </wp:positionV>
            <wp:extent cx="52806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940"/>
        <w:spacing w:after="0"/>
        <w:rPr>
          <w:sz w:val="20"/>
          <w:szCs w:val="20"/>
          <w:color w:val="auto"/>
        </w:rPr>
      </w:pPr>
      <w:r>
        <w:rPr>
          <w:rFonts w:ascii="Arial" w:cs="Arial" w:eastAsia="Arial" w:hAnsi="Arial"/>
          <w:sz w:val="14"/>
          <w:szCs w:val="14"/>
          <w:color w:val="F06A6A"/>
        </w:rPr>
        <w:t>WE BELIEVE THAT MR. MOSKOVITZ IS QUALIFIED TO SERVE AS A MEMBER OF OUR BOARD OF DIRECTORS DUE TO</w:t>
      </w:r>
    </w:p>
    <w:p>
      <w:pPr>
        <w:spacing w:after="0" w:line="55" w:lineRule="exact"/>
        <w:rPr>
          <w:sz w:val="20"/>
          <w:szCs w:val="20"/>
          <w:color w:val="auto"/>
        </w:rPr>
      </w:pPr>
    </w:p>
    <w:p>
      <w:pPr>
        <w:ind w:left="2940"/>
        <w:spacing w:after="0"/>
        <w:rPr>
          <w:sz w:val="20"/>
          <w:szCs w:val="20"/>
          <w:color w:val="auto"/>
        </w:rPr>
      </w:pPr>
      <w:r>
        <w:rPr>
          <w:rFonts w:ascii="Arial" w:cs="Arial" w:eastAsia="Arial" w:hAnsi="Arial"/>
          <w:sz w:val="14"/>
          <w:szCs w:val="14"/>
          <w:color w:val="F06A6A"/>
        </w:rPr>
        <w:t>THE PERSPECTIVE AND EXPERIENCE HE BRINGS AS OUR CHIEF EXECUTIVE OFFICER AND A CO-FOUNDER AND DUE</w:t>
      </w:r>
    </w:p>
    <w:p>
      <w:pPr>
        <w:spacing w:after="0" w:line="42"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F06A6A"/>
        </w:rPr>
        <w:t>TO HIS EXTENSIVE EXPERIENCE MANAGING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12</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7" w:name="page18"/>
    <w:bookmarkEnd w:id="17"/>
    <w:p>
      <w:pPr>
        <w:ind w:left="64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Continuing Directors</w:t>
      </w:r>
    </w:p>
    <w:p>
      <w:pPr>
        <w:spacing w:after="0" w:line="200" w:lineRule="exact"/>
        <w:rPr>
          <w:sz w:val="20"/>
          <w:szCs w:val="20"/>
          <w:color w:val="auto"/>
        </w:rPr>
      </w:pPr>
    </w:p>
    <w:p>
      <w:pPr>
        <w:spacing w:after="0" w:line="319" w:lineRule="exact"/>
        <w:rPr>
          <w:sz w:val="20"/>
          <w:szCs w:val="20"/>
          <w:color w:val="auto"/>
        </w:rPr>
      </w:pPr>
    </w:p>
    <w:p>
      <w:pPr>
        <w:ind w:left="2940"/>
        <w:spacing w:after="0"/>
        <w:rPr>
          <w:sz w:val="20"/>
          <w:szCs w:val="20"/>
          <w:color w:val="auto"/>
        </w:rPr>
      </w:pPr>
      <w:r>
        <w:rPr>
          <w:rFonts w:ascii="Arial" w:cs="Arial" w:eastAsia="Arial" w:hAnsi="Arial"/>
          <w:sz w:val="18"/>
          <w:szCs w:val="18"/>
          <w:color w:val="0D0E10"/>
        </w:rPr>
        <w:t>Krista Anderson-Copperman has served as a member of our Board of Directors since July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1328420" cy="1329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78" w:lineRule="exact"/>
        <w:rPr>
          <w:sz w:val="20"/>
          <w:szCs w:val="20"/>
          <w:color w:val="auto"/>
        </w:rPr>
      </w:pPr>
    </w:p>
    <w:p>
      <w:pPr>
        <w:ind w:left="2940" w:right="40"/>
        <w:spacing w:after="0" w:line="296" w:lineRule="auto"/>
        <w:rPr>
          <w:sz w:val="20"/>
          <w:szCs w:val="20"/>
          <w:color w:val="auto"/>
        </w:rPr>
      </w:pPr>
      <w:r>
        <w:rPr>
          <w:rFonts w:ascii="Arial" w:cs="Arial" w:eastAsia="Arial" w:hAnsi="Arial"/>
          <w:sz w:val="18"/>
          <w:szCs w:val="18"/>
          <w:color w:val="0D0E10"/>
        </w:rPr>
        <w:t>Ms. Anderson-Copperman currently serves as an advisor and board director across a number of private SaaS companies and non-profit entities including Benchling, Cedar, Trove, Attentive, The Advocates for Survivors of Domestic Abuse, and Gainsight. Since January 2022, she has also served as a venture partner at Technology Crossover Ventures (TCV). Ms. Anderson-Copperman was previously the Chief Customer Officer at Okta, Inc., an identity management software company, from March 2014 to March 2020. Prior to joining Okta, she spent 14 years at Salesforce, Inc., an enterprise cloud computing and social enterprise solutions company, from November 2000 to January 2014, where she served in several senior management roles including Senior Vice President Customers for Life and Senior Vice President Global Support &amp; Customer Success. Ms. Anderson-Copperman holds a B.A. in psychology from the University of Oregon.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474345</wp:posOffset>
            </wp:positionV>
            <wp:extent cx="52806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40" w:right="180"/>
        <w:spacing w:after="0" w:line="345" w:lineRule="auto"/>
        <w:rPr>
          <w:sz w:val="20"/>
          <w:szCs w:val="20"/>
          <w:color w:val="auto"/>
        </w:rPr>
      </w:pPr>
      <w:r>
        <w:rPr>
          <w:rFonts w:ascii="Arial" w:cs="Arial" w:eastAsia="Arial" w:hAnsi="Arial"/>
          <w:sz w:val="14"/>
          <w:szCs w:val="14"/>
          <w:color w:val="F06A6A"/>
        </w:rPr>
        <w:t>WE BELIEVE THAT MS. ANDERSON-COPPERMAN IS QUALIFIED TO SERVE AS A MEMBER OF OUR BOARD OF DIRECTORS BECAUSE OF HER ENTERPRISE LEADERSHIP EXPERIENCE AND HER KNOWLEDGE OF OUR INDUSTRY.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40"/>
        <w:spacing w:after="0"/>
        <w:rPr>
          <w:sz w:val="20"/>
          <w:szCs w:val="20"/>
          <w:color w:val="auto"/>
        </w:rPr>
      </w:pPr>
      <w:r>
        <w:rPr>
          <w:rFonts w:ascii="Arial" w:cs="Arial" w:eastAsia="Arial" w:hAnsi="Arial"/>
          <w:sz w:val="18"/>
          <w:szCs w:val="18"/>
          <w:color w:val="0D0E10"/>
        </w:rPr>
        <w:t>Sydney Carey has served as a member of our Board of Directors since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1328420" cy="1329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192" w:lineRule="exact"/>
        <w:rPr>
          <w:sz w:val="20"/>
          <w:szCs w:val="20"/>
          <w:color w:val="auto"/>
        </w:rPr>
      </w:pPr>
    </w:p>
    <w:p>
      <w:pPr>
        <w:ind w:left="2940" w:right="20"/>
        <w:spacing w:after="0" w:line="295" w:lineRule="auto"/>
        <w:rPr>
          <w:sz w:val="20"/>
          <w:szCs w:val="20"/>
          <w:color w:val="auto"/>
        </w:rPr>
      </w:pPr>
      <w:r>
        <w:rPr>
          <w:rFonts w:ascii="Arial" w:cs="Arial" w:eastAsia="Arial" w:hAnsi="Arial"/>
          <w:sz w:val="18"/>
          <w:szCs w:val="18"/>
          <w:color w:val="0D0E10"/>
        </w:rPr>
        <w:t>Since August 2021, Ms. Carey has served as the Chief Financial Officer of Talkdesk, Inc., a provider of cloud-based contact center software. Ms. Carey also served as an advisor to Sumo Logic, Inc., a data analytics company, from August 2021 to December 2021. Previously, from November 2018 to August 2021, Ms. Carey served as the Chief Financial Officer of Sumo Logic.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previously served as a member of the board of directors of Lead Edge Growth Opportunities, Ltd, a special purpose acquisition company, from March 2021 to March 2023, Bazaarvoice, Inc. from April 2012 to September 2017, and Proofpoint, Inc. from January 2014 to March 2015. Ms. Carey holds a B.A. in economics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466090</wp:posOffset>
            </wp:positionV>
            <wp:extent cx="52806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40"/>
        <w:spacing w:after="0"/>
        <w:rPr>
          <w:sz w:val="20"/>
          <w:szCs w:val="20"/>
          <w:color w:val="auto"/>
        </w:rPr>
      </w:pPr>
      <w:r>
        <w:rPr>
          <w:rFonts w:ascii="Arial" w:cs="Arial" w:eastAsia="Arial" w:hAnsi="Arial"/>
          <w:sz w:val="14"/>
          <w:szCs w:val="14"/>
          <w:color w:val="F06A6A"/>
        </w:rPr>
        <w:t>WE BELIEVE THAT MS. CAREY IS QUALIFIED TO SERVE AS A MEMBER OF OUR BOARD OF DIRECTORS BECAUSE OF</w:t>
      </w:r>
    </w:p>
    <w:p>
      <w:pPr>
        <w:spacing w:after="0" w:line="55" w:lineRule="exact"/>
        <w:rPr>
          <w:sz w:val="20"/>
          <w:szCs w:val="20"/>
          <w:color w:val="auto"/>
        </w:rPr>
      </w:pPr>
    </w:p>
    <w:p>
      <w:pPr>
        <w:ind w:left="2940"/>
        <w:spacing w:after="0"/>
        <w:rPr>
          <w:sz w:val="20"/>
          <w:szCs w:val="20"/>
          <w:color w:val="auto"/>
        </w:rPr>
      </w:pPr>
      <w:r>
        <w:rPr>
          <w:rFonts w:ascii="Arial" w:cs="Arial" w:eastAsia="Arial" w:hAnsi="Arial"/>
          <w:sz w:val="14"/>
          <w:szCs w:val="14"/>
          <w:color w:val="F06A6A"/>
        </w:rPr>
        <w:t>HER EXTENSIVE FINANCE BACKGROUND, INCLUDING SERVICE AS A CHIEF FINANCIAL OFFICER OF SEVERAL</w:t>
      </w:r>
    </w:p>
    <w:p>
      <w:pPr>
        <w:spacing w:after="0" w:line="42" w:lineRule="exact"/>
        <w:rPr>
          <w:sz w:val="20"/>
          <w:szCs w:val="20"/>
          <w:color w:val="auto"/>
        </w:rPr>
      </w:pPr>
    </w:p>
    <w:p>
      <w:pPr>
        <w:ind w:left="2940"/>
        <w:spacing w:after="0"/>
        <w:rPr>
          <w:sz w:val="20"/>
          <w:szCs w:val="20"/>
          <w:color w:val="auto"/>
        </w:rPr>
      </w:pPr>
      <w:r>
        <w:rPr>
          <w:rFonts w:ascii="Arial" w:cs="Arial" w:eastAsia="Arial" w:hAnsi="Arial"/>
          <w:sz w:val="14"/>
          <w:szCs w:val="14"/>
          <w:color w:val="F06A6A"/>
        </w:rPr>
        <w:t>COMPANIES, HER EXPERIENCE AS A DIRECTOR OF PUBLIC COMPANIES, AND HER KNOWLEDGE OF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13</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8" w:name="page19"/>
    <w:bookmarkEnd w:id="18"/>
    <w:p>
      <w:pPr>
        <w:ind w:left="7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649605</wp:posOffset>
            </wp:positionV>
            <wp:extent cx="1328420" cy="1329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920"/>
        <w:spacing w:after="0"/>
        <w:rPr>
          <w:sz w:val="20"/>
          <w:szCs w:val="20"/>
          <w:color w:val="auto"/>
        </w:rPr>
      </w:pPr>
      <w:r>
        <w:rPr>
          <w:rFonts w:ascii="Arial" w:cs="Arial" w:eastAsia="Arial" w:hAnsi="Arial"/>
          <w:sz w:val="18"/>
          <w:szCs w:val="18"/>
          <w:color w:val="0D0E10"/>
        </w:rPr>
        <w:t>Adam D’Angelo has served as a member of our Board of Directors since December 2008.</w:t>
      </w:r>
    </w:p>
    <w:p>
      <w:pPr>
        <w:spacing w:after="0" w:line="212" w:lineRule="exact"/>
        <w:rPr>
          <w:sz w:val="20"/>
          <w:szCs w:val="20"/>
          <w:color w:val="auto"/>
        </w:rPr>
      </w:pPr>
    </w:p>
    <w:p>
      <w:pPr>
        <w:ind w:left="2920" w:right="80"/>
        <w:spacing w:after="0" w:line="298" w:lineRule="auto"/>
        <w:rPr>
          <w:sz w:val="20"/>
          <w:szCs w:val="20"/>
          <w:color w:val="auto"/>
        </w:rPr>
      </w:pPr>
      <w:r>
        <w:rPr>
          <w:rFonts w:ascii="Arial" w:cs="Arial" w:eastAsia="Arial" w:hAnsi="Arial"/>
          <w:sz w:val="18"/>
          <w:szCs w:val="18"/>
          <w:color w:val="0D0E10"/>
        </w:rPr>
        <w:t>Mr. D’Angelo founded Quora Inc., a question-and-answer website, and since June 2009, has served as its Chief Executive Officer. From June 2005 to June 2008, Mr. D’Angelo served in a variety of senior roles at Meta Platforms, Inc. (formerly Facebook, Inc.), a social media and networking company, including as Chief Technology Officer, from November 2006 to June 2008. Mr. D’Angelo holds a B.S. in computer science from the California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464820</wp:posOffset>
            </wp:positionV>
            <wp:extent cx="52806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20" w:right="140"/>
        <w:spacing w:after="0" w:line="311" w:lineRule="auto"/>
        <w:rPr>
          <w:sz w:val="20"/>
          <w:szCs w:val="20"/>
          <w:color w:val="auto"/>
        </w:rPr>
      </w:pPr>
      <w:r>
        <w:rPr>
          <w:rFonts w:ascii="Arial" w:cs="Arial" w:eastAsia="Arial" w:hAnsi="Arial"/>
          <w:sz w:val="14"/>
          <w:szCs w:val="14"/>
          <w:color w:val="F06A6A"/>
        </w:rPr>
        <w:t>WE BELIEVE THAT MR. D’ANGELO IS QUALIFIED TO SERVE AS A MEMBER OF OUR BOARD OF DIRECTORS BECAUSE OF HIS SIGNIFICANT HISTORY WITH OUR COMPANY, HIS EXTENSIVE EXPERIENCE AS AN EXECUTIVE AND BOARD</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4"/>
          <w:szCs w:val="14"/>
          <w:color w:val="F06A6A"/>
        </w:rPr>
        <w:t>MEMBER OF TECHNOLOGY COMPANIES, AND HIS KNOWLEDGE OF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486410</wp:posOffset>
            </wp:positionV>
            <wp:extent cx="1328420" cy="13284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842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920"/>
        <w:spacing w:after="0"/>
        <w:rPr>
          <w:sz w:val="20"/>
          <w:szCs w:val="20"/>
          <w:color w:val="auto"/>
        </w:rPr>
      </w:pPr>
      <w:r>
        <w:rPr>
          <w:rFonts w:ascii="Arial" w:cs="Arial" w:eastAsia="Arial" w:hAnsi="Arial"/>
          <w:sz w:val="18"/>
          <w:szCs w:val="18"/>
          <w:color w:val="0D0E10"/>
        </w:rPr>
        <w:t>Andrew Lindsay has served as a member of our Board of Directors since July 2021.</w:t>
      </w:r>
    </w:p>
    <w:p>
      <w:pPr>
        <w:spacing w:after="0" w:line="212" w:lineRule="exact"/>
        <w:rPr>
          <w:sz w:val="20"/>
          <w:szCs w:val="20"/>
          <w:color w:val="auto"/>
        </w:rPr>
      </w:pPr>
    </w:p>
    <w:p>
      <w:pPr>
        <w:ind w:left="2920" w:right="60"/>
        <w:spacing w:after="0" w:line="294" w:lineRule="auto"/>
        <w:rPr>
          <w:sz w:val="20"/>
          <w:szCs w:val="20"/>
          <w:color w:val="auto"/>
        </w:rPr>
      </w:pPr>
      <w:r>
        <w:rPr>
          <w:rFonts w:ascii="Arial" w:cs="Arial" w:eastAsia="Arial" w:hAnsi="Arial"/>
          <w:sz w:val="18"/>
          <w:szCs w:val="18"/>
          <w:color w:val="0D0E10"/>
        </w:rPr>
        <w:t>Since May 2022, Mr. Lindsay has served as Corporate Vice President, AI, Industry, Data and Apps Business Development of Microsoft Corporation, a multinational technology company. Mr. Lindsay previously served as Senior VP of Corporate and Business Development of HubSpot, Inc., a customer relationship management platform, from July 2020 to April 2022 and as HubSpot’s VP of Corporate and Business Development from January 2018 to July 2020. Prior to joining HubSpot, Mr. Lindsay held several positions at Jawbone, a wearable technology company, from December 2011 to December 2017, most recently as the VP of Corporate Development. He was previously a consultant with McKinsey &amp; Company, a management consulting firm, and a mergers and acquisitions investment banker with Merrill Lynch &amp; Co., an investment bank. Mr. Lindsay holds a B.S. in Biology from Howard University, where he also helped found the University's Center for Digital Business. Mr. Lindsay also holds a J.D. from Harvard Law School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409575</wp:posOffset>
            </wp:positionV>
            <wp:extent cx="52806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920" w:right="40"/>
        <w:spacing w:after="0" w:line="311" w:lineRule="auto"/>
        <w:rPr>
          <w:sz w:val="20"/>
          <w:szCs w:val="20"/>
          <w:color w:val="auto"/>
        </w:rPr>
      </w:pPr>
      <w:r>
        <w:rPr>
          <w:rFonts w:ascii="Arial" w:cs="Arial" w:eastAsia="Arial" w:hAnsi="Arial"/>
          <w:sz w:val="14"/>
          <w:szCs w:val="14"/>
          <w:color w:val="F06A6A"/>
        </w:rPr>
        <w:t>WE BELIEVE THAT MR. LINDSAY IS QUALIFIED TO SERVE AS A MEMBER OF OUR BOARD OF DIRECTORS BECAUSE OF HIS EXTENSIVE EXPERIENCE AS AN EXECUTIVE OF TECHNOLOGY COMPANIES AND HIS KNOWLEDGE OF OUR</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4"/>
          <w:szCs w:val="14"/>
          <w:color w:val="F06A6A"/>
        </w:rPr>
        <w:t>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5480" w:val="left"/>
          <w:tab w:leader="none" w:pos="976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14</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79" w:right="359" w:bottom="1440" w:gutter="0" w:footer="0" w:header="0"/>
        </w:sectPr>
      </w:pPr>
    </w:p>
    <w:bookmarkStart w:id="19" w:name="page20"/>
    <w:bookmarkEnd w:id="19"/>
    <w:p>
      <w:pPr>
        <w:ind w:left="6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675005</wp:posOffset>
            </wp:positionV>
            <wp:extent cx="1328420" cy="1329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20" w:right="300"/>
        <w:spacing w:after="0" w:line="334" w:lineRule="auto"/>
        <w:rPr>
          <w:sz w:val="20"/>
          <w:szCs w:val="20"/>
          <w:color w:val="auto"/>
        </w:rPr>
      </w:pPr>
      <w:r>
        <w:rPr>
          <w:rFonts w:ascii="Arial" w:cs="Arial" w:eastAsia="Arial" w:hAnsi="Arial"/>
          <w:sz w:val="18"/>
          <w:szCs w:val="18"/>
          <w:color w:val="0D0E10"/>
        </w:rPr>
        <w:t>Lorrie Norrington has served as a member of our Board of Directors since July 2019 and as our lead independent director since August 2021.</w:t>
      </w:r>
    </w:p>
    <w:p>
      <w:pPr>
        <w:spacing w:after="0" w:line="85" w:lineRule="exact"/>
        <w:rPr>
          <w:sz w:val="20"/>
          <w:szCs w:val="20"/>
          <w:color w:val="auto"/>
        </w:rPr>
      </w:pPr>
    </w:p>
    <w:p>
      <w:pPr>
        <w:ind w:left="2920" w:right="100"/>
        <w:spacing w:after="0" w:line="298" w:lineRule="auto"/>
        <w:rPr>
          <w:sz w:val="20"/>
          <w:szCs w:val="20"/>
          <w:color w:val="auto"/>
        </w:rPr>
      </w:pPr>
      <w:r>
        <w:rPr>
          <w:rFonts w:ascii="Arial" w:cs="Arial" w:eastAsia="Arial" w:hAnsi="Arial"/>
          <w:sz w:val="18"/>
          <w:szCs w:val="18"/>
          <w:color w:val="0D0E10"/>
        </w:rPr>
        <w:t>Ms. Norrington has served as an operating partner of Lead Edge Capital LLC, a growth equity investment firm, since October 2012. Ms. Norrington previously served in several senior management roles at eBay Inc., a multinational e-commerce publicly traded company, from June 2005 to September 2010, including President of Global eBay Marketplaces, Chief Operating Officer of eBay Marketplaces, and President of eBay International. Ms. Norrington currently serves on the boards of directors of Autodesk, Inc., HubSpot, Inc., and Colgate-Palmolive Company, and she also previously served on the boards of directors of Eventbrite, Inc. from April 2015 to August 2020 and of DirectTV from February 2011 to August 2015. Ms. Norrington holds a B.A. in business administration from the University of Maryland, College Park and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317500</wp:posOffset>
            </wp:positionV>
            <wp:extent cx="52806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920" w:right="240"/>
        <w:spacing w:after="0" w:line="311" w:lineRule="auto"/>
        <w:rPr>
          <w:sz w:val="20"/>
          <w:szCs w:val="20"/>
          <w:color w:val="auto"/>
        </w:rPr>
      </w:pPr>
      <w:r>
        <w:rPr>
          <w:rFonts w:ascii="Arial" w:cs="Arial" w:eastAsia="Arial" w:hAnsi="Arial"/>
          <w:sz w:val="14"/>
          <w:szCs w:val="14"/>
          <w:color w:val="F06A6A"/>
        </w:rPr>
        <w:t>WE BELIEVE THAT MS. NORRINGTON IS QUALIFIED TO SERVE AS A MEMBER OF OUR BOARD OF DIRECTORS BECAUSE OF HER EXTENSIVE EXPERIENCE AS AN EXECUTIVE AND BOARD MEMBER OF MANY PUBLICLY TRADED</w:t>
      </w:r>
    </w:p>
    <w:p>
      <w:pPr>
        <w:spacing w:after="0" w:line="1" w:lineRule="exact"/>
        <w:rPr>
          <w:sz w:val="20"/>
          <w:szCs w:val="20"/>
          <w:color w:val="auto"/>
        </w:rPr>
      </w:pPr>
    </w:p>
    <w:p>
      <w:pPr>
        <w:ind w:left="2920" w:right="140"/>
        <w:spacing w:after="0" w:line="311" w:lineRule="auto"/>
        <w:rPr>
          <w:sz w:val="20"/>
          <w:szCs w:val="20"/>
          <w:color w:val="auto"/>
        </w:rPr>
      </w:pPr>
      <w:r>
        <w:rPr>
          <w:rFonts w:ascii="Arial" w:cs="Arial" w:eastAsia="Arial" w:hAnsi="Arial"/>
          <w:sz w:val="14"/>
          <w:szCs w:val="14"/>
          <w:color w:val="F06A6A"/>
        </w:rPr>
        <w:t>COMPANIES, INCLUDING HER BUSINESS ACUMEN, FINANCE EXPERTISE, EXTENSIVE GLOBAL EXPERTISE, AND HER KNOWLEDGE OF OUR INDUSTRY. AS A MEMBER OF THE LGBTQ+ COMMUNITY, MS. NORRINGTON IS A PASSIONATE</w:t>
      </w:r>
    </w:p>
    <w:p>
      <w:pPr>
        <w:spacing w:after="0" w:line="1" w:lineRule="exact"/>
        <w:rPr>
          <w:sz w:val="20"/>
          <w:szCs w:val="20"/>
          <w:color w:val="auto"/>
        </w:rPr>
      </w:pPr>
    </w:p>
    <w:p>
      <w:pPr>
        <w:ind w:left="2920"/>
        <w:spacing w:after="0"/>
        <w:rPr>
          <w:sz w:val="20"/>
          <w:szCs w:val="20"/>
          <w:color w:val="auto"/>
        </w:rPr>
      </w:pPr>
      <w:r>
        <w:rPr>
          <w:rFonts w:ascii="Arial" w:cs="Arial" w:eastAsia="Arial" w:hAnsi="Arial"/>
          <w:sz w:val="14"/>
          <w:szCs w:val="14"/>
          <w:color w:val="F06A6A"/>
        </w:rPr>
        <w:t>ADVOCATE FOR INCLUSION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520700</wp:posOffset>
            </wp:positionV>
            <wp:extent cx="1328420" cy="13290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920" w:right="480"/>
        <w:spacing w:after="0" w:line="318" w:lineRule="auto"/>
        <w:rPr>
          <w:sz w:val="20"/>
          <w:szCs w:val="20"/>
          <w:color w:val="auto"/>
        </w:rPr>
      </w:pPr>
      <w:r>
        <w:rPr>
          <w:rFonts w:ascii="Arial" w:cs="Arial" w:eastAsia="Arial" w:hAnsi="Arial"/>
          <w:sz w:val="18"/>
          <w:szCs w:val="18"/>
          <w:color w:val="0D0E10"/>
        </w:rPr>
        <w:t>Justin Rosenstein co-founded Asana and has served as a member of our Board of Directors since December 2008.</w:t>
      </w:r>
    </w:p>
    <w:p>
      <w:pPr>
        <w:spacing w:after="0" w:line="113" w:lineRule="exact"/>
        <w:rPr>
          <w:sz w:val="20"/>
          <w:szCs w:val="20"/>
          <w:color w:val="auto"/>
        </w:rPr>
      </w:pPr>
    </w:p>
    <w:p>
      <w:pPr>
        <w:jc w:val="both"/>
        <w:ind w:left="2920" w:right="80"/>
        <w:spacing w:after="0" w:line="298" w:lineRule="auto"/>
        <w:rPr>
          <w:sz w:val="20"/>
          <w:szCs w:val="20"/>
          <w:color w:val="auto"/>
        </w:rPr>
      </w:pPr>
      <w:r>
        <w:rPr>
          <w:rFonts w:ascii="Arial" w:cs="Arial" w:eastAsia="Arial" w:hAnsi="Arial"/>
          <w:sz w:val="18"/>
          <w:szCs w:val="18"/>
          <w:color w:val="0D0E10"/>
        </w:rPr>
        <w:t>Mr. Rosenstein served as our Chief Executive Officer from February 2009 to October 2010, and as our President from October 2010 to February 2019. Previously, Mr. Rosenstein served as an Engineer and Engineering Manager at Meta Platforms, Inc. (formerly Facebook, Inc.), a social media and networking company, from May 2007 to November 2008, and as a Product Manager at Google Inc., a multinational technology company, from March 2004 to April 2007. Mr. Rosenstein holds a B.S. in mathematics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275590</wp:posOffset>
            </wp:positionV>
            <wp:extent cx="52806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20" w:right="80"/>
        <w:spacing w:after="0" w:line="345" w:lineRule="auto"/>
        <w:rPr>
          <w:sz w:val="20"/>
          <w:szCs w:val="20"/>
          <w:color w:val="auto"/>
        </w:rPr>
      </w:pPr>
      <w:r>
        <w:rPr>
          <w:rFonts w:ascii="Arial" w:cs="Arial" w:eastAsia="Arial" w:hAnsi="Arial"/>
          <w:sz w:val="14"/>
          <w:szCs w:val="14"/>
          <w:color w:val="F06A6A"/>
        </w:rPr>
        <w:t>WE BELIEVE THAT MR. ROSENSTEIN IS QUALIFIED TO SERVE AS A MEMBER OF OUR BOARD OF DIRECTORS DUE TO THE PERSPECTIVE AND EXPERIENCE HE BRINGS AS OUR CO-FOUNDER AND FORMER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5480" w:val="left"/>
          <w:tab w:leader="none" w:pos="1078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15</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136525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79" w:right="359" w:bottom="1440" w:gutter="0" w:footer="0" w:header="0"/>
        </w:sectPr>
      </w:pPr>
    </w:p>
    <w:bookmarkStart w:id="20" w:name="page21"/>
    <w:bookmarkEnd w:id="20"/>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Director Independence</w:t>
      </w:r>
    </w:p>
    <w:p>
      <w:pPr>
        <w:spacing w:after="0" w:line="195" w:lineRule="exact"/>
        <w:rPr>
          <w:sz w:val="20"/>
          <w:szCs w:val="20"/>
          <w:color w:val="auto"/>
        </w:rPr>
      </w:pPr>
    </w:p>
    <w:p>
      <w:pPr>
        <w:ind w:right="80"/>
        <w:spacing w:after="0" w:line="293" w:lineRule="auto"/>
        <w:rPr>
          <w:sz w:val="20"/>
          <w:szCs w:val="20"/>
          <w:color w:val="auto"/>
        </w:rPr>
      </w:pPr>
      <w:r>
        <w:rPr>
          <w:rFonts w:ascii="Arial" w:cs="Arial" w:eastAsia="Arial" w:hAnsi="Arial"/>
          <w:sz w:val="18"/>
          <w:szCs w:val="18"/>
          <w:color w:val="0D0E10"/>
        </w:rPr>
        <w:t>Our Class A common stock is listed on both the NYSE and the LTSE. Under the listing requirements and rules of each of the NYSE and the LTSE, independent directors must comprise a majority of our Board of Directors. In addition, the rules of each of the NYSE and the LTSE require that, subject to specified exceptions, each member of a listed company’s audit, compensation, and nominating and corporate governance committees be independent. Under the rules of the NYSE, a director will only qualify as an “independent director” if the Board determines that the director has no material relationship with the listed company. Under the rules of the LTSE, a director will only qualify as an “independent director” if the Board determines that the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our Audit Committee members must also satisfy the independence criteria set forth in Rule 10A-3 under the Exchange Act. To be considered independent for purposes of Rule 10A-3, a member of an audit committee of a listed company may not, other than in their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Our Board of Directors has undertaken a review of the independence of each director. Based on information provided by each director concerning their background, employment, and affiliations, our Board of Directors has determined that Mmes. Anderson-Copperman, Carey, and Norrington and Messrs. Cohler and Lindsay do not have a material relationship with the Company or relationships that would interfere with the exercise of independent judgment in carrying out the responsibilities of a director and that each of these directors is “independent” as that term is defined under the listing standards of each of the NYSE and the LTSE.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Person Transactions.”</w:t>
      </w:r>
    </w:p>
    <w:p>
      <w:pPr>
        <w:spacing w:after="0" w:line="95" w:lineRule="exact"/>
        <w:rPr>
          <w:sz w:val="20"/>
          <w:szCs w:val="20"/>
          <w:color w:val="auto"/>
        </w:rPr>
      </w:pPr>
    </w:p>
    <w:p>
      <w:pPr>
        <w:spacing w:after="0"/>
        <w:rPr>
          <w:sz w:val="20"/>
          <w:szCs w:val="20"/>
          <w:color w:val="auto"/>
        </w:rPr>
      </w:pPr>
      <w:r>
        <w:rPr>
          <w:rFonts w:ascii="Arial" w:cs="Arial" w:eastAsia="Arial" w:hAnsi="Arial"/>
          <w:sz w:val="32"/>
          <w:szCs w:val="32"/>
          <w:color w:val="0D0E10"/>
        </w:rPr>
        <w:t>Board Leadership Structure</w:t>
      </w:r>
    </w:p>
    <w:p>
      <w:pPr>
        <w:spacing w:after="0" w:line="195"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0D0E10"/>
        </w:rPr>
        <w:t>Dustin Moskovitz currently serves as both the Chairman of our Board of Directors and our CEO. Our independent directors bring experience, oversight, and expertise from outside of our company, while Mr. Moskovitz brings company-specific experience and expertise. As one of our co-founders, Mr. Moskovitz is best positioned to identify strategic priorities, lead critical discussion, and execute our business plans. We believe that the structure of our Board of Directors and its committees provides effective independent oversight of management while Mr. Moskovitz’s combined role enables strong leadership, creates clear accountability, and enhances our ability to communicate our message and strategy clearly and consistently to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0D0E10"/>
        </w:rPr>
        <w:t>Lead Independent Director</w:t>
      </w:r>
    </w:p>
    <w:p>
      <w:pPr>
        <w:spacing w:after="0" w:line="195" w:lineRule="exact"/>
        <w:rPr>
          <w:sz w:val="20"/>
          <w:szCs w:val="20"/>
          <w:color w:val="auto"/>
        </w:rPr>
      </w:pPr>
    </w:p>
    <w:p>
      <w:pPr>
        <w:spacing w:after="0" w:line="295" w:lineRule="auto"/>
        <w:rPr>
          <w:sz w:val="20"/>
          <w:szCs w:val="20"/>
          <w:color w:val="auto"/>
        </w:rPr>
      </w:pPr>
      <w:r>
        <w:rPr>
          <w:rFonts w:ascii="Arial" w:cs="Arial" w:eastAsia="Arial" w:hAnsi="Arial"/>
          <w:sz w:val="18"/>
          <w:szCs w:val="18"/>
          <w:color w:val="0D0E10"/>
        </w:rPr>
        <w:t>Our Corporate Governance Guidelines provide that if the Chairman of our Board of Directors is not an independent director, our independent directors will designate one of the independent directors to serve as Lead Independent Director. Because Mr. Moskovitz is our Chairman and CEO, our Board of Directors, including the independent directors, has appointed Lorrie Norrington to serve as our Lead Independent Director. As Lead Independent Director, Ms. Norrington presides over regularly scheduled executive sessions of our independent directors, coordinates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16</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1" w:name="page22"/>
    <w:bookmarkEnd w:id="21"/>
    <w:p>
      <w:pPr>
        <w:ind w:left="64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Board and Stockholder Meetings and Committees</w:t>
      </w:r>
    </w:p>
    <w:p>
      <w:pPr>
        <w:spacing w:after="0" w:line="195" w:lineRule="exact"/>
        <w:rPr>
          <w:sz w:val="20"/>
          <w:szCs w:val="20"/>
          <w:color w:val="auto"/>
        </w:rPr>
      </w:pPr>
    </w:p>
    <w:p>
      <w:pPr>
        <w:ind w:right="160"/>
        <w:spacing w:after="0" w:line="304" w:lineRule="auto"/>
        <w:rPr>
          <w:sz w:val="20"/>
          <w:szCs w:val="20"/>
          <w:color w:val="auto"/>
        </w:rPr>
      </w:pPr>
      <w:r>
        <w:rPr>
          <w:rFonts w:ascii="Arial" w:cs="Arial" w:eastAsia="Arial" w:hAnsi="Arial"/>
          <w:sz w:val="18"/>
          <w:szCs w:val="18"/>
          <w:color w:val="0D0E10"/>
        </w:rPr>
        <w:t>During our fiscal year ended January 31, 2024, our Board of Directors held five meetings (including regularly scheduled and special meetings), and each incumbent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12" w:lineRule="exact"/>
        <w:rPr>
          <w:sz w:val="20"/>
          <w:szCs w:val="20"/>
          <w:color w:val="auto"/>
        </w:rPr>
      </w:pPr>
    </w:p>
    <w:p>
      <w:pPr>
        <w:ind w:right="100"/>
        <w:spacing w:after="0" w:line="334" w:lineRule="auto"/>
        <w:rPr>
          <w:sz w:val="20"/>
          <w:szCs w:val="20"/>
          <w:color w:val="auto"/>
        </w:rPr>
      </w:pPr>
      <w:r>
        <w:rPr>
          <w:rFonts w:ascii="Arial" w:cs="Arial" w:eastAsia="Arial" w:hAnsi="Arial"/>
          <w:sz w:val="18"/>
          <w:szCs w:val="18"/>
          <w:color w:val="0D0E10"/>
        </w:rPr>
        <w:t>We encourage our directors to attend our annual meeting of stockholders each year. Last year, all of our then-serving directors were present at our annual meeting of stockholders.</w:t>
      </w:r>
    </w:p>
    <w:p>
      <w:pPr>
        <w:spacing w:after="0" w:line="99"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0D0E10"/>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otherwise determined by our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F06A6A"/>
        </w:rPr>
        <w:t>AUDIT COMMITTEE</w:t>
      </w:r>
    </w:p>
    <w:p>
      <w:pPr>
        <w:spacing w:after="0" w:line="95"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0D0E10"/>
        </w:rPr>
        <w:t>Our Audit Committee consists of Krista Anderson-Copperman, Sydney Carey, Andrew Lindsay, and Lorrie Norrington. Our Board of Directors has determined that each member of the Audit Committee satisfies the independence requirements under the listing standards of each of the NYSE and the LTSE as well as Rule 10A-3(b)(1) of the Exchange Act. The Chair of our Audit Committee is Ms. Carey. Our Board of Directors has determined that Mmes. Carey and Norrington are each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or the nature of their employment.</w:t>
      </w:r>
    </w:p>
    <w:p>
      <w:pPr>
        <w:spacing w:after="0" w:line="118" w:lineRule="exact"/>
        <w:rPr>
          <w:sz w:val="20"/>
          <w:szCs w:val="20"/>
          <w:color w:val="auto"/>
        </w:rPr>
      </w:pPr>
    </w:p>
    <w:p>
      <w:pPr>
        <w:ind w:right="360"/>
        <w:spacing w:after="0" w:line="315" w:lineRule="auto"/>
        <w:rPr>
          <w:sz w:val="20"/>
          <w:szCs w:val="20"/>
          <w:color w:val="auto"/>
        </w:rPr>
      </w:pPr>
      <w:r>
        <w:rPr>
          <w:rFonts w:ascii="Arial" w:cs="Arial" w:eastAsia="Arial" w:hAnsi="Arial"/>
          <w:sz w:val="18"/>
          <w:szCs w:val="18"/>
          <w:color w:val="0D0E10"/>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03"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helping our Board of Directors oversee our corporate accounting and financial reporting processes;</w:t>
      </w:r>
    </w:p>
    <w:p>
      <w:pPr>
        <w:spacing w:after="0" w:line="103" w:lineRule="exact"/>
        <w:rPr>
          <w:rFonts w:ascii="Arial" w:cs="Arial" w:eastAsia="Arial" w:hAnsi="Arial"/>
          <w:sz w:val="18"/>
          <w:szCs w:val="18"/>
          <w:color w:val="0D0E10"/>
        </w:rPr>
      </w:pPr>
    </w:p>
    <w:p>
      <w:pPr>
        <w:ind w:left="660" w:right="160" w:hanging="328"/>
        <w:spacing w:after="0" w:line="320" w:lineRule="auto"/>
        <w:tabs>
          <w:tab w:leader="none" w:pos="615"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managing the selection, engagement, qualifications, independence, and performance of a qualified firm to serve as the independent registered public accounting firm to audit our financial statements;</w:t>
      </w:r>
    </w:p>
    <w:p>
      <w:pPr>
        <w:spacing w:after="0" w:line="1" w:lineRule="exact"/>
        <w:rPr>
          <w:rFonts w:ascii="Arial" w:cs="Arial" w:eastAsia="Arial" w:hAnsi="Arial"/>
          <w:sz w:val="18"/>
          <w:szCs w:val="18"/>
          <w:color w:val="0D0E10"/>
        </w:rPr>
      </w:pPr>
    </w:p>
    <w:p>
      <w:pPr>
        <w:ind w:left="660" w:hanging="328"/>
        <w:spacing w:after="0" w:line="328" w:lineRule="auto"/>
        <w:tabs>
          <w:tab w:leader="none" w:pos="615"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discussing the scope and results of the audit with the independent registered public accounting firm, and reviewing, with management and the independent accountants, our interim and year-end operating results;</w:t>
      </w:r>
    </w:p>
    <w:p>
      <w:pPr>
        <w:spacing w:after="0" w:line="1" w:lineRule="exact"/>
        <w:rPr>
          <w:rFonts w:ascii="Arial" w:cs="Arial" w:eastAsia="Arial" w:hAnsi="Arial"/>
          <w:sz w:val="18"/>
          <w:szCs w:val="18"/>
          <w:color w:val="0D0E10"/>
        </w:rPr>
      </w:pPr>
    </w:p>
    <w:p>
      <w:pPr>
        <w:ind w:left="660" w:right="20" w:hanging="328"/>
        <w:spacing w:after="0" w:line="318" w:lineRule="auto"/>
        <w:tabs>
          <w:tab w:leader="none" w:pos="615"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reviewing and approving our annual internal audit plan including responsibilities, budget, and staffing of the internal audit function and our plans for the implementation of the internal audit function;</w:t>
      </w:r>
    </w:p>
    <w:p>
      <w:pPr>
        <w:spacing w:after="0" w:line="4" w:lineRule="exact"/>
        <w:rPr>
          <w:rFonts w:ascii="Arial" w:cs="Arial" w:eastAsia="Arial" w:hAnsi="Arial"/>
          <w:sz w:val="18"/>
          <w:szCs w:val="18"/>
          <w:color w:val="0D0E10"/>
        </w:rPr>
      </w:pPr>
    </w:p>
    <w:p>
      <w:pPr>
        <w:ind w:left="660" w:right="320" w:hanging="328"/>
        <w:spacing w:after="0" w:line="320" w:lineRule="auto"/>
        <w:tabs>
          <w:tab w:leader="none" w:pos="615"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meeting periodically with our management and our other personnel primarily responsible for the design and implementation of our internal audit function;</w:t>
      </w:r>
    </w:p>
    <w:p>
      <w:pPr>
        <w:spacing w:after="0" w:line="1" w:lineRule="exact"/>
        <w:rPr>
          <w:rFonts w:ascii="Arial" w:cs="Arial" w:eastAsia="Arial" w:hAnsi="Arial"/>
          <w:sz w:val="18"/>
          <w:szCs w:val="18"/>
          <w:color w:val="0D0E10"/>
        </w:rPr>
      </w:pPr>
    </w:p>
    <w:p>
      <w:pPr>
        <w:ind w:left="620" w:hanging="288"/>
        <w:spacing w:after="0"/>
        <w:tabs>
          <w:tab w:leader="none" w:pos="620"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developing procedures for employees to submit concerns anonymously about questionable accounting or audit matters;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reviewing related party transactions;</w:t>
      </w:r>
    </w:p>
    <w:p>
      <w:pPr>
        <w:spacing w:after="0" w:line="103" w:lineRule="exact"/>
        <w:rPr>
          <w:rFonts w:ascii="Arial" w:cs="Arial" w:eastAsia="Arial" w:hAnsi="Arial"/>
          <w:sz w:val="18"/>
          <w:szCs w:val="18"/>
          <w:color w:val="0D0E10"/>
        </w:rPr>
      </w:pPr>
    </w:p>
    <w:p>
      <w:pPr>
        <w:ind w:left="660" w:right="380" w:hanging="328"/>
        <w:spacing w:after="0" w:line="308" w:lineRule="auto"/>
        <w:tabs>
          <w:tab w:leader="none" w:pos="615"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obtaining and reviewing a report by the independent registered public accounting firm at least annually that describes our internal control procedures, any material issues with such procedures, and any steps taken to deal with such issues when required by applicable law;</w:t>
      </w:r>
    </w:p>
    <w:p>
      <w:pPr>
        <w:spacing w:after="0" w:line="13" w:lineRule="exact"/>
        <w:rPr>
          <w:rFonts w:ascii="Arial" w:cs="Arial" w:eastAsia="Arial" w:hAnsi="Arial"/>
          <w:sz w:val="18"/>
          <w:szCs w:val="18"/>
          <w:color w:val="0D0E10"/>
        </w:rPr>
      </w:pPr>
    </w:p>
    <w:p>
      <w:pPr>
        <w:ind w:left="660" w:right="420" w:hanging="328"/>
        <w:spacing w:after="0" w:line="318" w:lineRule="auto"/>
        <w:tabs>
          <w:tab w:leader="none" w:pos="615" w:val="left"/>
        </w:tabs>
        <w:numPr>
          <w:ilvl w:val="0"/>
          <w:numId w:val="21"/>
        </w:numPr>
        <w:rPr>
          <w:rFonts w:ascii="Arial" w:cs="Arial" w:eastAsia="Arial" w:hAnsi="Arial"/>
          <w:sz w:val="18"/>
          <w:szCs w:val="18"/>
          <w:color w:val="0D0E10"/>
        </w:rPr>
      </w:pPr>
      <w:r>
        <w:rPr>
          <w:rFonts w:ascii="Arial" w:cs="Arial" w:eastAsia="Arial" w:hAnsi="Arial"/>
          <w:sz w:val="18"/>
          <w:szCs w:val="18"/>
          <w:color w:val="0D0E10"/>
        </w:rPr>
        <w:t>approving or, as required, pre-approving audit and permissible non-audit services to be performed by the independent registered public accounting firm; and</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17</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2" w:name="page23"/>
    <w:bookmarkEnd w:id="22"/>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180" w:hanging="328"/>
        <w:spacing w:after="0" w:line="334" w:lineRule="auto"/>
        <w:tabs>
          <w:tab w:leader="none" w:pos="615" w:val="left"/>
        </w:tabs>
        <w:numPr>
          <w:ilvl w:val="0"/>
          <w:numId w:val="22"/>
        </w:numPr>
        <w:rPr>
          <w:rFonts w:ascii="Arial" w:cs="Arial" w:eastAsia="Arial" w:hAnsi="Arial"/>
          <w:sz w:val="18"/>
          <w:szCs w:val="18"/>
          <w:color w:val="0D0E10"/>
        </w:rPr>
      </w:pPr>
      <w:r>
        <w:rPr>
          <w:rFonts w:ascii="Arial" w:cs="Arial" w:eastAsia="Arial" w:hAnsi="Arial"/>
          <w:sz w:val="18"/>
          <w:szCs w:val="18"/>
          <w:color w:val="0D0E10"/>
        </w:rPr>
        <w:t>reviewing major financial risk exposures, information security risk, data privacy risk, and cybersecurity risk, and reporting findings to the Board, who has final oversight responsibility over cybersecurity-related matters.</w:t>
      </w:r>
    </w:p>
    <w:p>
      <w:pPr>
        <w:spacing w:after="0" w:line="85"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0D0E10"/>
        </w:rPr>
        <w:t xml:space="preserve">Our Audit Committee operates under a written charter that satisfies the applicable rules and regulations of the SEC and the listing standards of each of the NYSE and the LTSE. A copy of the charter of our Audit Committee is available on our website at </w:t>
      </w:r>
      <w:r>
        <w:rPr>
          <w:rFonts w:ascii="Arial" w:cs="Arial" w:eastAsia="Arial" w:hAnsi="Arial"/>
          <w:sz w:val="18"/>
          <w:szCs w:val="18"/>
          <w:i w:val="1"/>
          <w:iCs w:val="1"/>
          <w:color w:val="F06A6A"/>
        </w:rPr>
        <w:t>https://investors.asana.com/governance/governance-documents</w:t>
      </w:r>
      <w:r>
        <w:rPr>
          <w:rFonts w:ascii="Arial" w:cs="Arial" w:eastAsia="Arial" w:hAnsi="Arial"/>
          <w:sz w:val="18"/>
          <w:szCs w:val="18"/>
          <w:color w:val="0D0E10"/>
        </w:rPr>
        <w:t>. During our fiscal year ended January 31, 2024, our Audit Committee held</w:t>
      </w:r>
      <w:r>
        <w:rPr>
          <w:rFonts w:ascii="Arial" w:cs="Arial" w:eastAsia="Arial" w:hAnsi="Arial"/>
          <w:sz w:val="18"/>
          <w:szCs w:val="18"/>
          <w:i w:val="1"/>
          <w:iCs w:val="1"/>
          <w:color w:val="F06A6A"/>
        </w:rPr>
        <w:t xml:space="preserve"> </w:t>
      </w:r>
      <w:r>
        <w:rPr>
          <w:rFonts w:ascii="Arial" w:cs="Arial" w:eastAsia="Arial" w:hAnsi="Arial"/>
          <w:sz w:val="18"/>
          <w:szCs w:val="18"/>
          <w:color w:val="0D0E10"/>
        </w:rPr>
        <w:t>nine meetings.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F06A6A"/>
        </w:rPr>
        <w:t>COMPENSATION COMMITTEE</w:t>
      </w:r>
    </w:p>
    <w:p>
      <w:pPr>
        <w:spacing w:after="0" w:line="95"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0D0E10"/>
        </w:rPr>
        <w:t>Our Compensation Committee consists of Krista Anderson-Copperman and Sydney Carey. The Chair of our Compensation Committee is Ms. Anderson-Copperman. Our Board of Directors has determined that all members of our Compensation Committee are independent under the listing standards of each of the NYSE and the LTSE.</w:t>
      </w:r>
    </w:p>
    <w:p>
      <w:pPr>
        <w:spacing w:after="0" w:line="103" w:lineRule="exact"/>
        <w:rPr>
          <w:sz w:val="20"/>
          <w:szCs w:val="20"/>
          <w:color w:val="auto"/>
        </w:rPr>
      </w:pPr>
    </w:p>
    <w:p>
      <w:pPr>
        <w:ind w:right="260"/>
        <w:spacing w:after="0" w:line="315" w:lineRule="auto"/>
        <w:rPr>
          <w:sz w:val="20"/>
          <w:szCs w:val="20"/>
          <w:color w:val="auto"/>
        </w:rPr>
      </w:pPr>
      <w:r>
        <w:rPr>
          <w:rFonts w:ascii="Arial" w:cs="Arial" w:eastAsia="Arial" w:hAnsi="Arial"/>
          <w:sz w:val="18"/>
          <w:szCs w:val="18"/>
          <w:color w:val="0D0E10"/>
        </w:rPr>
        <w:t>The primary purpose of our Compensation Committee is to discharge the responsibilities of our Board of Directors in overseeing our compensation program, policies, and practices, and to review and determine the compensation to be paid to our CEO and other executive officers, the non-employee members of our Board of Directors, and other senior management, as appropriate.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D0E10"/>
        </w:rPr>
        <w:t>Specific responsibilities of our Compensation Committee include:</w:t>
      </w:r>
    </w:p>
    <w:p>
      <w:pPr>
        <w:spacing w:after="0" w:line="212" w:lineRule="exact"/>
        <w:rPr>
          <w:sz w:val="20"/>
          <w:szCs w:val="20"/>
          <w:color w:val="auto"/>
        </w:rPr>
      </w:pPr>
    </w:p>
    <w:p>
      <w:pPr>
        <w:ind w:left="660" w:right="800" w:hanging="328"/>
        <w:spacing w:after="0" w:line="320" w:lineRule="auto"/>
        <w:tabs>
          <w:tab w:leader="none" w:pos="615" w:val="left"/>
        </w:tabs>
        <w:numPr>
          <w:ilvl w:val="0"/>
          <w:numId w:val="23"/>
        </w:numPr>
        <w:rPr>
          <w:rFonts w:ascii="Arial" w:cs="Arial" w:eastAsia="Arial" w:hAnsi="Arial"/>
          <w:sz w:val="18"/>
          <w:szCs w:val="18"/>
          <w:color w:val="0D0E10"/>
        </w:rPr>
      </w:pPr>
      <w:r>
        <w:rPr>
          <w:rFonts w:ascii="Arial" w:cs="Arial" w:eastAsia="Arial" w:hAnsi="Arial"/>
          <w:sz w:val="18"/>
          <w:szCs w:val="18"/>
          <w:color w:val="0D0E10"/>
        </w:rPr>
        <w:t>reviewing, approving, and determining, or recommending to our Board of Directors, the compensation of our CEO and other executive officers;</w:t>
      </w:r>
    </w:p>
    <w:p>
      <w:pPr>
        <w:spacing w:after="0" w:line="1" w:lineRule="exact"/>
        <w:rPr>
          <w:rFonts w:ascii="Arial" w:cs="Arial" w:eastAsia="Arial" w:hAnsi="Arial"/>
          <w:sz w:val="18"/>
          <w:szCs w:val="18"/>
          <w:color w:val="0D0E10"/>
        </w:rPr>
      </w:pPr>
    </w:p>
    <w:p>
      <w:pPr>
        <w:ind w:left="620" w:hanging="288"/>
        <w:spacing w:after="0"/>
        <w:tabs>
          <w:tab w:leader="none" w:pos="620" w:val="left"/>
        </w:tabs>
        <w:numPr>
          <w:ilvl w:val="0"/>
          <w:numId w:val="23"/>
        </w:numPr>
        <w:rPr>
          <w:rFonts w:ascii="Arial" w:cs="Arial" w:eastAsia="Arial" w:hAnsi="Arial"/>
          <w:sz w:val="18"/>
          <w:szCs w:val="18"/>
          <w:color w:val="0D0E10"/>
        </w:rPr>
      </w:pPr>
      <w:r>
        <w:rPr>
          <w:rFonts w:ascii="Arial" w:cs="Arial" w:eastAsia="Arial" w:hAnsi="Arial"/>
          <w:sz w:val="18"/>
          <w:szCs w:val="18"/>
          <w:color w:val="0D0E10"/>
        </w:rPr>
        <w:t>reviewing and recommending to our Board of Directors the compensation of our directors;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23"/>
        </w:numPr>
        <w:rPr>
          <w:rFonts w:ascii="Arial" w:cs="Arial" w:eastAsia="Arial" w:hAnsi="Arial"/>
          <w:sz w:val="18"/>
          <w:szCs w:val="18"/>
          <w:color w:val="0D0E10"/>
        </w:rPr>
      </w:pPr>
      <w:r>
        <w:rPr>
          <w:rFonts w:ascii="Arial" w:cs="Arial" w:eastAsia="Arial" w:hAnsi="Arial"/>
          <w:sz w:val="18"/>
          <w:szCs w:val="18"/>
          <w:color w:val="0D0E10"/>
        </w:rPr>
        <w:t>administering our equity incentive plans and other benefit programs;</w:t>
      </w:r>
    </w:p>
    <w:p>
      <w:pPr>
        <w:spacing w:after="0" w:line="103" w:lineRule="exact"/>
        <w:rPr>
          <w:rFonts w:ascii="Arial" w:cs="Arial" w:eastAsia="Arial" w:hAnsi="Arial"/>
          <w:sz w:val="18"/>
          <w:szCs w:val="18"/>
          <w:color w:val="0D0E10"/>
        </w:rPr>
      </w:pPr>
    </w:p>
    <w:p>
      <w:pPr>
        <w:ind w:left="660" w:right="480" w:hanging="328"/>
        <w:spacing w:after="0" w:line="308" w:lineRule="auto"/>
        <w:tabs>
          <w:tab w:leader="none" w:pos="615" w:val="left"/>
        </w:tabs>
        <w:numPr>
          <w:ilvl w:val="0"/>
          <w:numId w:val="23"/>
        </w:numPr>
        <w:rPr>
          <w:rFonts w:ascii="Arial" w:cs="Arial" w:eastAsia="Arial" w:hAnsi="Arial"/>
          <w:sz w:val="18"/>
          <w:szCs w:val="18"/>
          <w:color w:val="0D0E10"/>
        </w:rPr>
      </w:pPr>
      <w:r>
        <w:rPr>
          <w:rFonts w:ascii="Arial" w:cs="Arial" w:eastAsia="Arial" w:hAnsi="Arial"/>
          <w:sz w:val="18"/>
          <w:szCs w:val="18"/>
          <w:color w:val="0D0E10"/>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spacing w:after="0" w:line="13" w:lineRule="exact"/>
        <w:rPr>
          <w:rFonts w:ascii="Arial" w:cs="Arial" w:eastAsia="Arial" w:hAnsi="Arial"/>
          <w:sz w:val="18"/>
          <w:szCs w:val="18"/>
          <w:color w:val="0D0E10"/>
        </w:rPr>
      </w:pPr>
    </w:p>
    <w:p>
      <w:pPr>
        <w:ind w:left="660" w:right="1040" w:hanging="328"/>
        <w:spacing w:after="0" w:line="318" w:lineRule="auto"/>
        <w:tabs>
          <w:tab w:leader="none" w:pos="615" w:val="left"/>
        </w:tabs>
        <w:numPr>
          <w:ilvl w:val="0"/>
          <w:numId w:val="23"/>
        </w:numPr>
        <w:rPr>
          <w:rFonts w:ascii="Arial" w:cs="Arial" w:eastAsia="Arial" w:hAnsi="Arial"/>
          <w:sz w:val="18"/>
          <w:szCs w:val="18"/>
          <w:color w:val="0D0E10"/>
        </w:rPr>
      </w:pPr>
      <w:r>
        <w:rPr>
          <w:rFonts w:ascii="Arial" w:cs="Arial" w:eastAsia="Arial" w:hAnsi="Arial"/>
          <w:sz w:val="18"/>
          <w:szCs w:val="18"/>
          <w:color w:val="0D0E10"/>
        </w:rPr>
        <w:t>reviewing and establishing general policies relating to compensation and benefits of our employees, including our overall compensation philosophy.</w:t>
      </w:r>
    </w:p>
    <w:p>
      <w:pPr>
        <w:spacing w:after="0" w:line="113" w:lineRule="exact"/>
        <w:rPr>
          <w:sz w:val="20"/>
          <w:szCs w:val="20"/>
          <w:color w:val="auto"/>
        </w:rPr>
      </w:pPr>
    </w:p>
    <w:p>
      <w:pPr>
        <w:ind w:right="200"/>
        <w:spacing w:after="0" w:line="304" w:lineRule="auto"/>
        <w:rPr>
          <w:sz w:val="20"/>
          <w:szCs w:val="20"/>
          <w:color w:val="auto"/>
        </w:rPr>
      </w:pPr>
      <w:r>
        <w:rPr>
          <w:rFonts w:ascii="Arial" w:cs="Arial" w:eastAsia="Arial" w:hAnsi="Arial"/>
          <w:sz w:val="18"/>
          <w:szCs w:val="18"/>
          <w:color w:val="0D0E10"/>
        </w:rPr>
        <w:t xml:space="preserve">Our Compensation Committee operates under a written charter that satisfies the applicable rules and regulations of the SEC and the listing standards of each of the NYSE and the LTSE. A copy of the charter of our Compensation Committee is available on our website at </w:t>
      </w:r>
      <w:r>
        <w:rPr>
          <w:rFonts w:ascii="Arial" w:cs="Arial" w:eastAsia="Arial" w:hAnsi="Arial"/>
          <w:sz w:val="18"/>
          <w:szCs w:val="18"/>
          <w:i w:val="1"/>
          <w:iCs w:val="1"/>
          <w:color w:val="F06A6A"/>
        </w:rPr>
        <w:t>https://investors.asana.com/governance/governance-documents</w:t>
      </w:r>
      <w:r>
        <w:rPr>
          <w:rFonts w:ascii="Arial" w:cs="Arial" w:eastAsia="Arial" w:hAnsi="Arial"/>
          <w:sz w:val="18"/>
          <w:szCs w:val="18"/>
          <w:color w:val="0D0E10"/>
        </w:rPr>
        <w:t>. During our fiscal year ended January 31, 2024, our Compensation</w:t>
      </w:r>
      <w:r>
        <w:rPr>
          <w:rFonts w:ascii="Arial" w:cs="Arial" w:eastAsia="Arial" w:hAnsi="Arial"/>
          <w:sz w:val="18"/>
          <w:szCs w:val="18"/>
          <w:i w:val="1"/>
          <w:iCs w:val="1"/>
          <w:color w:val="F06A6A"/>
        </w:rPr>
        <w:t xml:space="preserve"> </w:t>
      </w:r>
      <w:r>
        <w:rPr>
          <w:rFonts w:ascii="Arial" w:cs="Arial" w:eastAsia="Arial" w:hAnsi="Arial"/>
          <w:sz w:val="18"/>
          <w:szCs w:val="18"/>
          <w:color w:val="0D0E10"/>
        </w:rPr>
        <w:t>Committee held four meetings.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F06A6A"/>
        </w:rPr>
        <w:t>NOMINATING AND CORPORATE GOVERNANCE COMMITTEE</w:t>
      </w:r>
    </w:p>
    <w:p>
      <w:pPr>
        <w:spacing w:after="0" w:line="108"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0D0E10"/>
        </w:rPr>
        <w:t>Our Nominating and Corporate Governance Committee consists of Matthew Cohler, Andrew Lindsay, and Lorrie Norrington. The Chair of our Nominating and Corporate Governance Committee is Mr. Lindsay. Our Board of Directors has determined that each member of the Nominating and Corporate Governance committee is independent under the listing standards of each of the NYSE and the LTSE.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D0E10"/>
        </w:rPr>
        <w:t>Specific responsibilities of our Nominating and Corporate Governance Committee include:</w:t>
      </w:r>
    </w:p>
    <w:p>
      <w:pPr>
        <w:spacing w:after="0" w:line="198" w:lineRule="exact"/>
        <w:rPr>
          <w:sz w:val="20"/>
          <w:szCs w:val="20"/>
          <w:color w:val="auto"/>
        </w:rPr>
      </w:pPr>
    </w:p>
    <w:p>
      <w:pPr>
        <w:ind w:left="660" w:right="100" w:hanging="328"/>
        <w:spacing w:after="0" w:line="328" w:lineRule="auto"/>
        <w:tabs>
          <w:tab w:leader="none" w:pos="615" w:val="left"/>
        </w:tabs>
        <w:numPr>
          <w:ilvl w:val="0"/>
          <w:numId w:val="24"/>
        </w:numPr>
        <w:rPr>
          <w:rFonts w:ascii="Arial" w:cs="Arial" w:eastAsia="Arial" w:hAnsi="Arial"/>
          <w:sz w:val="18"/>
          <w:szCs w:val="18"/>
          <w:color w:val="0D0E10"/>
        </w:rPr>
      </w:pPr>
      <w:r>
        <w:rPr>
          <w:rFonts w:ascii="Arial" w:cs="Arial" w:eastAsia="Arial" w:hAnsi="Arial"/>
          <w:sz w:val="18"/>
          <w:szCs w:val="18"/>
          <w:color w:val="0D0E10"/>
        </w:rPr>
        <w:t>identifying and evaluating candidates, including the nomination of incumbent directors for reelection and nominees recommended by stockholders, to serve on our Board of Directors;</w:t>
      </w:r>
    </w:p>
    <w:p>
      <w:pPr>
        <w:spacing w:after="0" w:line="1" w:lineRule="exact"/>
        <w:rPr>
          <w:rFonts w:ascii="Arial" w:cs="Arial" w:eastAsia="Arial" w:hAnsi="Arial"/>
          <w:sz w:val="18"/>
          <w:szCs w:val="18"/>
          <w:color w:val="0D0E10"/>
        </w:rPr>
      </w:pPr>
    </w:p>
    <w:p>
      <w:pPr>
        <w:ind w:left="660" w:right="640" w:hanging="328"/>
        <w:spacing w:after="0" w:line="318" w:lineRule="auto"/>
        <w:tabs>
          <w:tab w:leader="none" w:pos="615" w:val="left"/>
        </w:tabs>
        <w:numPr>
          <w:ilvl w:val="0"/>
          <w:numId w:val="24"/>
        </w:numPr>
        <w:rPr>
          <w:rFonts w:ascii="Arial" w:cs="Arial" w:eastAsia="Arial" w:hAnsi="Arial"/>
          <w:sz w:val="18"/>
          <w:szCs w:val="18"/>
          <w:color w:val="0D0E10"/>
        </w:rPr>
      </w:pPr>
      <w:r>
        <w:rPr>
          <w:rFonts w:ascii="Arial" w:cs="Arial" w:eastAsia="Arial" w:hAnsi="Arial"/>
          <w:sz w:val="18"/>
          <w:szCs w:val="18"/>
          <w:color w:val="0D0E10"/>
        </w:rPr>
        <w:t>considering and making recommendations to our Board of Directors regarding the composition and leadership of our Board of Directors and its committees;</w:t>
      </w: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18</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3" w:name="page24"/>
    <w:bookmarkEnd w:id="23"/>
    <w:p>
      <w:pPr>
        <w:ind w:left="64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540" w:hanging="328"/>
        <w:spacing w:after="0" w:line="320" w:lineRule="auto"/>
        <w:tabs>
          <w:tab w:leader="none" w:pos="615" w:val="left"/>
        </w:tabs>
        <w:numPr>
          <w:ilvl w:val="0"/>
          <w:numId w:val="25"/>
        </w:numPr>
        <w:rPr>
          <w:rFonts w:ascii="Arial" w:cs="Arial" w:eastAsia="Arial" w:hAnsi="Arial"/>
          <w:sz w:val="18"/>
          <w:szCs w:val="18"/>
          <w:color w:val="0D0E10"/>
        </w:rPr>
      </w:pPr>
      <w:r>
        <w:rPr>
          <w:rFonts w:ascii="Arial" w:cs="Arial" w:eastAsia="Arial" w:hAnsi="Arial"/>
          <w:sz w:val="18"/>
          <w:szCs w:val="18"/>
          <w:color w:val="0D0E10"/>
        </w:rPr>
        <w:t>reviewing, developing, and making recommendations to our Board of Directors regarding corporate governance guidelines and matters;</w:t>
      </w:r>
    </w:p>
    <w:p>
      <w:pPr>
        <w:spacing w:after="0" w:line="1" w:lineRule="exact"/>
        <w:rPr>
          <w:rFonts w:ascii="Arial" w:cs="Arial" w:eastAsia="Arial" w:hAnsi="Arial"/>
          <w:sz w:val="18"/>
          <w:szCs w:val="18"/>
          <w:color w:val="0D0E10"/>
        </w:rPr>
      </w:pPr>
    </w:p>
    <w:p>
      <w:pPr>
        <w:ind w:left="620" w:hanging="288"/>
        <w:spacing w:after="0"/>
        <w:tabs>
          <w:tab w:leader="none" w:pos="620" w:val="left"/>
        </w:tabs>
        <w:numPr>
          <w:ilvl w:val="0"/>
          <w:numId w:val="25"/>
        </w:numPr>
        <w:rPr>
          <w:rFonts w:ascii="Arial" w:cs="Arial" w:eastAsia="Arial" w:hAnsi="Arial"/>
          <w:sz w:val="18"/>
          <w:szCs w:val="18"/>
          <w:color w:val="0D0E10"/>
        </w:rPr>
      </w:pPr>
      <w:r>
        <w:rPr>
          <w:rFonts w:ascii="Arial" w:cs="Arial" w:eastAsia="Arial" w:hAnsi="Arial"/>
          <w:sz w:val="18"/>
          <w:szCs w:val="18"/>
          <w:color w:val="0D0E10"/>
        </w:rPr>
        <w:t>overseeing periodic evaluations of the Board of Directors’ performance, including committees of the Board of Directors;</w:t>
      </w:r>
    </w:p>
    <w:p>
      <w:pPr>
        <w:spacing w:after="0" w:line="103" w:lineRule="exact"/>
        <w:rPr>
          <w:rFonts w:ascii="Arial" w:cs="Arial" w:eastAsia="Arial" w:hAnsi="Arial"/>
          <w:sz w:val="18"/>
          <w:szCs w:val="18"/>
          <w:color w:val="0D0E10"/>
        </w:rPr>
      </w:pPr>
    </w:p>
    <w:p>
      <w:pPr>
        <w:ind w:left="660" w:right="600" w:hanging="328"/>
        <w:spacing w:after="0" w:line="320" w:lineRule="auto"/>
        <w:tabs>
          <w:tab w:leader="none" w:pos="615" w:val="left"/>
        </w:tabs>
        <w:numPr>
          <w:ilvl w:val="0"/>
          <w:numId w:val="25"/>
        </w:numPr>
        <w:rPr>
          <w:rFonts w:ascii="Arial" w:cs="Arial" w:eastAsia="Arial" w:hAnsi="Arial"/>
          <w:sz w:val="18"/>
          <w:szCs w:val="18"/>
          <w:color w:val="0D0E10"/>
        </w:rPr>
      </w:pPr>
      <w:r>
        <w:rPr>
          <w:rFonts w:ascii="Arial" w:cs="Arial" w:eastAsia="Arial" w:hAnsi="Arial"/>
          <w:sz w:val="18"/>
          <w:szCs w:val="18"/>
          <w:color w:val="0D0E10"/>
        </w:rPr>
        <w:t>overseeing environmental, corporate social responsibility, corporate governance, sustainability, and other public policy matters relevant to us, our business, and our key stakeholders, or ESG Matters; and</w:t>
      </w:r>
    </w:p>
    <w:p>
      <w:pPr>
        <w:spacing w:after="0" w:line="1" w:lineRule="exact"/>
        <w:rPr>
          <w:rFonts w:ascii="Arial" w:cs="Arial" w:eastAsia="Arial" w:hAnsi="Arial"/>
          <w:sz w:val="18"/>
          <w:szCs w:val="18"/>
          <w:color w:val="0D0E10"/>
        </w:rPr>
      </w:pPr>
    </w:p>
    <w:p>
      <w:pPr>
        <w:ind w:left="660" w:right="120" w:hanging="328"/>
        <w:spacing w:after="0" w:line="368" w:lineRule="auto"/>
        <w:tabs>
          <w:tab w:leader="none" w:pos="615" w:val="left"/>
        </w:tabs>
        <w:numPr>
          <w:ilvl w:val="0"/>
          <w:numId w:val="25"/>
        </w:numPr>
        <w:rPr>
          <w:rFonts w:ascii="Arial" w:cs="Arial" w:eastAsia="Arial" w:hAnsi="Arial"/>
          <w:sz w:val="17"/>
          <w:szCs w:val="17"/>
          <w:color w:val="0D0E10"/>
        </w:rPr>
      </w:pPr>
      <w:r>
        <w:rPr>
          <w:rFonts w:ascii="Arial" w:cs="Arial" w:eastAsia="Arial" w:hAnsi="Arial"/>
          <w:sz w:val="17"/>
          <w:szCs w:val="17"/>
          <w:color w:val="0D0E10"/>
        </w:rPr>
        <w:t>reviewing with management and, where appropriate, liaising with the appropriate committee(s) of the Board to make recommendations to management and the Board regarding our goals, strategy, policies, and practices with respect to ESG Matters.</w:t>
      </w:r>
    </w:p>
    <w:p>
      <w:pPr>
        <w:spacing w:after="0" w:line="76" w:lineRule="exact"/>
        <w:rPr>
          <w:sz w:val="20"/>
          <w:szCs w:val="20"/>
          <w:color w:val="auto"/>
        </w:rPr>
      </w:pPr>
    </w:p>
    <w:p>
      <w:pPr>
        <w:ind w:right="140"/>
        <w:spacing w:after="0" w:line="304" w:lineRule="auto"/>
        <w:rPr>
          <w:sz w:val="20"/>
          <w:szCs w:val="20"/>
          <w:color w:val="auto"/>
        </w:rPr>
      </w:pPr>
      <w:r>
        <w:rPr>
          <w:rFonts w:ascii="Arial" w:cs="Arial" w:eastAsia="Arial" w:hAnsi="Arial"/>
          <w:sz w:val="18"/>
          <w:szCs w:val="18"/>
          <w:color w:val="0D0E10"/>
        </w:rPr>
        <w:t xml:space="preserve">Our Nominating and Corporate Governance Committee operates under a written charter that satisfies the applicable listing standards of the NYSE. A copy of the charter of our Nominating and Corporate Governance Committee is available on our website at </w:t>
      </w:r>
      <w:r>
        <w:rPr>
          <w:rFonts w:ascii="Arial" w:cs="Arial" w:eastAsia="Arial" w:hAnsi="Arial"/>
          <w:sz w:val="18"/>
          <w:szCs w:val="18"/>
          <w:i w:val="1"/>
          <w:iCs w:val="1"/>
          <w:color w:val="F06A6A"/>
        </w:rPr>
        <w:t>https://investors.asana.com/governance/governance-documents</w:t>
      </w:r>
      <w:r>
        <w:rPr>
          <w:rFonts w:ascii="Arial" w:cs="Arial" w:eastAsia="Arial" w:hAnsi="Arial"/>
          <w:sz w:val="18"/>
          <w:szCs w:val="18"/>
          <w:color w:val="0D0E10"/>
        </w:rPr>
        <w:t>. During our fiscal year ended January 31, 2024, our Nominating and</w:t>
      </w:r>
      <w:r>
        <w:rPr>
          <w:rFonts w:ascii="Arial" w:cs="Arial" w:eastAsia="Arial" w:hAnsi="Arial"/>
          <w:sz w:val="18"/>
          <w:szCs w:val="18"/>
          <w:i w:val="1"/>
          <w:iCs w:val="1"/>
          <w:color w:val="F06A6A"/>
        </w:rPr>
        <w:t xml:space="preserve"> </w:t>
      </w:r>
      <w:r>
        <w:rPr>
          <w:rFonts w:ascii="Arial" w:cs="Arial" w:eastAsia="Arial" w:hAnsi="Arial"/>
          <w:sz w:val="18"/>
          <w:szCs w:val="18"/>
          <w:color w:val="0D0E10"/>
        </w:rPr>
        <w:t>Corporate Governance Committee held four meetings.</w:t>
      </w:r>
    </w:p>
    <w:p>
      <w:pPr>
        <w:spacing w:after="0" w:line="89" w:lineRule="exact"/>
        <w:rPr>
          <w:sz w:val="20"/>
          <w:szCs w:val="20"/>
          <w:color w:val="auto"/>
        </w:rPr>
      </w:pPr>
    </w:p>
    <w:p>
      <w:pPr>
        <w:spacing w:after="0"/>
        <w:rPr>
          <w:sz w:val="20"/>
          <w:szCs w:val="20"/>
          <w:color w:val="auto"/>
        </w:rPr>
      </w:pPr>
      <w:r>
        <w:rPr>
          <w:rFonts w:ascii="Arial" w:cs="Arial" w:eastAsia="Arial" w:hAnsi="Arial"/>
          <w:sz w:val="32"/>
          <w:szCs w:val="32"/>
          <w:color w:val="0D0E10"/>
        </w:rPr>
        <w:t>Compensation Committee Interlocks and Insider Participation</w:t>
      </w:r>
    </w:p>
    <w:p>
      <w:pPr>
        <w:spacing w:after="0" w:line="195" w:lineRule="exact"/>
        <w:rPr>
          <w:sz w:val="20"/>
          <w:szCs w:val="20"/>
          <w:color w:val="auto"/>
        </w:rPr>
      </w:pPr>
    </w:p>
    <w:p>
      <w:pPr>
        <w:spacing w:after="0" w:line="304" w:lineRule="auto"/>
        <w:rPr>
          <w:sz w:val="20"/>
          <w:szCs w:val="20"/>
          <w:color w:val="auto"/>
        </w:rPr>
      </w:pPr>
      <w:r>
        <w:rPr>
          <w:rFonts w:ascii="Arial" w:cs="Arial" w:eastAsia="Arial" w:hAnsi="Arial"/>
          <w:sz w:val="18"/>
          <w:szCs w:val="18"/>
          <w:color w:val="0D0E10"/>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89" w:lineRule="exact"/>
        <w:rPr>
          <w:sz w:val="20"/>
          <w:szCs w:val="20"/>
          <w:color w:val="auto"/>
        </w:rPr>
      </w:pPr>
    </w:p>
    <w:p>
      <w:pPr>
        <w:spacing w:after="0"/>
        <w:rPr>
          <w:sz w:val="20"/>
          <w:szCs w:val="20"/>
          <w:color w:val="auto"/>
        </w:rPr>
      </w:pPr>
      <w:r>
        <w:rPr>
          <w:rFonts w:ascii="Arial" w:cs="Arial" w:eastAsia="Arial" w:hAnsi="Arial"/>
          <w:sz w:val="32"/>
          <w:szCs w:val="32"/>
          <w:color w:val="0D0E10"/>
        </w:rPr>
        <w:t>Considerations in Evaluating Director Nominees</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color w:val="0D0E10"/>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independence, area of expertise, experience, length of service, potential conflicts of interest, and other commitments. The Nominating and Corporate Governance Committee requires the following minimum qualifications to be satisfied by any nominee for a position on the Board of Directors: high personal and professional ethics and integrity, proven achievement and competence in the nominee’s field, the ability to exercise sound business judgment, having skills that are complementary to those of the existing Board, the ability to assist and support management and make significant contributions to our company’s success, and an understanding of the fiduciary responsibilities that are required of a member of the Board and the commitment of time and energy necessary to diligently carry out those responsibilities.</w:t>
      </w:r>
    </w:p>
    <w:p>
      <w:pPr>
        <w:spacing w:after="0" w:line="121" w:lineRule="exact"/>
        <w:rPr>
          <w:sz w:val="20"/>
          <w:szCs w:val="20"/>
          <w:color w:val="auto"/>
        </w:rPr>
      </w:pPr>
    </w:p>
    <w:p>
      <w:pPr>
        <w:ind w:right="160"/>
        <w:spacing w:after="0" w:line="298" w:lineRule="auto"/>
        <w:rPr>
          <w:sz w:val="20"/>
          <w:szCs w:val="20"/>
          <w:color w:val="auto"/>
        </w:rPr>
      </w:pPr>
      <w:r>
        <w:rPr>
          <w:rFonts w:ascii="Arial" w:cs="Arial" w:eastAsia="Arial" w:hAnsi="Arial"/>
          <w:sz w:val="18"/>
          <w:szCs w:val="18"/>
          <w:color w:val="0D0E10"/>
        </w:rPr>
        <w:t>Although our Board of Directors does not maintain a specific policy with respect to board diversity, our Board of Directors believes that our Board of Directors should be a diverse body, and our Nominating and Corporate Governance Committee considers a broad range of backgrounds and experiences when evaluating director nominees. In making determinations regarding nominations of directors, our Nominating and Corporate Governance Committee may take into account the benefits of diverse backgrounds and viewpoints.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19</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4" w:name="page25"/>
    <w:bookmarkEnd w:id="24"/>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Stockholder Recommendations for Nominations to the Board of Directors</w:t>
      </w:r>
    </w:p>
    <w:p>
      <w:pPr>
        <w:spacing w:after="0" w:line="195"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color w:val="0D0E10"/>
        </w:rPr>
        <w:t>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restated certificate of incorporation and bylaws and applicable laws, rules, and regulations, including those promulgated by the SEC. Our Nominating and Corporate Governance Committee will evaluate such recommendations in accordance with its charter, our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and General Counsel or our Legal Department in writing at the address set forth below.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8"/>
          <w:szCs w:val="18"/>
          <w:color w:val="0D0E10"/>
        </w:rPr>
        <w:t>Under our bylaws, stockholders may also nominate persons for our Board of Directors. Any nomination must comply with the requirements set forth in our bylaws and should be sent in writing to our Corporate Secretary and General Counsel or our Legal Department at Asana, Inc., 633 Folsom Street, Suite 100, San Francisco, California 94107. To be timely for our 2025 annual meeting of stockholders, our Corporate Secretary and General Counsel or Legal Department must receive the nomination no earlier than February 17, 2025 and no later than March 19, 2025.</w:t>
      </w:r>
    </w:p>
    <w:p>
      <w:pPr>
        <w:spacing w:after="0" w:line="106" w:lineRule="exact"/>
        <w:rPr>
          <w:sz w:val="20"/>
          <w:szCs w:val="20"/>
          <w:color w:val="auto"/>
        </w:rPr>
      </w:pPr>
    </w:p>
    <w:p>
      <w:pPr>
        <w:spacing w:after="0"/>
        <w:rPr>
          <w:sz w:val="20"/>
          <w:szCs w:val="20"/>
          <w:color w:val="auto"/>
        </w:rPr>
      </w:pPr>
      <w:r>
        <w:rPr>
          <w:rFonts w:ascii="Arial" w:cs="Arial" w:eastAsia="Arial" w:hAnsi="Arial"/>
          <w:sz w:val="32"/>
          <w:szCs w:val="32"/>
          <w:color w:val="0D0E10"/>
        </w:rPr>
        <w:t>Communications with the Board of Directors</w:t>
      </w:r>
    </w:p>
    <w:p>
      <w:pPr>
        <w:spacing w:after="0" w:line="181" w:lineRule="exact"/>
        <w:rPr>
          <w:sz w:val="20"/>
          <w:szCs w:val="20"/>
          <w:color w:val="auto"/>
        </w:rPr>
      </w:pPr>
    </w:p>
    <w:p>
      <w:pPr>
        <w:ind w:right="300"/>
        <w:spacing w:after="0" w:line="298" w:lineRule="auto"/>
        <w:rPr>
          <w:sz w:val="20"/>
          <w:szCs w:val="20"/>
          <w:color w:val="auto"/>
        </w:rPr>
      </w:pPr>
      <w:r>
        <w:rPr>
          <w:rFonts w:ascii="Arial" w:cs="Arial" w:eastAsia="Arial" w:hAnsi="Arial"/>
          <w:sz w:val="18"/>
          <w:szCs w:val="18"/>
          <w:color w:val="0D0E10"/>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Corporate Secretary and General Counsel at Asana, Inc., 633 Folsom Street, Suite 100, San Francisco, California 94107. Our Corporate Secretary and General Counsel or Legal Department, in consultation with appropriate members of our Board of Directors as necessary, will review all incoming communications and, if appropriate, such communications will be forwarded to the appropriate member or members of our Board of Directors, or if none is specified, to the Chair of our Board of Directors or the Lead Independent Director if the Chair of the Board is not independent.</w:t>
      </w:r>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0D0E10"/>
        </w:rPr>
        <w:t>Corporate Governance Guidelines and Code of Conduct and Ethics</w:t>
      </w:r>
    </w:p>
    <w:p>
      <w:pPr>
        <w:spacing w:after="0" w:line="195" w:lineRule="exact"/>
        <w:rPr>
          <w:sz w:val="20"/>
          <w:szCs w:val="20"/>
          <w:color w:val="auto"/>
        </w:rPr>
      </w:pPr>
    </w:p>
    <w:p>
      <w:pPr>
        <w:ind w:right="140"/>
        <w:spacing w:after="0" w:line="295" w:lineRule="auto"/>
        <w:rPr>
          <w:sz w:val="20"/>
          <w:szCs w:val="20"/>
          <w:color w:val="auto"/>
        </w:rPr>
      </w:pPr>
      <w:r>
        <w:rPr>
          <w:rFonts w:ascii="Arial" w:cs="Arial" w:eastAsia="Arial" w:hAnsi="Arial"/>
          <w:sz w:val="18"/>
          <w:szCs w:val="18"/>
          <w:color w:val="0D0E10"/>
        </w:rPr>
        <w:t xml:space="preserve">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Conduct and Ethics that applies to all of our employees, officers, and directors, including our CEO, Chief Financial Officer, and other executive and senior financial officers. The full text of our Corporate Governance Guidelines and our Code of Conduct and Ethics is posted on our Investor Relations website at </w:t>
      </w:r>
      <w:r>
        <w:rPr>
          <w:rFonts w:ascii="Arial" w:cs="Arial" w:eastAsia="Arial" w:hAnsi="Arial"/>
          <w:sz w:val="18"/>
          <w:szCs w:val="18"/>
          <w:i w:val="1"/>
          <w:iCs w:val="1"/>
          <w:color w:val="F06A6A"/>
        </w:rPr>
        <w:t>https://investors.asana.com/governance/governance-documents</w:t>
      </w:r>
      <w:r>
        <w:rPr>
          <w:rFonts w:ascii="Arial" w:cs="Arial" w:eastAsia="Arial" w:hAnsi="Arial"/>
          <w:sz w:val="18"/>
          <w:szCs w:val="18"/>
          <w:color w:val="0D0E10"/>
        </w:rPr>
        <w:t>. We will post any amendments to our Corporate Governance Guidelines and/or Code of Conduct and Ethics or waivers of our Code of Conduct and Ethics for directors and executive officers on the same website.</w:t>
      </w: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20</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5" w:name="page26"/>
    <w:bookmarkEnd w:id="25"/>
    <w:p>
      <w:pPr>
        <w:ind w:left="64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Risk Management and Oversight of Risk Management</w:t>
      </w:r>
    </w:p>
    <w:p>
      <w:pPr>
        <w:spacing w:after="0" w:line="195" w:lineRule="exact"/>
        <w:rPr>
          <w:sz w:val="20"/>
          <w:szCs w:val="20"/>
          <w:color w:val="auto"/>
        </w:rPr>
      </w:pPr>
    </w:p>
    <w:p>
      <w:pPr>
        <w:ind w:right="120"/>
        <w:spacing w:after="0" w:line="319" w:lineRule="auto"/>
        <w:rPr>
          <w:sz w:val="20"/>
          <w:szCs w:val="20"/>
          <w:color w:val="auto"/>
        </w:rPr>
      </w:pPr>
      <w:r>
        <w:rPr>
          <w:rFonts w:ascii="Arial" w:cs="Arial" w:eastAsia="Arial" w:hAnsi="Arial"/>
          <w:sz w:val="17"/>
          <w:szCs w:val="17"/>
          <w:color w:val="0D0E10"/>
        </w:rPr>
        <w:t>Risk is inherent with every business, and we face a number of risks, including strategic, financial, business and operational, cybersecurity,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18" w:lineRule="exact"/>
        <w:rPr>
          <w:sz w:val="20"/>
          <w:szCs w:val="20"/>
          <w:color w:val="auto"/>
        </w:rPr>
      </w:pPr>
    </w:p>
    <w:p>
      <w:pPr>
        <w:ind w:right="200"/>
        <w:spacing w:after="0" w:line="304" w:lineRule="auto"/>
        <w:rPr>
          <w:sz w:val="20"/>
          <w:szCs w:val="20"/>
          <w:color w:val="auto"/>
        </w:rPr>
      </w:pPr>
      <w:r>
        <w:rPr>
          <w:rFonts w:ascii="Arial" w:cs="Arial" w:eastAsia="Arial" w:hAnsi="Arial"/>
          <w:sz w:val="18"/>
          <w:szCs w:val="18"/>
          <w:color w:val="0D0E10"/>
        </w:rPr>
        <w:t>Our Board of Directors believes that open communication between management and our Board of Directors is essential for effective risk management and oversight. Our Board of Directors meets with our CEO and other members of our senior management team at quarterly meetings of our Board of Directors and at such other times as they deem appropriate, where, among other topics, they discuss risks facing the Company and risk management strategy.</w:t>
      </w:r>
    </w:p>
    <w:p>
      <w:pPr>
        <w:spacing w:after="0" w:line="126"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0D0E10"/>
        </w:rPr>
        <w:t>While our Board of Directors is ultimately responsible for risk oversight, our Board committees assist our Board of Directors in fulfilling certain risk oversight responsibilities. Our Audit Committee assists our Board of Directors in fulfilling its oversight responsibilities with respect to risk management in the areas of internal control over financial reporting and disclosure controls and procedures as well as financial, accounting, investment and tax risk, including anti-fraud measures, and cybersecurity and information technology risk. Our Audit Committee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risks associated with internal control over financial reporting and liquidity risks. Our Nominating and Corporate Governance Committee assists our Board of Directors in fulfilling its risk oversight responsibilities with respect to the management of risks associated with board organization, membership and structure, and corporate governance. Our Compensation Committee assesses risks created by the incentives inherent in our compensation policies.</w:t>
      </w:r>
    </w:p>
    <w:p>
      <w:pPr>
        <w:spacing w:after="0" w:line="140" w:lineRule="exact"/>
        <w:rPr>
          <w:sz w:val="20"/>
          <w:szCs w:val="20"/>
          <w:color w:val="auto"/>
        </w:rPr>
      </w:pPr>
    </w:p>
    <w:p>
      <w:pPr>
        <w:jc w:val="both"/>
        <w:ind w:right="200"/>
        <w:spacing w:after="0" w:line="333" w:lineRule="auto"/>
        <w:rPr>
          <w:sz w:val="20"/>
          <w:szCs w:val="20"/>
          <w:color w:val="auto"/>
        </w:rPr>
      </w:pPr>
      <w:r>
        <w:rPr>
          <w:rFonts w:ascii="Arial" w:cs="Arial" w:eastAsia="Arial" w:hAnsi="Arial"/>
          <w:sz w:val="17"/>
          <w:szCs w:val="17"/>
          <w:color w:val="0D0E10"/>
        </w:rPr>
        <w:t>In connection with its reviews of the operations of our business, our Audit Committee and our Board of Directors oversee and evaluate the primary risks associated with our business including, for example, strategic planning and cybersecurity. Our Board of Directors appreciates the evolving nature of our business and industry and is actively involved with monitoring new threats and risks as they emerge.</w:t>
      </w:r>
    </w:p>
    <w:p>
      <w:pPr>
        <w:spacing w:after="0" w:line="104"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0D0E10"/>
        </w:rPr>
        <w:t>At periodic meetings of our Board of Directors and its committees, management reports to and seeks guidance from our Board and its committees with respect to the most significant risks that could affect our business, such as legal risks, cybersecurity matters, risks related to ESG Matters, information security and privacy risks, and financial, tax, and compliance related risks. In addition, among other matters, management provides our Audit Committee periodic reports on our compliance programs and investment policy and practices.</w:t>
      </w:r>
    </w:p>
    <w:p>
      <w:pPr>
        <w:spacing w:after="0" w:line="89" w:lineRule="exact"/>
        <w:rPr>
          <w:sz w:val="20"/>
          <w:szCs w:val="20"/>
          <w:color w:val="auto"/>
        </w:rPr>
      </w:pPr>
    </w:p>
    <w:p>
      <w:pPr>
        <w:spacing w:after="0"/>
        <w:rPr>
          <w:sz w:val="20"/>
          <w:szCs w:val="20"/>
          <w:color w:val="auto"/>
        </w:rPr>
      </w:pPr>
      <w:r>
        <w:rPr>
          <w:rFonts w:ascii="Arial" w:cs="Arial" w:eastAsia="Arial" w:hAnsi="Arial"/>
          <w:sz w:val="32"/>
          <w:szCs w:val="32"/>
          <w:color w:val="0D0E10"/>
        </w:rPr>
        <w:t>Prohibition on Hedging, Short Sales, and Pledging</w:t>
      </w:r>
    </w:p>
    <w:p>
      <w:pPr>
        <w:spacing w:after="0" w:line="195"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0D0E10"/>
        </w:rPr>
        <w:t>Our Board of Directors has adopted an insider trading policy which applies to all of our directors, officers, employees, and agents (such as consultants and contractors). The policy prohibits hedging or similar transactions designed to decrease the risks associated with holding our Class A common stock. In addition, our insider trading policy prohibits trading in derivative securities related to our Class A common stock, which include publicly traded call and put options, engaging in short selling of our Class A common stock, holding our Class A common stock in a margin account, and pledging our shares as collateral for a loan.</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21</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6" w:name="page27"/>
    <w:bookmarkEnd w:id="26"/>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Non-Employee Director Compensation</w:t>
      </w:r>
    </w:p>
    <w:p>
      <w:pPr>
        <w:spacing w:after="0" w:line="195" w:lineRule="exact"/>
        <w:rPr>
          <w:sz w:val="20"/>
          <w:szCs w:val="20"/>
          <w:color w:val="auto"/>
        </w:rPr>
      </w:pPr>
    </w:p>
    <w:p>
      <w:pPr>
        <w:ind w:right="400"/>
        <w:spacing w:after="0" w:line="308" w:lineRule="auto"/>
        <w:rPr>
          <w:sz w:val="20"/>
          <w:szCs w:val="20"/>
          <w:color w:val="auto"/>
        </w:rPr>
      </w:pPr>
      <w:r>
        <w:rPr>
          <w:rFonts w:ascii="Arial" w:cs="Arial" w:eastAsia="Arial" w:hAnsi="Arial"/>
          <w:sz w:val="18"/>
          <w:szCs w:val="18"/>
          <w:color w:val="0D0E10"/>
        </w:rPr>
        <w:t>Our Board of Directors adopted a Non-Employee Director Compensation Policy effective September 30, 2020, or the Effective Date, and most recently amended on May 24, 2023, which provides for the following compensation to directors who are not also serving as an employee or consultant to us: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0D0E10"/>
        </w:rPr>
        <w:t>Annual Cash Compensation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60" w:type="dxa"/>
            <w:vAlign w:val="bottom"/>
            <w:shd w:val="clear" w:color="auto" w:fill="EEEBEA"/>
          </w:tcPr>
          <w:p>
            <w:pPr>
              <w:spacing w:after="0"/>
              <w:rPr>
                <w:sz w:val="18"/>
                <w:szCs w:val="18"/>
                <w:color w:val="auto"/>
              </w:rPr>
            </w:pPr>
          </w:p>
        </w:tc>
        <w:tc>
          <w:tcPr>
            <w:tcW w:w="2280" w:type="dxa"/>
            <w:vAlign w:val="bottom"/>
            <w:shd w:val="clear" w:color="auto" w:fill="EEEBEA"/>
          </w:tcPr>
          <w:p>
            <w:pPr>
              <w:ind w:left="240"/>
              <w:spacing w:after="0"/>
              <w:rPr>
                <w:sz w:val="20"/>
                <w:szCs w:val="20"/>
                <w:color w:val="auto"/>
              </w:rPr>
            </w:pPr>
            <w:r>
              <w:rPr>
                <w:rFonts w:ascii="Arial" w:cs="Arial" w:eastAsia="Arial" w:hAnsi="Arial"/>
                <w:sz w:val="16"/>
                <w:szCs w:val="16"/>
                <w:b w:val="1"/>
                <w:bCs w:val="1"/>
                <w:color w:val="F06A6A"/>
              </w:rPr>
              <w:t>Annual Cash Retainer</w:t>
            </w:r>
          </w:p>
        </w:tc>
      </w:tr>
      <w:tr>
        <w:trPr>
          <w:trHeight w:val="223"/>
        </w:trPr>
        <w:tc>
          <w:tcPr>
            <w:tcW w:w="8960" w:type="dxa"/>
            <w:vAlign w:val="bottom"/>
            <w:shd w:val="clear" w:color="auto" w:fill="EEEBEA"/>
          </w:tcPr>
          <w:p>
            <w:pPr>
              <w:spacing w:after="0"/>
              <w:rPr>
                <w:sz w:val="19"/>
                <w:szCs w:val="19"/>
                <w:color w:val="auto"/>
              </w:rPr>
            </w:pPr>
          </w:p>
        </w:tc>
        <w:tc>
          <w:tcPr>
            <w:tcW w:w="2280" w:type="dxa"/>
            <w:vAlign w:val="bottom"/>
            <w:shd w:val="clear" w:color="auto" w:fill="EEEBEA"/>
          </w:tcPr>
          <w:p>
            <w:pPr>
              <w:jc w:val="center"/>
              <w:ind w:right="39"/>
              <w:spacing w:after="0"/>
              <w:rPr>
                <w:sz w:val="20"/>
                <w:szCs w:val="20"/>
                <w:color w:val="auto"/>
              </w:rPr>
            </w:pPr>
            <w:r>
              <w:rPr>
                <w:rFonts w:ascii="Arial" w:cs="Arial" w:eastAsia="Arial" w:hAnsi="Arial"/>
                <w:sz w:val="16"/>
                <w:szCs w:val="16"/>
                <w:b w:val="1"/>
                <w:bCs w:val="1"/>
                <w:color w:val="F06A6A"/>
              </w:rPr>
              <w:t>($)</w:t>
            </w:r>
          </w:p>
        </w:tc>
      </w:tr>
      <w:tr>
        <w:trPr>
          <w:trHeight w:val="129"/>
        </w:trPr>
        <w:tc>
          <w:tcPr>
            <w:tcW w:w="8960" w:type="dxa"/>
            <w:vAlign w:val="bottom"/>
            <w:tcBorders>
              <w:bottom w:val="single" w:sz="8" w:color="A5A4A3"/>
            </w:tcBorders>
            <w:shd w:val="clear" w:color="auto" w:fill="EEEBEA"/>
          </w:tcPr>
          <w:p>
            <w:pPr>
              <w:spacing w:after="0"/>
              <w:rPr>
                <w:sz w:val="11"/>
                <w:szCs w:val="11"/>
                <w:color w:val="auto"/>
              </w:rPr>
            </w:pPr>
          </w:p>
        </w:tc>
        <w:tc>
          <w:tcPr>
            <w:tcW w:w="2280" w:type="dxa"/>
            <w:vAlign w:val="bottom"/>
            <w:tcBorders>
              <w:bottom w:val="single" w:sz="8" w:color="A5A4A3"/>
            </w:tcBorders>
            <w:shd w:val="clear" w:color="auto" w:fill="EEEBEA"/>
          </w:tcPr>
          <w:p>
            <w:pPr>
              <w:spacing w:after="0"/>
              <w:rPr>
                <w:sz w:val="11"/>
                <w:szCs w:val="11"/>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Annual retainer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30,000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Additional retainer for independent chair or, if chair is not independent, lead independent director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15,000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Additional retainer for Audit Committee chair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20,000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Additional retainer for Audit Committee non-chair member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10,000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Additional retainer for Compensation Committee chair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12,000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Additional retainer for Compensation Committee non-chair member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6,000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Additional retainer for Nominating and Corporate Governance Committee chair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7,500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r>
        <w:trPr>
          <w:trHeight w:val="221"/>
        </w:trPr>
        <w:tc>
          <w:tcPr>
            <w:tcW w:w="8960" w:type="dxa"/>
            <w:vAlign w:val="bottom"/>
          </w:tcPr>
          <w:p>
            <w:pPr>
              <w:ind w:left="100"/>
              <w:spacing w:after="0"/>
              <w:rPr>
                <w:sz w:val="20"/>
                <w:szCs w:val="20"/>
                <w:color w:val="auto"/>
              </w:rPr>
            </w:pPr>
            <w:r>
              <w:rPr>
                <w:rFonts w:ascii="Arial" w:cs="Arial" w:eastAsia="Arial" w:hAnsi="Arial"/>
                <w:sz w:val="16"/>
                <w:szCs w:val="16"/>
                <w:color w:val="0D0E10"/>
              </w:rPr>
              <w:t>Additional retainer for Nominating and Corporate Governance Committee non-chair member</w:t>
            </w:r>
          </w:p>
        </w:tc>
        <w:tc>
          <w:tcPr>
            <w:tcW w:w="2280" w:type="dxa"/>
            <w:vAlign w:val="bottom"/>
          </w:tcPr>
          <w:p>
            <w:pPr>
              <w:jc w:val="center"/>
              <w:ind w:right="59"/>
              <w:spacing w:after="0"/>
              <w:rPr>
                <w:sz w:val="20"/>
                <w:szCs w:val="20"/>
                <w:color w:val="auto"/>
              </w:rPr>
            </w:pPr>
            <w:r>
              <w:rPr>
                <w:rFonts w:ascii="Arial" w:cs="Arial" w:eastAsia="Arial" w:hAnsi="Arial"/>
                <w:sz w:val="16"/>
                <w:szCs w:val="16"/>
                <w:color w:val="0D0E10"/>
              </w:rPr>
              <w:t>3,750</w:t>
            </w:r>
          </w:p>
        </w:tc>
      </w:tr>
      <w:tr>
        <w:trPr>
          <w:trHeight w:val="29"/>
        </w:trPr>
        <w:tc>
          <w:tcPr>
            <w:tcW w:w="896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0D0E10"/>
        </w:rPr>
        <w:t>Equity Compensation</w:t>
      </w:r>
    </w:p>
    <w:p>
      <w:pPr>
        <w:spacing w:after="0" w:line="133"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In addition to cash compensation, each non-employee director is eligible to receive restricted stock unit awards granted under our 2020 Equity Incentive Plan, which provides, among other things, that the aggregate value of all compensation granted or paid, as applicable, to any individual for service as a non-employee director with respect to any calendar year, including awards granted and cash fees paid by us to such non-employee director, will not exceed (1) $750,000 in total value or (2) in the event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spacing w:after="0" w:line="145" w:lineRule="exact"/>
        <w:rPr>
          <w:sz w:val="20"/>
          <w:szCs w:val="20"/>
          <w:color w:val="auto"/>
        </w:rPr>
      </w:pPr>
    </w:p>
    <w:p>
      <w:pPr>
        <w:ind w:right="140"/>
        <w:spacing w:after="0" w:line="325" w:lineRule="auto"/>
        <w:rPr>
          <w:sz w:val="20"/>
          <w:szCs w:val="20"/>
          <w:color w:val="auto"/>
        </w:rPr>
      </w:pPr>
      <w:r>
        <w:rPr>
          <w:rFonts w:ascii="Arial" w:cs="Arial" w:eastAsia="Arial" w:hAnsi="Arial"/>
          <w:sz w:val="18"/>
          <w:szCs w:val="18"/>
          <w:i w:val="1"/>
          <w:iCs w:val="1"/>
          <w:color w:val="F06A6A"/>
        </w:rPr>
        <w:t xml:space="preserve">Initial Award. </w:t>
      </w:r>
      <w:r>
        <w:rPr>
          <w:rFonts w:ascii="Arial" w:cs="Arial" w:eastAsia="Arial" w:hAnsi="Arial"/>
          <w:sz w:val="18"/>
          <w:szCs w:val="18"/>
          <w:color w:val="0D0E10"/>
        </w:rPr>
        <w:t>Each new non-employee director elected or appointed to our Board of Directors after the Effective Date will be granted an</w:t>
      </w:r>
      <w:r>
        <w:rPr>
          <w:rFonts w:ascii="Arial" w:cs="Arial" w:eastAsia="Arial" w:hAnsi="Arial"/>
          <w:sz w:val="18"/>
          <w:szCs w:val="18"/>
          <w:i w:val="1"/>
          <w:iCs w:val="1"/>
          <w:color w:val="F06A6A"/>
        </w:rPr>
        <w:t xml:space="preserve"> </w:t>
      </w:r>
      <w:r>
        <w:rPr>
          <w:rFonts w:ascii="Arial" w:cs="Arial" w:eastAsia="Arial" w:hAnsi="Arial"/>
          <w:sz w:val="18"/>
          <w:szCs w:val="18"/>
          <w:color w:val="0D0E10"/>
        </w:rPr>
        <w:t>initial, one-time restricted stock unit award with a grant date fair value of $350,000, which will vest in equal annual installments such that the initial award will be fully vested on the third anniversary of the grant date, subject to the non-employee director’s continuous service through each vesting date.</w:t>
      </w:r>
    </w:p>
    <w:p>
      <w:pPr>
        <w:spacing w:after="0" w:line="121" w:lineRule="exact"/>
        <w:rPr>
          <w:sz w:val="20"/>
          <w:szCs w:val="20"/>
          <w:color w:val="auto"/>
        </w:rPr>
      </w:pPr>
    </w:p>
    <w:p>
      <w:pPr>
        <w:ind w:right="60"/>
        <w:spacing w:after="0" w:line="322" w:lineRule="auto"/>
        <w:rPr>
          <w:sz w:val="20"/>
          <w:szCs w:val="20"/>
          <w:color w:val="auto"/>
        </w:rPr>
      </w:pPr>
      <w:r>
        <w:rPr>
          <w:rFonts w:ascii="Arial" w:cs="Arial" w:eastAsia="Arial" w:hAnsi="Arial"/>
          <w:sz w:val="18"/>
          <w:szCs w:val="18"/>
          <w:i w:val="1"/>
          <w:iCs w:val="1"/>
          <w:color w:val="F06A6A"/>
        </w:rPr>
        <w:t xml:space="preserve">Annual Awards. </w:t>
      </w:r>
      <w:r>
        <w:rPr>
          <w:rFonts w:ascii="Arial" w:cs="Arial" w:eastAsia="Arial" w:hAnsi="Arial"/>
          <w:sz w:val="18"/>
          <w:szCs w:val="18"/>
          <w:color w:val="0D0E10"/>
        </w:rPr>
        <w:t>On the date of each annual meeting of stockholders of our company after the Effective Date, each non-employee director</w:t>
      </w:r>
      <w:r>
        <w:rPr>
          <w:rFonts w:ascii="Arial" w:cs="Arial" w:eastAsia="Arial" w:hAnsi="Arial"/>
          <w:sz w:val="18"/>
          <w:szCs w:val="18"/>
          <w:i w:val="1"/>
          <w:iCs w:val="1"/>
          <w:color w:val="F06A6A"/>
        </w:rPr>
        <w:t xml:space="preserve"> </w:t>
      </w:r>
      <w:r>
        <w:rPr>
          <w:rFonts w:ascii="Arial" w:cs="Arial" w:eastAsia="Arial" w:hAnsi="Arial"/>
          <w:sz w:val="18"/>
          <w:szCs w:val="18"/>
          <w:color w:val="0D0E10"/>
        </w:rPr>
        <w:t>who has served as a non-employee director for more than six months as of such date and who continues to serve on our Board of Directors following the date of such meeting will be granted a restricted stock unit award with a grant date fair value of $175,000, which will vest on the first anniversary of the grant date, provided that the annual award will, in any case, become fully vested on the date of our next annual stockholder meeting, subject to the non-employee director’s continuous service through such vesting date.</w:t>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22</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7" w:name="page28"/>
    <w:bookmarkEnd w:id="27"/>
    <w:p>
      <w:pPr>
        <w:ind w:left="64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60"/>
        <w:spacing w:after="0" w:line="350" w:lineRule="auto"/>
        <w:rPr>
          <w:sz w:val="20"/>
          <w:szCs w:val="20"/>
          <w:color w:val="auto"/>
        </w:rPr>
      </w:pPr>
      <w:r>
        <w:rPr>
          <w:rFonts w:ascii="Arial" w:cs="Arial" w:eastAsia="Arial" w:hAnsi="Arial"/>
          <w:sz w:val="18"/>
          <w:szCs w:val="18"/>
          <w:i w:val="1"/>
          <w:iCs w:val="1"/>
          <w:color w:val="F06A6A"/>
        </w:rPr>
        <w:t xml:space="preserve">Change in Control. </w:t>
      </w:r>
      <w:r>
        <w:rPr>
          <w:rFonts w:ascii="Arial" w:cs="Arial" w:eastAsia="Arial" w:hAnsi="Arial"/>
          <w:sz w:val="18"/>
          <w:szCs w:val="18"/>
          <w:color w:val="0D0E10"/>
        </w:rPr>
        <w:t>Initial awards and annual awards granted under the Non-Employee Director Compensation Policy vest in full upon a</w:t>
      </w:r>
      <w:r>
        <w:rPr>
          <w:rFonts w:ascii="Arial" w:cs="Arial" w:eastAsia="Arial" w:hAnsi="Arial"/>
          <w:sz w:val="18"/>
          <w:szCs w:val="18"/>
          <w:i w:val="1"/>
          <w:iCs w:val="1"/>
          <w:color w:val="F06A6A"/>
        </w:rPr>
        <w:t xml:space="preserve"> </w:t>
      </w:r>
      <w:r>
        <w:rPr>
          <w:rFonts w:ascii="Arial" w:cs="Arial" w:eastAsia="Arial" w:hAnsi="Arial"/>
          <w:sz w:val="18"/>
          <w:szCs w:val="18"/>
          <w:color w:val="0D0E10"/>
        </w:rPr>
        <w:t>“change in control,” as defined in our 2020 Equity Incentive Plan.</w:t>
      </w:r>
    </w:p>
    <w:p>
      <w:pPr>
        <w:spacing w:after="0" w:line="98" w:lineRule="exact"/>
        <w:rPr>
          <w:sz w:val="20"/>
          <w:szCs w:val="20"/>
          <w:color w:val="auto"/>
        </w:rPr>
      </w:pPr>
    </w:p>
    <w:p>
      <w:pPr>
        <w:jc w:val="both"/>
        <w:ind w:right="400"/>
        <w:spacing w:after="0" w:line="322" w:lineRule="auto"/>
        <w:rPr>
          <w:sz w:val="20"/>
          <w:szCs w:val="20"/>
          <w:color w:val="auto"/>
        </w:rPr>
      </w:pPr>
      <w:r>
        <w:rPr>
          <w:rFonts w:ascii="Arial" w:cs="Arial" w:eastAsia="Arial" w:hAnsi="Arial"/>
          <w:sz w:val="18"/>
          <w:szCs w:val="18"/>
          <w:i w:val="1"/>
          <w:iCs w:val="1"/>
          <w:color w:val="F06A6A"/>
        </w:rPr>
        <w:t xml:space="preserve">Stock Ownership Policy. </w:t>
      </w:r>
      <w:r>
        <w:rPr>
          <w:rFonts w:ascii="Arial" w:cs="Arial" w:eastAsia="Arial" w:hAnsi="Arial"/>
          <w:sz w:val="18"/>
          <w:szCs w:val="18"/>
          <w:color w:val="0D0E10"/>
        </w:rPr>
        <w:t>In May 2023, to further align the interests of our directors with those of our stockholders, our Board of Directors</w:t>
      </w:r>
      <w:r>
        <w:rPr>
          <w:rFonts w:ascii="Arial" w:cs="Arial" w:eastAsia="Arial" w:hAnsi="Arial"/>
          <w:sz w:val="18"/>
          <w:szCs w:val="18"/>
          <w:i w:val="1"/>
          <w:iCs w:val="1"/>
          <w:color w:val="F06A6A"/>
        </w:rPr>
        <w:t xml:space="preserve"> </w:t>
      </w:r>
      <w:r>
        <w:rPr>
          <w:rFonts w:ascii="Arial" w:cs="Arial" w:eastAsia="Arial" w:hAnsi="Arial"/>
          <w:sz w:val="18"/>
          <w:szCs w:val="18"/>
          <w:color w:val="0D0E10"/>
        </w:rPr>
        <w:t>adopted a stock ownership policy applicable to each of our non-employee directors. The policy requires that each of our non-employee directors achieve a level of ownership of at least five times the annual Board retainer for regular service on the Board as a member, not inclusive of any annual cash retainers paid for Board committee service, by the later of February 28, 2029 or the fiscal year during which such director achieves the fifth anniversary of their initial election by shareholders.</w:t>
      </w:r>
    </w:p>
    <w:p>
      <w:pPr>
        <w:spacing w:after="0" w:line="123"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i w:val="1"/>
          <w:iCs w:val="1"/>
          <w:color w:val="F06A6A"/>
        </w:rPr>
        <w:t xml:space="preserve">Holding Period. </w:t>
      </w:r>
      <w:r>
        <w:rPr>
          <w:rFonts w:ascii="Arial" w:cs="Arial" w:eastAsia="Arial" w:hAnsi="Arial"/>
          <w:sz w:val="18"/>
          <w:szCs w:val="18"/>
          <w:color w:val="0D0E10"/>
        </w:rPr>
        <w:t>Initial awards and annual awards granted under the Non-Employee Director Compensation Policy prior to May 24, 2023 are</w:t>
      </w:r>
      <w:r>
        <w:rPr>
          <w:rFonts w:ascii="Arial" w:cs="Arial" w:eastAsia="Arial" w:hAnsi="Arial"/>
          <w:sz w:val="18"/>
          <w:szCs w:val="18"/>
          <w:i w:val="1"/>
          <w:iCs w:val="1"/>
          <w:color w:val="F06A6A"/>
        </w:rPr>
        <w:t xml:space="preserve"> </w:t>
      </w:r>
      <w:r>
        <w:rPr>
          <w:rFonts w:ascii="Arial" w:cs="Arial" w:eastAsia="Arial" w:hAnsi="Arial"/>
          <w:sz w:val="18"/>
          <w:szCs w:val="18"/>
          <w:color w:val="0D0E10"/>
        </w:rPr>
        <w:t>subject to a holding period and the shares subject to such awards shall not be issued or delivered to non-employee directors until the earlier to occur of (1) the first anniversary of the applicable vesting date in the case of initial awards or the second anniversary of the vesting date in the case of annual awards or (2) a “change in control event” within the meaning of Section 409A of the Internal Revenue Code of 1986, as amended, or the Code (such holding periods, the “Director Initial Grant Holding Period” and the “Director Annual Grant Holding Period” respectively). In connection with the adoption of the stock ownership policy, as described above, initial awards and annual awards granted to our non-employee directors on or after May 24, 2023 are no longer subject to the Director Initial Grant Holding Period or the Director Annual Grant Holding Period.</w:t>
      </w:r>
    </w:p>
    <w:p>
      <w:pPr>
        <w:spacing w:after="0" w:line="128" w:lineRule="exact"/>
        <w:rPr>
          <w:sz w:val="20"/>
          <w:szCs w:val="20"/>
          <w:color w:val="auto"/>
        </w:rPr>
      </w:pPr>
    </w:p>
    <w:p>
      <w:pPr>
        <w:ind w:right="80"/>
        <w:spacing w:after="0" w:line="322" w:lineRule="auto"/>
        <w:rPr>
          <w:sz w:val="20"/>
          <w:szCs w:val="20"/>
          <w:color w:val="auto"/>
        </w:rPr>
      </w:pPr>
      <w:r>
        <w:rPr>
          <w:rFonts w:ascii="Arial" w:cs="Arial" w:eastAsia="Arial" w:hAnsi="Arial"/>
          <w:sz w:val="18"/>
          <w:szCs w:val="18"/>
          <w:i w:val="1"/>
          <w:iCs w:val="1"/>
          <w:color w:val="F06A6A"/>
        </w:rPr>
        <w:t xml:space="preserve">Election to Receive Equity in Lieu of Cash Retainer. </w:t>
      </w:r>
      <w:r>
        <w:rPr>
          <w:rFonts w:ascii="Arial" w:cs="Arial" w:eastAsia="Arial" w:hAnsi="Arial"/>
          <w:sz w:val="18"/>
          <w:szCs w:val="18"/>
          <w:color w:val="0D0E10"/>
        </w:rPr>
        <w:t>Each non-employee director may elect to receive fully vested shares of our Class A</w:t>
      </w:r>
      <w:r>
        <w:rPr>
          <w:rFonts w:ascii="Arial" w:cs="Arial" w:eastAsia="Arial" w:hAnsi="Arial"/>
          <w:sz w:val="18"/>
          <w:szCs w:val="18"/>
          <w:i w:val="1"/>
          <w:iCs w:val="1"/>
          <w:color w:val="F06A6A"/>
        </w:rPr>
        <w:t xml:space="preserve"> </w:t>
      </w:r>
      <w:r>
        <w:rPr>
          <w:rFonts w:ascii="Arial" w:cs="Arial" w:eastAsia="Arial" w:hAnsi="Arial"/>
          <w:sz w:val="18"/>
          <w:szCs w:val="18"/>
          <w:color w:val="0D0E10"/>
        </w:rPr>
        <w:t>common stock in lieu of their annual cash compensation. Such shares are issued on a quarterly basis, in arrears, and the number of such shares is calculated by dividing (1) the aggregate amount of cash compensation otherwise payable to such director by (2) the closing sale price per share of the Class A common stock on the last day of the fiscal quarter in which the service occurred, rounded down to the nearest whole share.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F06A6A"/>
        </w:rPr>
        <w:t>DIRECTORS’ DEFERRED COMPENSATION PLAN</w:t>
      </w:r>
    </w:p>
    <w:p>
      <w:pPr>
        <w:spacing w:after="0" w:line="95"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0D0E10"/>
        </w:rPr>
        <w:t>Pursuant to our Directors’ Deferred Compensation Plan, our non-employee directors may elect to defer a set percentage of their cash and/or equity compensation. Deferred cash compensation is credited to a non-interest-bearing cash account or a stock account, at the director’s election. Deferred equity compensation is credited on a one-to-one basis to a stock unit account. Stock unit accounts represent the right to receive shares of our Class A common stock, with the number of shares credited to stock accounts for deferred cash compensation calculated by dividing (1) the aggregate amount of cash compensation deferred by the director by (2) the closing sales price per share of the Class A common stock on the deferral date. All deferred amounts are payable in a lump sum on the earliest to occur of the director’s termination of service, the director’s death, a change in control (as defined in the Directors’ Deferred Compensation Plan) or, if elected by the director, a fixed payment date.</w:t>
      </w: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23</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8" w:name="page29"/>
    <w:bookmarkEnd w:id="28"/>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F06A6A"/>
        </w:rPr>
        <w:t>NON-EMPLOYEE DIRECTOR COMPENSATION FOR FISCAL YEAR 2024</w:t>
      </w:r>
    </w:p>
    <w:p>
      <w:pPr>
        <w:spacing w:after="0" w:line="95" w:lineRule="exact"/>
        <w:rPr>
          <w:sz w:val="20"/>
          <w:szCs w:val="20"/>
          <w:color w:val="auto"/>
        </w:rPr>
      </w:pPr>
    </w:p>
    <w:p>
      <w:pPr>
        <w:ind w:right="440"/>
        <w:spacing w:after="0" w:line="334" w:lineRule="auto"/>
        <w:rPr>
          <w:sz w:val="20"/>
          <w:szCs w:val="20"/>
          <w:color w:val="auto"/>
        </w:rPr>
      </w:pPr>
      <w:r>
        <w:rPr>
          <w:rFonts w:ascii="Arial" w:cs="Arial" w:eastAsia="Arial" w:hAnsi="Arial"/>
          <w:sz w:val="18"/>
          <w:szCs w:val="18"/>
          <w:color w:val="0D0E10"/>
        </w:rPr>
        <w:t>The following tables provide information regarding the total compensation that was earned by each of our non-employee directors in our fiscal year ended January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shd w:val="clear" w:color="auto" w:fill="EEEBEA"/>
          </w:tcPr>
          <w:p>
            <w:pPr>
              <w:spacing w:after="0"/>
              <w:rPr>
                <w:sz w:val="16"/>
                <w:szCs w:val="16"/>
                <w:color w:val="auto"/>
              </w:rPr>
            </w:pPr>
          </w:p>
        </w:tc>
        <w:tc>
          <w:tcPr>
            <w:tcW w:w="200" w:type="dxa"/>
            <w:vAlign w:val="bottom"/>
            <w:shd w:val="clear" w:color="auto" w:fill="EEEBEA"/>
          </w:tcPr>
          <w:p>
            <w:pPr>
              <w:spacing w:after="0"/>
              <w:rPr>
                <w:sz w:val="16"/>
                <w:szCs w:val="16"/>
                <w:color w:val="auto"/>
              </w:rPr>
            </w:pPr>
          </w:p>
        </w:tc>
        <w:tc>
          <w:tcPr>
            <w:tcW w:w="2180" w:type="dxa"/>
            <w:vAlign w:val="bottom"/>
            <w:vMerge w:val="restart"/>
            <w:shd w:val="clear" w:color="auto" w:fill="EEEBEA"/>
          </w:tcPr>
          <w:p>
            <w:pPr>
              <w:spacing w:after="0"/>
              <w:rPr>
                <w:sz w:val="20"/>
                <w:szCs w:val="20"/>
                <w:color w:val="auto"/>
              </w:rPr>
            </w:pPr>
            <w:r>
              <w:rPr>
                <w:rFonts w:ascii="Arial" w:cs="Arial" w:eastAsia="Arial" w:hAnsi="Arial"/>
                <w:sz w:val="16"/>
                <w:szCs w:val="16"/>
                <w:b w:val="1"/>
                <w:bCs w:val="1"/>
                <w:color w:val="F06A6A"/>
                <w:w w:val="99"/>
                <w:shd w:val="clear" w:color="auto" w:fill="EEEBEA"/>
              </w:rPr>
              <w:t>Fees Earned or Paid in Cash</w:t>
            </w:r>
          </w:p>
        </w:tc>
        <w:tc>
          <w:tcPr>
            <w:tcW w:w="140" w:type="dxa"/>
            <w:vAlign w:val="bottom"/>
            <w:shd w:val="clear" w:color="auto" w:fill="EEEBEA"/>
          </w:tcPr>
          <w:p>
            <w:pPr>
              <w:jc w:val="right"/>
              <w:spacing w:after="0"/>
              <w:rPr>
                <w:sz w:val="20"/>
                <w:szCs w:val="20"/>
                <w:color w:val="auto"/>
              </w:rPr>
            </w:pPr>
            <w:r>
              <w:rPr>
                <w:rFonts w:ascii="Arial" w:cs="Arial" w:eastAsia="Arial" w:hAnsi="Arial"/>
                <w:sz w:val="11"/>
                <w:szCs w:val="11"/>
                <w:b w:val="1"/>
                <w:bCs w:val="1"/>
                <w:color w:val="F06A6A"/>
                <w:w w:val="88"/>
                <w:shd w:val="clear" w:color="auto" w:fill="EEEBEA"/>
              </w:rPr>
              <w:t>(1)</w:t>
            </w:r>
          </w:p>
        </w:tc>
        <w:tc>
          <w:tcPr>
            <w:tcW w:w="2400" w:type="dxa"/>
            <w:vAlign w:val="bottom"/>
            <w:vMerge w:val="restart"/>
            <w:shd w:val="clear" w:color="auto" w:fill="EEEBEA"/>
          </w:tcPr>
          <w:p>
            <w:pPr>
              <w:ind w:left="680"/>
              <w:spacing w:after="0"/>
              <w:rPr>
                <w:sz w:val="20"/>
                <w:szCs w:val="20"/>
                <w:color w:val="auto"/>
              </w:rPr>
            </w:pPr>
            <w:r>
              <w:rPr>
                <w:rFonts w:ascii="Arial" w:cs="Arial" w:eastAsia="Arial" w:hAnsi="Arial"/>
                <w:sz w:val="16"/>
                <w:szCs w:val="16"/>
                <w:b w:val="1"/>
                <w:bCs w:val="1"/>
                <w:color w:val="F06A6A"/>
              </w:rPr>
              <w:t>Stock Awards</w:t>
            </w:r>
            <w:r>
              <w:rPr>
                <w:rFonts w:ascii="Arial" w:cs="Arial" w:eastAsia="Arial" w:hAnsi="Arial"/>
                <w:sz w:val="21"/>
                <w:szCs w:val="21"/>
                <w:b w:val="1"/>
                <w:bCs w:val="1"/>
                <w:color w:val="F06A6A"/>
                <w:vertAlign w:val="superscript"/>
              </w:rPr>
              <w:t>(2)</w:t>
            </w:r>
          </w:p>
        </w:tc>
        <w:tc>
          <w:tcPr>
            <w:tcW w:w="1800" w:type="dxa"/>
            <w:vAlign w:val="bottom"/>
            <w:vMerge w:val="restart"/>
            <w:shd w:val="clear" w:color="auto" w:fill="EEEBEA"/>
          </w:tcPr>
          <w:p>
            <w:pPr>
              <w:ind w:left="620"/>
              <w:spacing w:after="0"/>
              <w:rPr>
                <w:sz w:val="20"/>
                <w:szCs w:val="20"/>
                <w:color w:val="auto"/>
              </w:rPr>
            </w:pPr>
            <w:r>
              <w:rPr>
                <w:rFonts w:ascii="Arial" w:cs="Arial" w:eastAsia="Arial" w:hAnsi="Arial"/>
                <w:sz w:val="16"/>
                <w:szCs w:val="16"/>
                <w:b w:val="1"/>
                <w:bCs w:val="1"/>
                <w:color w:val="F06A6A"/>
              </w:rPr>
              <w:t>Total</w:t>
            </w:r>
          </w:p>
        </w:tc>
        <w:tc>
          <w:tcPr>
            <w:tcW w:w="0" w:type="dxa"/>
            <w:vAlign w:val="bottom"/>
          </w:tcPr>
          <w:p>
            <w:pPr>
              <w:spacing w:after="0"/>
              <w:rPr>
                <w:sz w:val="1"/>
                <w:szCs w:val="1"/>
                <w:color w:val="auto"/>
              </w:rPr>
            </w:pPr>
          </w:p>
        </w:tc>
      </w:tr>
      <w:tr>
        <w:trPr>
          <w:trHeight w:val="53"/>
        </w:trPr>
        <w:tc>
          <w:tcPr>
            <w:tcW w:w="4520" w:type="dxa"/>
            <w:vAlign w:val="bottom"/>
            <w:shd w:val="clear" w:color="auto" w:fill="EEEBEA"/>
          </w:tcPr>
          <w:p>
            <w:pPr>
              <w:spacing w:after="0"/>
              <w:rPr>
                <w:sz w:val="4"/>
                <w:szCs w:val="4"/>
                <w:color w:val="auto"/>
              </w:rPr>
            </w:pPr>
          </w:p>
        </w:tc>
        <w:tc>
          <w:tcPr>
            <w:tcW w:w="200" w:type="dxa"/>
            <w:vAlign w:val="bottom"/>
            <w:shd w:val="clear" w:color="auto" w:fill="EEEBEA"/>
          </w:tcPr>
          <w:p>
            <w:pPr>
              <w:spacing w:after="0"/>
              <w:rPr>
                <w:sz w:val="4"/>
                <w:szCs w:val="4"/>
                <w:color w:val="auto"/>
              </w:rPr>
            </w:pPr>
          </w:p>
        </w:tc>
        <w:tc>
          <w:tcPr>
            <w:tcW w:w="2180" w:type="dxa"/>
            <w:vAlign w:val="bottom"/>
            <w:vMerge w:val="continue"/>
            <w:shd w:val="clear" w:color="auto" w:fill="EEEBEA"/>
          </w:tcPr>
          <w:p>
            <w:pPr>
              <w:spacing w:after="0"/>
              <w:rPr>
                <w:sz w:val="4"/>
                <w:szCs w:val="4"/>
                <w:color w:val="auto"/>
              </w:rPr>
            </w:pPr>
          </w:p>
        </w:tc>
        <w:tc>
          <w:tcPr>
            <w:tcW w:w="140" w:type="dxa"/>
            <w:vAlign w:val="bottom"/>
            <w:shd w:val="clear" w:color="auto" w:fill="EEEBEA"/>
          </w:tcPr>
          <w:p>
            <w:pPr>
              <w:spacing w:after="0"/>
              <w:rPr>
                <w:sz w:val="4"/>
                <w:szCs w:val="4"/>
                <w:color w:val="auto"/>
              </w:rPr>
            </w:pPr>
          </w:p>
        </w:tc>
        <w:tc>
          <w:tcPr>
            <w:tcW w:w="2400" w:type="dxa"/>
            <w:vAlign w:val="bottom"/>
            <w:vMerge w:val="continue"/>
            <w:shd w:val="clear" w:color="auto" w:fill="EEEBEA"/>
          </w:tcPr>
          <w:p>
            <w:pPr>
              <w:spacing w:after="0"/>
              <w:rPr>
                <w:sz w:val="4"/>
                <w:szCs w:val="4"/>
                <w:color w:val="auto"/>
              </w:rPr>
            </w:pPr>
          </w:p>
        </w:tc>
        <w:tc>
          <w:tcPr>
            <w:tcW w:w="1800" w:type="dxa"/>
            <w:vAlign w:val="bottom"/>
            <w:vMerge w:val="continue"/>
            <w:shd w:val="clear" w:color="auto" w:fill="EEEBEA"/>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Director</w:t>
            </w:r>
          </w:p>
        </w:tc>
        <w:tc>
          <w:tcPr>
            <w:tcW w:w="200" w:type="dxa"/>
            <w:vAlign w:val="bottom"/>
            <w:shd w:val="clear" w:color="auto" w:fill="EEEBEA"/>
          </w:tcPr>
          <w:p>
            <w:pPr>
              <w:spacing w:after="0"/>
              <w:rPr>
                <w:sz w:val="19"/>
                <w:szCs w:val="19"/>
                <w:color w:val="auto"/>
              </w:rPr>
            </w:pPr>
          </w:p>
        </w:tc>
        <w:tc>
          <w:tcPr>
            <w:tcW w:w="2180" w:type="dxa"/>
            <w:vAlign w:val="bottom"/>
            <w:shd w:val="clear" w:color="auto" w:fill="EEEBEA"/>
          </w:tcPr>
          <w:p>
            <w:pPr>
              <w:jc w:val="center"/>
              <w:ind w:left="59"/>
              <w:spacing w:after="0"/>
              <w:rPr>
                <w:sz w:val="20"/>
                <w:szCs w:val="20"/>
                <w:color w:val="auto"/>
              </w:rPr>
            </w:pPr>
            <w:r>
              <w:rPr>
                <w:rFonts w:ascii="Arial" w:cs="Arial" w:eastAsia="Arial" w:hAnsi="Arial"/>
                <w:sz w:val="16"/>
                <w:szCs w:val="16"/>
                <w:b w:val="1"/>
                <w:bCs w:val="1"/>
                <w:color w:val="F06A6A"/>
              </w:rPr>
              <w:t>($)</w:t>
            </w:r>
          </w:p>
        </w:tc>
        <w:tc>
          <w:tcPr>
            <w:tcW w:w="140" w:type="dxa"/>
            <w:vAlign w:val="bottom"/>
            <w:shd w:val="clear" w:color="auto" w:fill="EEEBEA"/>
          </w:tcPr>
          <w:p>
            <w:pPr>
              <w:spacing w:after="0"/>
              <w:rPr>
                <w:sz w:val="19"/>
                <w:szCs w:val="19"/>
                <w:color w:val="auto"/>
              </w:rPr>
            </w:pPr>
          </w:p>
        </w:tc>
        <w:tc>
          <w:tcPr>
            <w:tcW w:w="2400" w:type="dxa"/>
            <w:vAlign w:val="bottom"/>
            <w:shd w:val="clear" w:color="auto" w:fill="EEEBEA"/>
          </w:tcPr>
          <w:p>
            <w:pPr>
              <w:jc w:val="center"/>
              <w:ind w:left="79"/>
              <w:spacing w:after="0"/>
              <w:rPr>
                <w:sz w:val="20"/>
                <w:szCs w:val="20"/>
                <w:color w:val="auto"/>
              </w:rPr>
            </w:pPr>
            <w:r>
              <w:rPr>
                <w:rFonts w:ascii="Arial" w:cs="Arial" w:eastAsia="Arial" w:hAnsi="Arial"/>
                <w:sz w:val="16"/>
                <w:szCs w:val="16"/>
                <w:b w:val="1"/>
                <w:bCs w:val="1"/>
                <w:color w:val="F06A6A"/>
              </w:rPr>
              <w:t>($)</w:t>
            </w:r>
          </w:p>
        </w:tc>
        <w:tc>
          <w:tcPr>
            <w:tcW w:w="1800" w:type="dxa"/>
            <w:vAlign w:val="bottom"/>
            <w:shd w:val="clear" w:color="auto" w:fill="EEEBEA"/>
          </w:tcPr>
          <w:p>
            <w:pPr>
              <w:jc w:val="center"/>
              <w:ind w:right="79"/>
              <w:spacing w:after="0"/>
              <w:rPr>
                <w:sz w:val="20"/>
                <w:szCs w:val="20"/>
                <w:color w:val="auto"/>
              </w:rPr>
            </w:pPr>
            <w:r>
              <w:rPr>
                <w:rFonts w:ascii="Arial" w:cs="Arial" w:eastAsia="Arial" w:hAnsi="Arial"/>
                <w:sz w:val="16"/>
                <w:szCs w:val="16"/>
                <w:b w:val="1"/>
                <w:bCs w:val="1"/>
                <w:color w:val="F06A6A"/>
              </w:rPr>
              <w:t>($)</w:t>
            </w:r>
          </w:p>
        </w:tc>
        <w:tc>
          <w:tcPr>
            <w:tcW w:w="0" w:type="dxa"/>
            <w:vAlign w:val="bottom"/>
          </w:tcPr>
          <w:p>
            <w:pPr>
              <w:spacing w:after="0"/>
              <w:rPr>
                <w:sz w:val="1"/>
                <w:szCs w:val="1"/>
                <w:color w:val="auto"/>
              </w:rPr>
            </w:pPr>
          </w:p>
        </w:tc>
      </w:tr>
      <w:tr>
        <w:trPr>
          <w:trHeight w:val="128"/>
        </w:trPr>
        <w:tc>
          <w:tcPr>
            <w:tcW w:w="4520" w:type="dxa"/>
            <w:vAlign w:val="bottom"/>
            <w:tcBorders>
              <w:bottom w:val="single" w:sz="8" w:color="A5A4A3"/>
            </w:tcBorders>
            <w:shd w:val="clear" w:color="auto" w:fill="EEEBEA"/>
          </w:tcPr>
          <w:p>
            <w:pPr>
              <w:spacing w:after="0"/>
              <w:rPr>
                <w:sz w:val="11"/>
                <w:szCs w:val="11"/>
                <w:color w:val="auto"/>
              </w:rPr>
            </w:pPr>
          </w:p>
        </w:tc>
        <w:tc>
          <w:tcPr>
            <w:tcW w:w="200" w:type="dxa"/>
            <w:vAlign w:val="bottom"/>
            <w:tcBorders>
              <w:bottom w:val="single" w:sz="8" w:color="A5A4A3"/>
            </w:tcBorders>
            <w:shd w:val="clear" w:color="auto" w:fill="EEEBEA"/>
          </w:tcPr>
          <w:p>
            <w:pPr>
              <w:spacing w:after="0"/>
              <w:rPr>
                <w:sz w:val="11"/>
                <w:szCs w:val="11"/>
                <w:color w:val="auto"/>
              </w:rPr>
            </w:pPr>
          </w:p>
        </w:tc>
        <w:tc>
          <w:tcPr>
            <w:tcW w:w="2180" w:type="dxa"/>
            <w:vAlign w:val="bottom"/>
            <w:tcBorders>
              <w:bottom w:val="single" w:sz="8" w:color="A5A4A3"/>
            </w:tcBorders>
            <w:shd w:val="clear" w:color="auto" w:fill="EEEBEA"/>
          </w:tcPr>
          <w:p>
            <w:pPr>
              <w:spacing w:after="0"/>
              <w:rPr>
                <w:sz w:val="11"/>
                <w:szCs w:val="11"/>
                <w:color w:val="auto"/>
              </w:rPr>
            </w:pPr>
          </w:p>
        </w:tc>
        <w:tc>
          <w:tcPr>
            <w:tcW w:w="140" w:type="dxa"/>
            <w:vAlign w:val="bottom"/>
            <w:tcBorders>
              <w:bottom w:val="single" w:sz="8" w:color="A5A4A3"/>
            </w:tcBorders>
            <w:shd w:val="clear" w:color="auto" w:fill="EEEBEA"/>
          </w:tcPr>
          <w:p>
            <w:pPr>
              <w:spacing w:after="0"/>
              <w:rPr>
                <w:sz w:val="11"/>
                <w:szCs w:val="11"/>
                <w:color w:val="auto"/>
              </w:rPr>
            </w:pPr>
          </w:p>
        </w:tc>
        <w:tc>
          <w:tcPr>
            <w:tcW w:w="2400" w:type="dxa"/>
            <w:vAlign w:val="bottom"/>
            <w:tcBorders>
              <w:bottom w:val="single" w:sz="8" w:color="A5A4A3"/>
            </w:tcBorders>
            <w:shd w:val="clear" w:color="auto" w:fill="EEEBEA"/>
          </w:tcPr>
          <w:p>
            <w:pPr>
              <w:spacing w:after="0"/>
              <w:rPr>
                <w:sz w:val="11"/>
                <w:szCs w:val="11"/>
                <w:color w:val="auto"/>
              </w:rPr>
            </w:pPr>
          </w:p>
        </w:tc>
        <w:tc>
          <w:tcPr>
            <w:tcW w:w="1800" w:type="dxa"/>
            <w:vAlign w:val="bottom"/>
            <w:tcBorders>
              <w:bottom w:val="single" w:sz="8" w:color="A5A4A3"/>
            </w:tcBorders>
            <w:shd w:val="clear" w:color="auto" w:fill="EEEBEA"/>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Krista Anderson-Copperman</w:t>
            </w:r>
            <w:r>
              <w:rPr>
                <w:rFonts w:ascii="Arial" w:cs="Arial" w:eastAsia="Arial" w:hAnsi="Arial"/>
                <w:sz w:val="21"/>
                <w:szCs w:val="21"/>
                <w:color w:val="0D0E10"/>
                <w:vertAlign w:val="superscript"/>
              </w:rPr>
              <w:t>(3)</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48,637</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223,622</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Sydney Carey</w:t>
            </w:r>
            <w:r>
              <w:rPr>
                <w:rFonts w:ascii="Arial" w:cs="Arial" w:eastAsia="Arial" w:hAnsi="Arial"/>
                <w:sz w:val="21"/>
                <w:szCs w:val="21"/>
                <w:color w:val="0D0E10"/>
                <w:vertAlign w:val="superscript"/>
              </w:rPr>
              <w:t>(4)</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56,000</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230,985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Matthew Cohler</w:t>
            </w:r>
            <w:r>
              <w:rPr>
                <w:rFonts w:ascii="Arial" w:cs="Arial" w:eastAsia="Arial" w:hAnsi="Arial"/>
                <w:sz w:val="21"/>
                <w:szCs w:val="21"/>
                <w:color w:val="0D0E10"/>
                <w:vertAlign w:val="superscript"/>
              </w:rPr>
              <w:t>(5)</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33,750</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208,735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Adam D’Angelo</w:t>
            </w:r>
            <w:r>
              <w:rPr>
                <w:rFonts w:ascii="Arial" w:cs="Arial" w:eastAsia="Arial" w:hAnsi="Arial"/>
                <w:sz w:val="21"/>
                <w:szCs w:val="21"/>
                <w:color w:val="0D0E10"/>
                <w:vertAlign w:val="superscript"/>
              </w:rPr>
              <w:t>(6)</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31,160</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206,145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Andrew Lindsay</w:t>
            </w:r>
            <w:r>
              <w:rPr>
                <w:rFonts w:ascii="Arial" w:cs="Arial" w:eastAsia="Arial" w:hAnsi="Arial"/>
                <w:sz w:val="21"/>
                <w:szCs w:val="21"/>
                <w:color w:val="0D0E10"/>
                <w:vertAlign w:val="superscript"/>
              </w:rPr>
              <w:t>(7)</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47,202</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222,187</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Lorrie Norrington</w:t>
            </w:r>
            <w:r>
              <w:rPr>
                <w:rFonts w:ascii="Arial" w:cs="Arial" w:eastAsia="Arial" w:hAnsi="Arial"/>
                <w:sz w:val="21"/>
                <w:szCs w:val="21"/>
                <w:color w:val="0D0E10"/>
                <w:vertAlign w:val="superscript"/>
              </w:rPr>
              <w:t>(8)</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59,048</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234,033</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Justin Rosenstein</w:t>
            </w:r>
            <w:r>
              <w:rPr>
                <w:rFonts w:ascii="Arial" w:cs="Arial" w:eastAsia="Arial" w:hAnsi="Arial"/>
                <w:sz w:val="21"/>
                <w:szCs w:val="21"/>
                <w:color w:val="0D0E10"/>
                <w:vertAlign w:val="superscript"/>
              </w:rPr>
              <w:t>(9)</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30,000</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204,985</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Amit Singh</w:t>
            </w:r>
            <w:r>
              <w:rPr>
                <w:rFonts w:ascii="Arial" w:cs="Arial" w:eastAsia="Arial" w:hAnsi="Arial"/>
                <w:sz w:val="21"/>
                <w:szCs w:val="21"/>
                <w:color w:val="0D0E10"/>
                <w:vertAlign w:val="superscript"/>
              </w:rPr>
              <w:t>(10)(11)</w:t>
            </w:r>
          </w:p>
        </w:tc>
        <w:tc>
          <w:tcPr>
            <w:tcW w:w="2380" w:type="dxa"/>
            <w:vAlign w:val="bottom"/>
            <w:tcBorders>
              <w:bottom w:val="single" w:sz="8" w:color="A5A4A3"/>
            </w:tcBorders>
            <w:gridSpan w:val="2"/>
          </w:tcPr>
          <w:p>
            <w:pPr>
              <w:jc w:val="center"/>
              <w:ind w:left="259"/>
              <w:spacing w:after="0"/>
              <w:rPr>
                <w:sz w:val="20"/>
                <w:szCs w:val="20"/>
                <w:color w:val="auto"/>
              </w:rPr>
            </w:pPr>
            <w:r>
              <w:rPr>
                <w:rFonts w:ascii="Arial" w:cs="Arial" w:eastAsia="Arial" w:hAnsi="Arial"/>
                <w:sz w:val="16"/>
                <w:szCs w:val="16"/>
                <w:color w:val="0D0E10"/>
                <w:w w:val="98"/>
              </w:rPr>
              <w:t>32,324</w:t>
            </w:r>
          </w:p>
        </w:tc>
        <w:tc>
          <w:tcPr>
            <w:tcW w:w="140" w:type="dxa"/>
            <w:vAlign w:val="bottom"/>
            <w:tcBorders>
              <w:bottom w:val="single" w:sz="8" w:color="A5A4A3"/>
            </w:tcBorders>
          </w:tcPr>
          <w:p>
            <w:pPr>
              <w:spacing w:after="0"/>
              <w:rPr>
                <w:sz w:val="21"/>
                <w:szCs w:val="21"/>
                <w:color w:val="auto"/>
              </w:rPr>
            </w:pPr>
          </w:p>
        </w:tc>
        <w:tc>
          <w:tcPr>
            <w:tcW w:w="2400" w:type="dxa"/>
            <w:vAlign w:val="bottom"/>
            <w:tcBorders>
              <w:bottom w:val="single" w:sz="8" w:color="A5A4A3"/>
            </w:tcBorders>
          </w:tcPr>
          <w:p>
            <w:pPr>
              <w:jc w:val="center"/>
              <w:ind w:left="79"/>
              <w:spacing w:after="0"/>
              <w:rPr>
                <w:sz w:val="20"/>
                <w:szCs w:val="20"/>
                <w:color w:val="auto"/>
              </w:rPr>
            </w:pPr>
            <w:r>
              <w:rPr>
                <w:rFonts w:ascii="Arial" w:cs="Arial" w:eastAsia="Arial" w:hAnsi="Arial"/>
                <w:sz w:val="16"/>
                <w:szCs w:val="16"/>
                <w:color w:val="0D0E10"/>
              </w:rPr>
              <w:t>174,985</w:t>
            </w:r>
          </w:p>
        </w:tc>
        <w:tc>
          <w:tcPr>
            <w:tcW w:w="1800" w:type="dxa"/>
            <w:vAlign w:val="bottom"/>
            <w:tcBorders>
              <w:bottom w:val="single" w:sz="8" w:color="A5A4A3"/>
            </w:tcBorders>
          </w:tcPr>
          <w:p>
            <w:pPr>
              <w:jc w:val="center"/>
              <w:ind w:right="99"/>
              <w:spacing w:after="0"/>
              <w:rPr>
                <w:sz w:val="20"/>
                <w:szCs w:val="20"/>
                <w:color w:val="auto"/>
              </w:rPr>
            </w:pPr>
            <w:r>
              <w:rPr>
                <w:rFonts w:ascii="Arial" w:cs="Arial" w:eastAsia="Arial" w:hAnsi="Arial"/>
                <w:sz w:val="16"/>
                <w:szCs w:val="16"/>
                <w:color w:val="0D0E10"/>
              </w:rPr>
              <w:t>207,309</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right="20" w:hanging="332"/>
        <w:spacing w:after="0" w:line="335" w:lineRule="auto"/>
        <w:tabs>
          <w:tab w:leader="none" w:pos="343" w:val="left"/>
        </w:tabs>
        <w:numPr>
          <w:ilvl w:val="0"/>
          <w:numId w:val="26"/>
        </w:numPr>
        <w:rPr>
          <w:rFonts w:ascii="Arial" w:cs="Arial" w:eastAsia="Arial" w:hAnsi="Arial"/>
          <w:sz w:val="13"/>
          <w:szCs w:val="13"/>
          <w:color w:val="0D0E10"/>
        </w:rPr>
      </w:pPr>
      <w:r>
        <w:rPr>
          <w:rFonts w:ascii="Arial" w:cs="Arial" w:eastAsia="Arial" w:hAnsi="Arial"/>
          <w:sz w:val="13"/>
          <w:szCs w:val="13"/>
          <w:color w:val="0D0E10"/>
        </w:rPr>
        <w:t>This column represents the amount of all fees earned or paid in cash for services as a director. See the “Equity Granted in Lieu of Cash Retainers” table below for the amounts earned in cash that our directors elected to receive in shares of our Class A common stock.</w:t>
      </w:r>
    </w:p>
    <w:p>
      <w:pPr>
        <w:spacing w:after="0" w:line="1" w:lineRule="exact"/>
        <w:rPr>
          <w:rFonts w:ascii="Arial" w:cs="Arial" w:eastAsia="Arial" w:hAnsi="Arial"/>
          <w:sz w:val="13"/>
          <w:szCs w:val="13"/>
          <w:color w:val="0D0E10"/>
        </w:rPr>
      </w:pPr>
    </w:p>
    <w:p>
      <w:pPr>
        <w:ind w:left="340" w:right="20" w:hanging="332"/>
        <w:spacing w:after="0" w:line="300" w:lineRule="auto"/>
        <w:tabs>
          <w:tab w:leader="none" w:pos="343" w:val="left"/>
        </w:tabs>
        <w:numPr>
          <w:ilvl w:val="0"/>
          <w:numId w:val="26"/>
        </w:numPr>
        <w:rPr>
          <w:rFonts w:ascii="Arial" w:cs="Arial" w:eastAsia="Arial" w:hAnsi="Arial"/>
          <w:sz w:val="13"/>
          <w:szCs w:val="13"/>
          <w:color w:val="0D0E10"/>
        </w:rPr>
      </w:pPr>
      <w:r>
        <w:rPr>
          <w:rFonts w:ascii="Arial" w:cs="Arial" w:eastAsia="Arial" w:hAnsi="Arial"/>
          <w:sz w:val="13"/>
          <w:szCs w:val="13"/>
          <w:color w:val="0D0E10"/>
        </w:rPr>
        <w:t>Amounts reported represent the aggregate grant date fair value of restricted stock unit awards, or RSUs, granted to our directors during the fiscal year ended January 31, 2024 under our 2020 Equity Incentive Plan, computed in accordance with ASC Topic 718. These awards represent the right to receive shares of our Class A common stock equal in value to $175,000, determined based on the closing price per share of our Class A common stock on the grant date, and rounded down to the nearest whole share. The grant date fair value is calculated based on the number of shares granted subject to the awards, multiplied by the closing price per share of our Class A common stock on the grant date. With respect to deferral elections made under our Deferred Compensation Plan, which allows for the accumulation of fractional shares, the right to receive shares of our Class A common stock equal to the difference in value between $175,000 and the grant date fair value was credited to the stock unit accounts for Ms. Norrington and Mr. Singh. The assumptions used in calculating the grant date fair value of the stock awards reported in this column are set forth in the notes to our audited consolidated financial statements included in our Annual Report on Form 10-K for the fiscal year ended January 31, 2024. This amount does not reflect the actual economic value that may be realized by the non-employee director.</w:t>
      </w:r>
    </w:p>
    <w:p>
      <w:pPr>
        <w:spacing w:after="0" w:line="17" w:lineRule="exact"/>
        <w:rPr>
          <w:rFonts w:ascii="Arial" w:cs="Arial" w:eastAsia="Arial" w:hAnsi="Arial"/>
          <w:sz w:val="13"/>
          <w:szCs w:val="13"/>
          <w:color w:val="0D0E10"/>
        </w:rPr>
      </w:pPr>
    </w:p>
    <w:p>
      <w:pPr>
        <w:ind w:left="340" w:hanging="332"/>
        <w:spacing w:after="0"/>
        <w:tabs>
          <w:tab w:leader="none" w:pos="340" w:val="left"/>
        </w:tabs>
        <w:numPr>
          <w:ilvl w:val="0"/>
          <w:numId w:val="26"/>
        </w:numPr>
        <w:rPr>
          <w:rFonts w:ascii="Arial" w:cs="Arial" w:eastAsia="Arial" w:hAnsi="Arial"/>
          <w:sz w:val="13"/>
          <w:szCs w:val="13"/>
          <w:color w:val="0D0E10"/>
        </w:rPr>
      </w:pPr>
      <w:r>
        <w:rPr>
          <w:rFonts w:ascii="Arial" w:cs="Arial" w:eastAsia="Arial" w:hAnsi="Arial"/>
          <w:sz w:val="13"/>
          <w:szCs w:val="13"/>
          <w:color w:val="0D0E10"/>
        </w:rPr>
        <w:t>As of January 31, 2024, Ms. Anderson-Copperman’s outstanding equity awards consisted of: (a) 13,108 shares of our Class A common stock subject to unvested RSUs that will vest</w:t>
      </w:r>
    </w:p>
    <w:p>
      <w:pPr>
        <w:spacing w:after="0" w:line="39" w:lineRule="exact"/>
        <w:rPr>
          <w:rFonts w:ascii="Arial" w:cs="Arial" w:eastAsia="Arial" w:hAnsi="Arial"/>
          <w:sz w:val="13"/>
          <w:szCs w:val="13"/>
          <w:color w:val="0D0E10"/>
        </w:rPr>
      </w:pPr>
    </w:p>
    <w:p>
      <w:pPr>
        <w:ind w:left="340" w:right="180"/>
        <w:spacing w:after="0" w:line="298" w:lineRule="auto"/>
        <w:rPr>
          <w:rFonts w:ascii="Arial" w:cs="Arial" w:eastAsia="Arial" w:hAnsi="Arial"/>
          <w:sz w:val="13"/>
          <w:szCs w:val="13"/>
          <w:color w:val="0D0E10"/>
        </w:rPr>
      </w:pPr>
      <w:r>
        <w:rPr>
          <w:rFonts w:ascii="Arial" w:cs="Arial" w:eastAsia="Arial" w:hAnsi="Arial"/>
          <w:sz w:val="13"/>
          <w:szCs w:val="13"/>
          <w:color w:val="0D0E10"/>
        </w:rPr>
        <w:t>(i) in equal annual installments over a three-year period such that the grant will be fully vested on the third anniversary of the date of grant or (ii) in full upon a Change in Control (as defined in the Company’s 2020 Equity Incentive Plan), in either case, subject to her continuous service through the applicable vesting date and, upon vesting, the shares will be subject to the Director Initial Grant Holding Period; (b) 6,554 shares of our Class A common stock subject to vested RSUs that remain subject to the Director Initial Grant Holding Period and therefore have not yet been delivered to Ms. Anderson-Copperman; and (c) 7,753 shares of our Class A common stock subject to unvested RSUs that will vest (i) on the first anniversary of the date of grant or (ii) upon a Change in Control (as defined in the Company’s 2020 Equity Incentive Plan), in either case, subject to her continuous service through the applicable vesting date.</w:t>
      </w:r>
    </w:p>
    <w:p>
      <w:pPr>
        <w:spacing w:after="0" w:line="33" w:lineRule="exact"/>
        <w:rPr>
          <w:rFonts w:ascii="Arial" w:cs="Arial" w:eastAsia="Arial" w:hAnsi="Arial"/>
          <w:sz w:val="13"/>
          <w:szCs w:val="13"/>
          <w:color w:val="0D0E10"/>
        </w:rPr>
      </w:pPr>
    </w:p>
    <w:p>
      <w:pPr>
        <w:ind w:left="340" w:right="140" w:hanging="332"/>
        <w:spacing w:after="0" w:line="303" w:lineRule="auto"/>
        <w:tabs>
          <w:tab w:leader="none" w:pos="343" w:val="left"/>
        </w:tabs>
        <w:numPr>
          <w:ilvl w:val="0"/>
          <w:numId w:val="26"/>
        </w:numPr>
        <w:rPr>
          <w:rFonts w:ascii="Arial" w:cs="Arial" w:eastAsia="Arial" w:hAnsi="Arial"/>
          <w:sz w:val="13"/>
          <w:szCs w:val="13"/>
          <w:color w:val="0D0E10"/>
        </w:rPr>
      </w:pPr>
      <w:r>
        <w:rPr>
          <w:rFonts w:ascii="Arial" w:cs="Arial" w:eastAsia="Arial" w:hAnsi="Arial"/>
          <w:sz w:val="13"/>
          <w:szCs w:val="13"/>
          <w:color w:val="0D0E10"/>
        </w:rPr>
        <w:t>As of January 31, 2024, Ms. Carey's outstanding equity awards consisted of: (a) 13,466 shares of our Class A common stock subject to vested RSUs that remain subject to the Director Annual Grant Holding Period and therefore have not yet been delivered to Ms. Carey; and (b) 7,753 shares of our Class A common stock subject to unvested RSUs that will vest (i) on the first anniversary of the date of grant or (ii) upon a Change in Control (as defined in the Company’s 2020 Equity Incentive Plan) and, upon vesting, will be subject to the Director Annual Grant Holding Period, in either case, subject to her continuous service through the applicable vesting date.</w:t>
      </w:r>
    </w:p>
    <w:p>
      <w:pPr>
        <w:spacing w:after="0" w:line="28" w:lineRule="exact"/>
        <w:rPr>
          <w:rFonts w:ascii="Arial" w:cs="Arial" w:eastAsia="Arial" w:hAnsi="Arial"/>
          <w:sz w:val="13"/>
          <w:szCs w:val="13"/>
          <w:color w:val="0D0E10"/>
        </w:rPr>
      </w:pPr>
    </w:p>
    <w:p>
      <w:pPr>
        <w:ind w:left="340" w:right="120" w:hanging="332"/>
        <w:spacing w:after="0" w:line="303" w:lineRule="auto"/>
        <w:tabs>
          <w:tab w:leader="none" w:pos="343" w:val="left"/>
        </w:tabs>
        <w:numPr>
          <w:ilvl w:val="0"/>
          <w:numId w:val="26"/>
        </w:numPr>
        <w:rPr>
          <w:rFonts w:ascii="Arial" w:cs="Arial" w:eastAsia="Arial" w:hAnsi="Arial"/>
          <w:sz w:val="13"/>
          <w:szCs w:val="13"/>
          <w:color w:val="0D0E10"/>
        </w:rPr>
      </w:pPr>
      <w:r>
        <w:rPr>
          <w:rFonts w:ascii="Arial" w:cs="Arial" w:eastAsia="Arial" w:hAnsi="Arial"/>
          <w:sz w:val="13"/>
          <w:szCs w:val="13"/>
          <w:color w:val="0D0E10"/>
        </w:rPr>
        <w:t>As of January 31, 2024, Mr. Cohler’s outstanding equity awards consisted of: (a) 13,466 shares of our Class A common stock subject to vested RSUs that remain subject to the Director Annual Grant Holding Period and therefore have not yet been delivered to Mr. Cohler; and (b) 7,753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spacing w:after="0" w:line="28" w:lineRule="exact"/>
        <w:rPr>
          <w:rFonts w:ascii="Arial" w:cs="Arial" w:eastAsia="Arial" w:hAnsi="Arial"/>
          <w:sz w:val="13"/>
          <w:szCs w:val="13"/>
          <w:color w:val="0D0E10"/>
        </w:rPr>
      </w:pPr>
    </w:p>
    <w:p>
      <w:pPr>
        <w:ind w:left="340" w:right="220" w:hanging="332"/>
        <w:spacing w:after="0" w:line="303" w:lineRule="auto"/>
        <w:tabs>
          <w:tab w:leader="none" w:pos="343" w:val="left"/>
        </w:tabs>
        <w:numPr>
          <w:ilvl w:val="0"/>
          <w:numId w:val="26"/>
        </w:numPr>
        <w:rPr>
          <w:rFonts w:ascii="Arial" w:cs="Arial" w:eastAsia="Arial" w:hAnsi="Arial"/>
          <w:sz w:val="13"/>
          <w:szCs w:val="13"/>
          <w:color w:val="0D0E10"/>
        </w:rPr>
      </w:pPr>
      <w:r>
        <w:rPr>
          <w:rFonts w:ascii="Arial" w:cs="Arial" w:eastAsia="Arial" w:hAnsi="Arial"/>
          <w:sz w:val="13"/>
          <w:szCs w:val="13"/>
          <w:color w:val="0D0E10"/>
        </w:rPr>
        <w:t>As of January 31, 2024, Mr. D’Angelo’s outstanding equity awards consisted of: (a)13,466 shares of our Class A common stock subject to vested RSUs that remain subject to the Director Annual Grant Holding Period and therefore have not yet been delivered to Mr. D’Angelo; and (b) 7,753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spacing w:after="0" w:line="28" w:lineRule="exact"/>
        <w:rPr>
          <w:rFonts w:ascii="Arial" w:cs="Arial" w:eastAsia="Arial" w:hAnsi="Arial"/>
          <w:sz w:val="13"/>
          <w:szCs w:val="13"/>
          <w:color w:val="0D0E10"/>
        </w:rPr>
      </w:pPr>
    </w:p>
    <w:p>
      <w:pPr>
        <w:ind w:left="340" w:right="20" w:hanging="332"/>
        <w:spacing w:after="0" w:line="303" w:lineRule="auto"/>
        <w:tabs>
          <w:tab w:leader="none" w:pos="343" w:val="left"/>
        </w:tabs>
        <w:numPr>
          <w:ilvl w:val="0"/>
          <w:numId w:val="26"/>
        </w:numPr>
        <w:rPr>
          <w:rFonts w:ascii="Arial" w:cs="Arial" w:eastAsia="Arial" w:hAnsi="Arial"/>
          <w:sz w:val="13"/>
          <w:szCs w:val="13"/>
          <w:color w:val="0D0E10"/>
        </w:rPr>
      </w:pPr>
      <w:r>
        <w:rPr>
          <w:rFonts w:ascii="Arial" w:cs="Arial" w:eastAsia="Arial" w:hAnsi="Arial"/>
          <w:sz w:val="13"/>
          <w:szCs w:val="13"/>
          <w:color w:val="0D0E10"/>
        </w:rPr>
        <w:t>As of January 31, 2024, Mr. Lindsay’s outstanding equity awards consisted of: (a) 1,757 shares of our Class A common stock subject to unvested RSUs that will vest (i) in equal annual installments over a three-year period such that the grant will be fully vested on the third anniversary of the date of grant or (ii) in full upon a Change in Control (as defined in the Company’s 2020 Equity Incentive Plan) and, upon vesting, the shares will be subject to the Director Initial Grant Holding Period, in either case, subject to his continuous service through the applicable vesting date; (b) 1,757 shares of our Class A common stock subject to vested RSUs that remain subject to the Director Initial Grant Holding Period and therefore have not yet been delivered to Mr. Lindsay; (c) 9,684 shares of our Class A</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24</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9" w:name="page30"/>
    <w:bookmarkEnd w:id="29"/>
    <w:p>
      <w:pPr>
        <w:ind w:left="646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340"/>
        <w:spacing w:after="0" w:line="314" w:lineRule="auto"/>
        <w:rPr>
          <w:sz w:val="20"/>
          <w:szCs w:val="20"/>
          <w:color w:val="auto"/>
        </w:rPr>
      </w:pPr>
      <w:r>
        <w:rPr>
          <w:rFonts w:ascii="Arial" w:cs="Arial" w:eastAsia="Arial" w:hAnsi="Arial"/>
          <w:sz w:val="13"/>
          <w:szCs w:val="13"/>
          <w:color w:val="0D0E10"/>
        </w:rPr>
        <w:t>common stock subject to vested RSUs that remain subject to the Director Annual Grant Holding Period and therefore have not yet been delivered to Mr. Lindsay; and (d) 7,753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w:t>
      </w:r>
    </w:p>
    <w:p>
      <w:pPr>
        <w:spacing w:after="0" w:line="21" w:lineRule="exact"/>
        <w:rPr>
          <w:sz w:val="20"/>
          <w:szCs w:val="20"/>
          <w:color w:val="auto"/>
        </w:rPr>
      </w:pPr>
    </w:p>
    <w:p>
      <w:pPr>
        <w:ind w:left="340" w:right="80" w:hanging="332"/>
        <w:spacing w:after="0" w:line="303" w:lineRule="auto"/>
        <w:tabs>
          <w:tab w:leader="none" w:pos="343" w:val="left"/>
        </w:tabs>
        <w:numPr>
          <w:ilvl w:val="0"/>
          <w:numId w:val="27"/>
        </w:numPr>
        <w:rPr>
          <w:rFonts w:ascii="Arial" w:cs="Arial" w:eastAsia="Arial" w:hAnsi="Arial"/>
          <w:sz w:val="13"/>
          <w:szCs w:val="13"/>
          <w:color w:val="0D0E10"/>
        </w:rPr>
      </w:pPr>
      <w:r>
        <w:rPr>
          <w:rFonts w:ascii="Arial" w:cs="Arial" w:eastAsia="Arial" w:hAnsi="Arial"/>
          <w:sz w:val="13"/>
          <w:szCs w:val="13"/>
          <w:color w:val="0D0E10"/>
        </w:rPr>
        <w:t>As of January 31, 2024, Ms. Norrington’s outstanding equity awards consisted of: (a)13,466 shares of our Class A common stock subject to vested RSUs that remain subject to the Director Annual Grant Holding Period and therefore have not yet been delivered to Ms. Norrington; and (b) 7,753 shares of our Class A common stock subject to unvested RSUs that will vest (i) on the first anniversary of the date of grant or (ii) upon a Change in Control (as defined in the Company’s 2020 Equity Incentive Plan) in either case, subject to her continuous service through the applicable vesting date. Pursuant to the Directors’ Deferred Compensation Plan, Ms. Norrington elected to defer receipt of (a) all of her director fees earned on or after January 1, 2021 and (b) all of her equity compensation earned on or after January 1, 2021 pursuant to our Non-Employee Director Compensation Policy.</w:t>
      </w:r>
    </w:p>
    <w:p>
      <w:pPr>
        <w:spacing w:after="0" w:line="14" w:lineRule="exact"/>
        <w:rPr>
          <w:rFonts w:ascii="Arial" w:cs="Arial" w:eastAsia="Arial" w:hAnsi="Arial"/>
          <w:sz w:val="13"/>
          <w:szCs w:val="13"/>
          <w:color w:val="0D0E10"/>
        </w:rPr>
      </w:pPr>
    </w:p>
    <w:p>
      <w:pPr>
        <w:ind w:left="340" w:right="100" w:hanging="332"/>
        <w:spacing w:after="0" w:line="310" w:lineRule="auto"/>
        <w:tabs>
          <w:tab w:leader="none" w:pos="343" w:val="left"/>
        </w:tabs>
        <w:numPr>
          <w:ilvl w:val="0"/>
          <w:numId w:val="27"/>
        </w:numPr>
        <w:rPr>
          <w:rFonts w:ascii="Arial" w:cs="Arial" w:eastAsia="Arial" w:hAnsi="Arial"/>
          <w:sz w:val="13"/>
          <w:szCs w:val="13"/>
          <w:color w:val="0D0E10"/>
        </w:rPr>
      </w:pPr>
      <w:r>
        <w:rPr>
          <w:rFonts w:ascii="Arial" w:cs="Arial" w:eastAsia="Arial" w:hAnsi="Arial"/>
          <w:sz w:val="13"/>
          <w:szCs w:val="13"/>
          <w:color w:val="0D0E10"/>
        </w:rPr>
        <w:t>As of January 31, 2024, Mr. Rosenstein’s outstanding equity awards consisted of: (a)13,466 shares of our Class A common stock subject to vested RSUs that remain subject to the Director Annual Grant Holding Period and therefore have not yet been delivered to Mr. Rosenstein; (b) 7,753 shares of our Class A common stock subject to unvested RSUs that will vest (i) on the first anniversary of the date of grant or (ii) upon a Change in Control (as defined in the Company’s 2020 Equity Incentive Plan), in either case, subject to his continuous service through the applicable vesting date; and (c) 575,984 shares of our Class A common stock issuable upon the exercise of vested stock options.</w:t>
      </w:r>
    </w:p>
    <w:p>
      <w:pPr>
        <w:spacing w:after="0" w:line="10" w:lineRule="exact"/>
        <w:rPr>
          <w:rFonts w:ascii="Arial" w:cs="Arial" w:eastAsia="Arial" w:hAnsi="Arial"/>
          <w:sz w:val="13"/>
          <w:szCs w:val="13"/>
          <w:color w:val="0D0E10"/>
        </w:rPr>
      </w:pPr>
    </w:p>
    <w:p>
      <w:pPr>
        <w:ind w:left="340" w:right="200" w:hanging="332"/>
        <w:spacing w:after="0" w:line="310" w:lineRule="auto"/>
        <w:tabs>
          <w:tab w:leader="none" w:pos="337" w:val="left"/>
        </w:tabs>
        <w:numPr>
          <w:ilvl w:val="0"/>
          <w:numId w:val="27"/>
        </w:numPr>
        <w:rPr>
          <w:rFonts w:ascii="Arial" w:cs="Arial" w:eastAsia="Arial" w:hAnsi="Arial"/>
          <w:sz w:val="13"/>
          <w:szCs w:val="13"/>
          <w:color w:val="0D0E10"/>
        </w:rPr>
      </w:pPr>
      <w:r>
        <w:rPr>
          <w:rFonts w:ascii="Arial" w:cs="Arial" w:eastAsia="Arial" w:hAnsi="Arial"/>
          <w:sz w:val="13"/>
          <w:szCs w:val="13"/>
          <w:color w:val="0D0E10"/>
        </w:rPr>
        <w:t>As of January 31, 2024, Mr. Singh’s outstanding equity award holdings consisted of: (a) 911 shares of our Class A common stock subject to vested RSUs that remain subject to the Director Initial Grant Holding Period; and (b) 9,684 shares of our Class A common stock subject to vested RSUs that remain subject to the Director Annual Grant Holding Period. Pursuant to the Directors’ Deferred Compensation Plan, Mr. Singh elected to defer receipt of (a) all of his director fees earned on or after January 1, 2022 and (b) all of his equity compensation earned on or after January 1, 2022 pursuant to our Non-Employee Director Compensation Policy.</w:t>
      </w:r>
    </w:p>
    <w:p>
      <w:pPr>
        <w:spacing w:after="0" w:line="10" w:lineRule="exact"/>
        <w:rPr>
          <w:rFonts w:ascii="Arial" w:cs="Arial" w:eastAsia="Arial" w:hAnsi="Arial"/>
          <w:sz w:val="13"/>
          <w:szCs w:val="13"/>
          <w:color w:val="0D0E10"/>
        </w:rPr>
      </w:pPr>
    </w:p>
    <w:p>
      <w:pPr>
        <w:ind w:left="340" w:right="60" w:hanging="332"/>
        <w:spacing w:after="0" w:line="314" w:lineRule="auto"/>
        <w:tabs>
          <w:tab w:leader="none" w:pos="327" w:val="left"/>
        </w:tabs>
        <w:numPr>
          <w:ilvl w:val="0"/>
          <w:numId w:val="27"/>
        </w:numPr>
        <w:rPr>
          <w:rFonts w:ascii="Arial" w:cs="Arial" w:eastAsia="Arial" w:hAnsi="Arial"/>
          <w:sz w:val="13"/>
          <w:szCs w:val="13"/>
          <w:color w:val="0D0E10"/>
        </w:rPr>
      </w:pPr>
      <w:r>
        <w:rPr>
          <w:rFonts w:ascii="Arial" w:cs="Arial" w:eastAsia="Arial" w:hAnsi="Arial"/>
          <w:sz w:val="13"/>
          <w:szCs w:val="13"/>
          <w:color w:val="0D0E10"/>
        </w:rPr>
        <w:t>Mr. Singh resigned from our Board of Directors effective December 8, 2023. Pursuant to the Directors’ Deferred Compensation Plan, Mr. Singh’s deferral election expired following his resignation from our Board of Directors and the prorated portion of Mr. Singh’s fees payable in arrears for the quarter in which he resigned (equal to $3,098) were paid in cash rather than in shares of our Class A common stock.</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F06A6A"/>
        </w:rPr>
        <w:t>EQUITY GRANTED IN LIEU OF CASH RETAINERS</w:t>
      </w:r>
    </w:p>
    <w:p>
      <w:pPr>
        <w:spacing w:after="0" w:line="95"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0D0E10"/>
        </w:rPr>
        <w:t>The following table shows the amount of cash compensation earned during fiscal year 2024 that each director elected to receive in shares of our Class A common stock (rounded to the nearest whole dollar) and the number of shares received, excluding adjustments for dividend equivalents.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shd w:val="clear" w:color="auto" w:fill="EEEBEA"/>
          </w:tcPr>
          <w:p>
            <w:pPr>
              <w:spacing w:after="0"/>
              <w:rPr>
                <w:sz w:val="18"/>
                <w:szCs w:val="18"/>
                <w:color w:val="auto"/>
              </w:rPr>
            </w:pPr>
          </w:p>
        </w:tc>
        <w:tc>
          <w:tcPr>
            <w:tcW w:w="3520" w:type="dxa"/>
            <w:vAlign w:val="bottom"/>
            <w:shd w:val="clear" w:color="auto" w:fill="EEEBEA"/>
          </w:tcPr>
          <w:p>
            <w:pPr>
              <w:jc w:val="center"/>
              <w:ind w:right="182"/>
              <w:spacing w:after="0"/>
              <w:rPr>
                <w:sz w:val="20"/>
                <w:szCs w:val="20"/>
                <w:color w:val="auto"/>
              </w:rPr>
            </w:pPr>
            <w:r>
              <w:rPr>
                <w:rFonts w:ascii="Arial" w:cs="Arial" w:eastAsia="Arial" w:hAnsi="Arial"/>
                <w:sz w:val="16"/>
                <w:szCs w:val="16"/>
                <w:b w:val="1"/>
                <w:bCs w:val="1"/>
                <w:color w:val="F06A6A"/>
              </w:rPr>
              <w:t>Cash Fees Paid in Class A Common</w:t>
            </w:r>
          </w:p>
        </w:tc>
        <w:tc>
          <w:tcPr>
            <w:tcW w:w="3440" w:type="dxa"/>
            <w:vAlign w:val="bottom"/>
            <w:shd w:val="clear" w:color="auto" w:fill="EEEBEA"/>
          </w:tcPr>
          <w:p>
            <w:pPr>
              <w:jc w:val="center"/>
              <w:ind w:right="319"/>
              <w:spacing w:after="0"/>
              <w:rPr>
                <w:sz w:val="20"/>
                <w:szCs w:val="20"/>
                <w:color w:val="auto"/>
              </w:rPr>
            </w:pPr>
            <w:r>
              <w:rPr>
                <w:rFonts w:ascii="Arial" w:cs="Arial" w:eastAsia="Arial" w:hAnsi="Arial"/>
                <w:sz w:val="16"/>
                <w:szCs w:val="16"/>
                <w:b w:val="1"/>
                <w:bCs w:val="1"/>
                <w:color w:val="F06A6A"/>
              </w:rPr>
              <w:t>Number of Shares of</w:t>
            </w:r>
          </w:p>
        </w:tc>
      </w:tr>
      <w:tr>
        <w:trPr>
          <w:trHeight w:val="216"/>
        </w:trPr>
        <w:tc>
          <w:tcPr>
            <w:tcW w:w="4180" w:type="dxa"/>
            <w:vAlign w:val="bottom"/>
            <w:shd w:val="clear" w:color="auto" w:fill="EEEBEA"/>
          </w:tcPr>
          <w:p>
            <w:pPr>
              <w:spacing w:after="0"/>
              <w:rPr>
                <w:sz w:val="18"/>
                <w:szCs w:val="18"/>
                <w:color w:val="auto"/>
              </w:rPr>
            </w:pPr>
          </w:p>
        </w:tc>
        <w:tc>
          <w:tcPr>
            <w:tcW w:w="3520" w:type="dxa"/>
            <w:vAlign w:val="bottom"/>
            <w:shd w:val="clear" w:color="auto" w:fill="EEEBEA"/>
          </w:tcPr>
          <w:p>
            <w:pPr>
              <w:jc w:val="center"/>
              <w:ind w:right="182"/>
              <w:spacing w:after="0"/>
              <w:rPr>
                <w:sz w:val="20"/>
                <w:szCs w:val="20"/>
                <w:color w:val="auto"/>
              </w:rPr>
            </w:pPr>
            <w:r>
              <w:rPr>
                <w:rFonts w:ascii="Arial" w:cs="Arial" w:eastAsia="Arial" w:hAnsi="Arial"/>
                <w:sz w:val="16"/>
                <w:szCs w:val="16"/>
                <w:b w:val="1"/>
                <w:bCs w:val="1"/>
                <w:color w:val="F06A6A"/>
              </w:rPr>
              <w:t>Stock at Director’s Election</w:t>
            </w:r>
          </w:p>
        </w:tc>
        <w:tc>
          <w:tcPr>
            <w:tcW w:w="3440" w:type="dxa"/>
            <w:vAlign w:val="bottom"/>
            <w:shd w:val="clear" w:color="auto" w:fill="EEEBEA"/>
          </w:tcPr>
          <w:p>
            <w:pPr>
              <w:jc w:val="center"/>
              <w:ind w:right="319"/>
              <w:spacing w:after="0"/>
              <w:rPr>
                <w:sz w:val="20"/>
                <w:szCs w:val="20"/>
                <w:color w:val="auto"/>
              </w:rPr>
            </w:pPr>
            <w:r>
              <w:rPr>
                <w:rFonts w:ascii="Arial" w:cs="Arial" w:eastAsia="Arial" w:hAnsi="Arial"/>
                <w:sz w:val="16"/>
                <w:szCs w:val="16"/>
                <w:b w:val="1"/>
                <w:bCs w:val="1"/>
                <w:color w:val="F06A6A"/>
              </w:rPr>
              <w:t>Class A Common Stock</w:t>
            </w:r>
          </w:p>
        </w:tc>
      </w:tr>
      <w:tr>
        <w:trPr>
          <w:trHeight w:val="257"/>
        </w:trPr>
        <w:tc>
          <w:tcPr>
            <w:tcW w:w="418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Director</w:t>
            </w:r>
          </w:p>
        </w:tc>
        <w:tc>
          <w:tcPr>
            <w:tcW w:w="3520" w:type="dxa"/>
            <w:vAlign w:val="bottom"/>
            <w:shd w:val="clear" w:color="auto" w:fill="EEEBEA"/>
          </w:tcPr>
          <w:p>
            <w:pPr>
              <w:jc w:val="center"/>
              <w:ind w:right="182"/>
              <w:spacing w:after="0" w:line="258" w:lineRule="exact"/>
              <w:rPr>
                <w:sz w:val="20"/>
                <w:szCs w:val="20"/>
                <w:color w:val="auto"/>
              </w:rPr>
            </w:pPr>
            <w:r>
              <w:rPr>
                <w:rFonts w:ascii="Arial" w:cs="Arial" w:eastAsia="Arial" w:hAnsi="Arial"/>
                <w:sz w:val="29"/>
                <w:szCs w:val="29"/>
                <w:b w:val="1"/>
                <w:bCs w:val="1"/>
                <w:color w:val="F06A6A"/>
                <w:w w:val="94"/>
                <w:vertAlign w:val="subscript"/>
              </w:rPr>
              <w:t>($)</w:t>
            </w:r>
            <w:r>
              <w:rPr>
                <w:rFonts w:ascii="Arial" w:cs="Arial" w:eastAsia="Arial" w:hAnsi="Arial"/>
                <w:sz w:val="10"/>
                <w:szCs w:val="10"/>
                <w:b w:val="1"/>
                <w:bCs w:val="1"/>
                <w:color w:val="F06A6A"/>
                <w:w w:val="94"/>
              </w:rPr>
              <w:t>(1)</w:t>
            </w:r>
          </w:p>
        </w:tc>
        <w:tc>
          <w:tcPr>
            <w:tcW w:w="3440" w:type="dxa"/>
            <w:vAlign w:val="bottom"/>
            <w:shd w:val="clear" w:color="auto" w:fill="EEEBEA"/>
          </w:tcPr>
          <w:p>
            <w:pPr>
              <w:jc w:val="center"/>
              <w:ind w:right="319"/>
              <w:spacing w:after="0"/>
              <w:rPr>
                <w:sz w:val="20"/>
                <w:szCs w:val="20"/>
                <w:color w:val="auto"/>
              </w:rPr>
            </w:pPr>
            <w:r>
              <w:rPr>
                <w:rFonts w:ascii="Arial" w:cs="Arial" w:eastAsia="Arial" w:hAnsi="Arial"/>
                <w:sz w:val="16"/>
                <w:szCs w:val="16"/>
                <w:b w:val="1"/>
                <w:bCs w:val="1"/>
                <w:color w:val="F06A6A"/>
                <w:w w:val="98"/>
              </w:rPr>
              <w:t>Received in Lieu of Cash</w:t>
            </w:r>
            <w:r>
              <w:rPr>
                <w:rFonts w:ascii="Arial" w:cs="Arial" w:eastAsia="Arial" w:hAnsi="Arial"/>
                <w:sz w:val="21"/>
                <w:szCs w:val="21"/>
                <w:b w:val="1"/>
                <w:bCs w:val="1"/>
                <w:color w:val="F06A6A"/>
                <w:w w:val="98"/>
                <w:vertAlign w:val="superscript"/>
              </w:rPr>
              <w:t>(1)</w:t>
            </w:r>
          </w:p>
        </w:tc>
      </w:tr>
      <w:tr>
        <w:trPr>
          <w:trHeight w:val="95"/>
        </w:trPr>
        <w:tc>
          <w:tcPr>
            <w:tcW w:w="4180" w:type="dxa"/>
            <w:vAlign w:val="bottom"/>
            <w:tcBorders>
              <w:bottom w:val="single" w:sz="8" w:color="A5A4A3"/>
            </w:tcBorders>
            <w:shd w:val="clear" w:color="auto" w:fill="EEEBEA"/>
          </w:tcPr>
          <w:p>
            <w:pPr>
              <w:spacing w:after="0"/>
              <w:rPr>
                <w:sz w:val="8"/>
                <w:szCs w:val="8"/>
                <w:color w:val="auto"/>
              </w:rPr>
            </w:pPr>
          </w:p>
        </w:tc>
        <w:tc>
          <w:tcPr>
            <w:tcW w:w="3520" w:type="dxa"/>
            <w:vAlign w:val="bottom"/>
            <w:tcBorders>
              <w:bottom w:val="single" w:sz="8" w:color="A5A4A3"/>
            </w:tcBorders>
            <w:shd w:val="clear" w:color="auto" w:fill="EEEBEA"/>
          </w:tcPr>
          <w:p>
            <w:pPr>
              <w:spacing w:after="0"/>
              <w:rPr>
                <w:sz w:val="8"/>
                <w:szCs w:val="8"/>
                <w:color w:val="auto"/>
              </w:rPr>
            </w:pPr>
          </w:p>
        </w:tc>
        <w:tc>
          <w:tcPr>
            <w:tcW w:w="3440" w:type="dxa"/>
            <w:vAlign w:val="bottom"/>
            <w:tcBorders>
              <w:bottom w:val="single" w:sz="8" w:color="A5A4A3"/>
            </w:tcBorders>
            <w:shd w:val="clear" w:color="auto" w:fill="EEEBEA"/>
          </w:tcPr>
          <w:p>
            <w:pPr>
              <w:spacing w:after="0"/>
              <w:rPr>
                <w:sz w:val="8"/>
                <w:szCs w:val="8"/>
                <w:color w:val="auto"/>
              </w:rPr>
            </w:pPr>
          </w:p>
        </w:tc>
      </w:tr>
      <w:tr>
        <w:trPr>
          <w:trHeight w:val="221"/>
        </w:trPr>
        <w:tc>
          <w:tcPr>
            <w:tcW w:w="4180" w:type="dxa"/>
            <w:vAlign w:val="bottom"/>
          </w:tcPr>
          <w:p>
            <w:pPr>
              <w:ind w:left="100"/>
              <w:spacing w:after="0"/>
              <w:rPr>
                <w:sz w:val="20"/>
                <w:szCs w:val="20"/>
                <w:color w:val="auto"/>
              </w:rPr>
            </w:pPr>
            <w:r>
              <w:rPr>
                <w:rFonts w:ascii="Arial" w:cs="Arial" w:eastAsia="Arial" w:hAnsi="Arial"/>
                <w:sz w:val="16"/>
                <w:szCs w:val="16"/>
                <w:color w:val="0D0E10"/>
              </w:rPr>
              <w:t>Krista Anderson-Copperman</w:t>
            </w:r>
          </w:p>
        </w:tc>
        <w:tc>
          <w:tcPr>
            <w:tcW w:w="3520" w:type="dxa"/>
            <w:vAlign w:val="bottom"/>
          </w:tcPr>
          <w:p>
            <w:pPr>
              <w:jc w:val="center"/>
              <w:ind w:right="182"/>
              <w:spacing w:after="0"/>
              <w:rPr>
                <w:sz w:val="20"/>
                <w:szCs w:val="20"/>
                <w:color w:val="auto"/>
              </w:rPr>
            </w:pPr>
            <w:r>
              <w:rPr>
                <w:rFonts w:ascii="Arial" w:cs="Arial" w:eastAsia="Arial" w:hAnsi="Arial"/>
                <w:sz w:val="16"/>
                <w:szCs w:val="16"/>
                <w:color w:val="0D0E10"/>
              </w:rPr>
              <w:t>48,637</w:t>
            </w:r>
          </w:p>
        </w:tc>
        <w:tc>
          <w:tcPr>
            <w:tcW w:w="3440" w:type="dxa"/>
            <w:vAlign w:val="bottom"/>
          </w:tcPr>
          <w:p>
            <w:pPr>
              <w:jc w:val="center"/>
              <w:ind w:right="319"/>
              <w:spacing w:after="0"/>
              <w:rPr>
                <w:sz w:val="20"/>
                <w:szCs w:val="20"/>
                <w:color w:val="auto"/>
              </w:rPr>
            </w:pPr>
            <w:r>
              <w:rPr>
                <w:rFonts w:ascii="Arial" w:cs="Arial" w:eastAsia="Arial" w:hAnsi="Arial"/>
                <w:sz w:val="16"/>
                <w:szCs w:val="16"/>
                <w:color w:val="0D0E10"/>
                <w:w w:val="99"/>
              </w:rPr>
              <w:t>2,613</w:t>
            </w:r>
          </w:p>
        </w:tc>
      </w:tr>
      <w:tr>
        <w:trPr>
          <w:trHeight w:val="29"/>
        </w:trPr>
        <w:tc>
          <w:tcPr>
            <w:tcW w:w="4180" w:type="dxa"/>
            <w:vAlign w:val="bottom"/>
            <w:tcBorders>
              <w:bottom w:val="single" w:sz="8" w:color="A5A4A3"/>
            </w:tcBorders>
          </w:tcPr>
          <w:p>
            <w:pPr>
              <w:spacing w:after="0"/>
              <w:rPr>
                <w:sz w:val="2"/>
                <w:szCs w:val="2"/>
                <w:color w:val="auto"/>
              </w:rPr>
            </w:pPr>
          </w:p>
        </w:tc>
        <w:tc>
          <w:tcPr>
            <w:tcW w:w="3520" w:type="dxa"/>
            <w:vAlign w:val="bottom"/>
            <w:tcBorders>
              <w:bottom w:val="single" w:sz="8" w:color="A5A4A3"/>
            </w:tcBorders>
          </w:tcPr>
          <w:p>
            <w:pPr>
              <w:spacing w:after="0"/>
              <w:rPr>
                <w:sz w:val="2"/>
                <w:szCs w:val="2"/>
                <w:color w:val="auto"/>
              </w:rPr>
            </w:pPr>
          </w:p>
        </w:tc>
        <w:tc>
          <w:tcPr>
            <w:tcW w:w="3440" w:type="dxa"/>
            <w:vAlign w:val="bottom"/>
            <w:tcBorders>
              <w:bottom w:val="single" w:sz="8" w:color="A5A4A3"/>
            </w:tcBorders>
          </w:tcPr>
          <w:p>
            <w:pPr>
              <w:spacing w:after="0"/>
              <w:rPr>
                <w:sz w:val="2"/>
                <w:szCs w:val="2"/>
                <w:color w:val="auto"/>
              </w:rPr>
            </w:pPr>
          </w:p>
        </w:tc>
      </w:tr>
      <w:tr>
        <w:trPr>
          <w:trHeight w:val="221"/>
        </w:trPr>
        <w:tc>
          <w:tcPr>
            <w:tcW w:w="4180" w:type="dxa"/>
            <w:vAlign w:val="bottom"/>
          </w:tcPr>
          <w:p>
            <w:pPr>
              <w:ind w:left="100"/>
              <w:spacing w:after="0"/>
              <w:rPr>
                <w:sz w:val="20"/>
                <w:szCs w:val="20"/>
                <w:color w:val="auto"/>
              </w:rPr>
            </w:pPr>
            <w:r>
              <w:rPr>
                <w:rFonts w:ascii="Arial" w:cs="Arial" w:eastAsia="Arial" w:hAnsi="Arial"/>
                <w:sz w:val="16"/>
                <w:szCs w:val="16"/>
                <w:color w:val="0D0E10"/>
              </w:rPr>
              <w:t>Sydney Carey</w:t>
            </w:r>
          </w:p>
        </w:tc>
        <w:tc>
          <w:tcPr>
            <w:tcW w:w="3520" w:type="dxa"/>
            <w:vAlign w:val="bottom"/>
          </w:tcPr>
          <w:p>
            <w:pPr>
              <w:jc w:val="center"/>
              <w:ind w:right="182"/>
              <w:spacing w:after="0"/>
              <w:rPr>
                <w:sz w:val="20"/>
                <w:szCs w:val="20"/>
                <w:color w:val="auto"/>
              </w:rPr>
            </w:pPr>
            <w:r>
              <w:rPr>
                <w:rFonts w:ascii="Arial" w:cs="Arial" w:eastAsia="Arial" w:hAnsi="Arial"/>
                <w:sz w:val="16"/>
                <w:szCs w:val="16"/>
                <w:color w:val="0D0E10"/>
              </w:rPr>
              <w:t>56,000</w:t>
            </w:r>
          </w:p>
        </w:tc>
        <w:tc>
          <w:tcPr>
            <w:tcW w:w="3440" w:type="dxa"/>
            <w:vAlign w:val="bottom"/>
          </w:tcPr>
          <w:p>
            <w:pPr>
              <w:jc w:val="center"/>
              <w:ind w:right="319"/>
              <w:spacing w:after="0"/>
              <w:rPr>
                <w:sz w:val="20"/>
                <w:szCs w:val="20"/>
                <w:color w:val="auto"/>
              </w:rPr>
            </w:pPr>
            <w:r>
              <w:rPr>
                <w:rFonts w:ascii="Arial" w:cs="Arial" w:eastAsia="Arial" w:hAnsi="Arial"/>
                <w:sz w:val="16"/>
                <w:szCs w:val="16"/>
                <w:color w:val="0D0E10"/>
                <w:w w:val="99"/>
              </w:rPr>
              <w:t>3,001</w:t>
            </w:r>
          </w:p>
        </w:tc>
      </w:tr>
      <w:tr>
        <w:trPr>
          <w:trHeight w:val="29"/>
        </w:trPr>
        <w:tc>
          <w:tcPr>
            <w:tcW w:w="4180" w:type="dxa"/>
            <w:vAlign w:val="bottom"/>
            <w:tcBorders>
              <w:bottom w:val="single" w:sz="8" w:color="A5A4A3"/>
            </w:tcBorders>
          </w:tcPr>
          <w:p>
            <w:pPr>
              <w:spacing w:after="0"/>
              <w:rPr>
                <w:sz w:val="2"/>
                <w:szCs w:val="2"/>
                <w:color w:val="auto"/>
              </w:rPr>
            </w:pPr>
          </w:p>
        </w:tc>
        <w:tc>
          <w:tcPr>
            <w:tcW w:w="3520" w:type="dxa"/>
            <w:vAlign w:val="bottom"/>
            <w:tcBorders>
              <w:bottom w:val="single" w:sz="8" w:color="A5A4A3"/>
            </w:tcBorders>
          </w:tcPr>
          <w:p>
            <w:pPr>
              <w:spacing w:after="0"/>
              <w:rPr>
                <w:sz w:val="2"/>
                <w:szCs w:val="2"/>
                <w:color w:val="auto"/>
              </w:rPr>
            </w:pPr>
          </w:p>
        </w:tc>
        <w:tc>
          <w:tcPr>
            <w:tcW w:w="3440" w:type="dxa"/>
            <w:vAlign w:val="bottom"/>
            <w:tcBorders>
              <w:bottom w:val="single" w:sz="8" w:color="A5A4A3"/>
            </w:tcBorders>
          </w:tcPr>
          <w:p>
            <w:pPr>
              <w:spacing w:after="0"/>
              <w:rPr>
                <w:sz w:val="2"/>
                <w:szCs w:val="2"/>
                <w:color w:val="auto"/>
              </w:rPr>
            </w:pPr>
          </w:p>
        </w:tc>
      </w:tr>
      <w:tr>
        <w:trPr>
          <w:trHeight w:val="221"/>
        </w:trPr>
        <w:tc>
          <w:tcPr>
            <w:tcW w:w="4180" w:type="dxa"/>
            <w:vAlign w:val="bottom"/>
          </w:tcPr>
          <w:p>
            <w:pPr>
              <w:ind w:left="100"/>
              <w:spacing w:after="0"/>
              <w:rPr>
                <w:sz w:val="20"/>
                <w:szCs w:val="20"/>
                <w:color w:val="auto"/>
              </w:rPr>
            </w:pPr>
            <w:r>
              <w:rPr>
                <w:rFonts w:ascii="Arial" w:cs="Arial" w:eastAsia="Arial" w:hAnsi="Arial"/>
                <w:sz w:val="16"/>
                <w:szCs w:val="16"/>
                <w:color w:val="0D0E10"/>
              </w:rPr>
              <w:t>Matthew Cohler</w:t>
            </w:r>
          </w:p>
        </w:tc>
        <w:tc>
          <w:tcPr>
            <w:tcW w:w="3520" w:type="dxa"/>
            <w:vAlign w:val="bottom"/>
          </w:tcPr>
          <w:p>
            <w:pPr>
              <w:jc w:val="center"/>
              <w:ind w:right="182"/>
              <w:spacing w:after="0"/>
              <w:rPr>
                <w:sz w:val="20"/>
                <w:szCs w:val="20"/>
                <w:color w:val="auto"/>
              </w:rPr>
            </w:pPr>
            <w:r>
              <w:rPr>
                <w:rFonts w:ascii="Arial" w:cs="Arial" w:eastAsia="Arial" w:hAnsi="Arial"/>
                <w:sz w:val="16"/>
                <w:szCs w:val="16"/>
                <w:color w:val="0D0E10"/>
              </w:rPr>
              <w:t>33,750</w:t>
            </w:r>
          </w:p>
        </w:tc>
        <w:tc>
          <w:tcPr>
            <w:tcW w:w="3440" w:type="dxa"/>
            <w:vAlign w:val="bottom"/>
          </w:tcPr>
          <w:p>
            <w:pPr>
              <w:jc w:val="center"/>
              <w:ind w:right="319"/>
              <w:spacing w:after="0"/>
              <w:rPr>
                <w:sz w:val="20"/>
                <w:szCs w:val="20"/>
                <w:color w:val="auto"/>
              </w:rPr>
            </w:pPr>
            <w:r>
              <w:rPr>
                <w:rFonts w:ascii="Arial" w:cs="Arial" w:eastAsia="Arial" w:hAnsi="Arial"/>
                <w:sz w:val="16"/>
                <w:szCs w:val="16"/>
                <w:color w:val="0D0E10"/>
                <w:w w:val="99"/>
              </w:rPr>
              <w:t>1,808</w:t>
            </w:r>
          </w:p>
        </w:tc>
      </w:tr>
      <w:tr>
        <w:trPr>
          <w:trHeight w:val="29"/>
        </w:trPr>
        <w:tc>
          <w:tcPr>
            <w:tcW w:w="4180" w:type="dxa"/>
            <w:vAlign w:val="bottom"/>
            <w:tcBorders>
              <w:bottom w:val="single" w:sz="8" w:color="A5A4A3"/>
            </w:tcBorders>
          </w:tcPr>
          <w:p>
            <w:pPr>
              <w:spacing w:after="0"/>
              <w:rPr>
                <w:sz w:val="2"/>
                <w:szCs w:val="2"/>
                <w:color w:val="auto"/>
              </w:rPr>
            </w:pPr>
          </w:p>
        </w:tc>
        <w:tc>
          <w:tcPr>
            <w:tcW w:w="3520" w:type="dxa"/>
            <w:vAlign w:val="bottom"/>
            <w:tcBorders>
              <w:bottom w:val="single" w:sz="8" w:color="A5A4A3"/>
            </w:tcBorders>
          </w:tcPr>
          <w:p>
            <w:pPr>
              <w:spacing w:after="0"/>
              <w:rPr>
                <w:sz w:val="2"/>
                <w:szCs w:val="2"/>
                <w:color w:val="auto"/>
              </w:rPr>
            </w:pPr>
          </w:p>
        </w:tc>
        <w:tc>
          <w:tcPr>
            <w:tcW w:w="3440" w:type="dxa"/>
            <w:vAlign w:val="bottom"/>
            <w:tcBorders>
              <w:bottom w:val="single" w:sz="8" w:color="A5A4A3"/>
            </w:tcBorders>
          </w:tcPr>
          <w:p>
            <w:pPr>
              <w:spacing w:after="0"/>
              <w:rPr>
                <w:sz w:val="2"/>
                <w:szCs w:val="2"/>
                <w:color w:val="auto"/>
              </w:rPr>
            </w:pPr>
          </w:p>
        </w:tc>
      </w:tr>
      <w:tr>
        <w:trPr>
          <w:trHeight w:val="221"/>
        </w:trPr>
        <w:tc>
          <w:tcPr>
            <w:tcW w:w="4180" w:type="dxa"/>
            <w:vAlign w:val="bottom"/>
          </w:tcPr>
          <w:p>
            <w:pPr>
              <w:ind w:left="100"/>
              <w:spacing w:after="0"/>
              <w:rPr>
                <w:sz w:val="20"/>
                <w:szCs w:val="20"/>
                <w:color w:val="auto"/>
              </w:rPr>
            </w:pPr>
            <w:r>
              <w:rPr>
                <w:rFonts w:ascii="Arial" w:cs="Arial" w:eastAsia="Arial" w:hAnsi="Arial"/>
                <w:sz w:val="16"/>
                <w:szCs w:val="16"/>
                <w:color w:val="0D0E10"/>
              </w:rPr>
              <w:t>Adam D’Angelo</w:t>
            </w:r>
          </w:p>
        </w:tc>
        <w:tc>
          <w:tcPr>
            <w:tcW w:w="3520" w:type="dxa"/>
            <w:vAlign w:val="bottom"/>
          </w:tcPr>
          <w:p>
            <w:pPr>
              <w:jc w:val="center"/>
              <w:ind w:right="182"/>
              <w:spacing w:after="0"/>
              <w:rPr>
                <w:sz w:val="20"/>
                <w:szCs w:val="20"/>
                <w:color w:val="auto"/>
              </w:rPr>
            </w:pPr>
            <w:r>
              <w:rPr>
                <w:rFonts w:ascii="Arial" w:cs="Arial" w:eastAsia="Arial" w:hAnsi="Arial"/>
                <w:sz w:val="16"/>
                <w:szCs w:val="16"/>
                <w:color w:val="0D0E10"/>
              </w:rPr>
              <w:t>31,160</w:t>
            </w:r>
          </w:p>
        </w:tc>
        <w:tc>
          <w:tcPr>
            <w:tcW w:w="3440" w:type="dxa"/>
            <w:vAlign w:val="bottom"/>
          </w:tcPr>
          <w:p>
            <w:pPr>
              <w:jc w:val="center"/>
              <w:ind w:right="319"/>
              <w:spacing w:after="0"/>
              <w:rPr>
                <w:sz w:val="20"/>
                <w:szCs w:val="20"/>
                <w:color w:val="auto"/>
              </w:rPr>
            </w:pPr>
            <w:r>
              <w:rPr>
                <w:rFonts w:ascii="Arial" w:cs="Arial" w:eastAsia="Arial" w:hAnsi="Arial"/>
                <w:sz w:val="16"/>
                <w:szCs w:val="16"/>
                <w:color w:val="0D0E10"/>
                <w:w w:val="99"/>
              </w:rPr>
              <w:t>1,679</w:t>
            </w:r>
          </w:p>
        </w:tc>
      </w:tr>
      <w:tr>
        <w:trPr>
          <w:trHeight w:val="29"/>
        </w:trPr>
        <w:tc>
          <w:tcPr>
            <w:tcW w:w="4180" w:type="dxa"/>
            <w:vAlign w:val="bottom"/>
            <w:tcBorders>
              <w:bottom w:val="single" w:sz="8" w:color="A5A4A3"/>
            </w:tcBorders>
          </w:tcPr>
          <w:p>
            <w:pPr>
              <w:spacing w:after="0"/>
              <w:rPr>
                <w:sz w:val="2"/>
                <w:szCs w:val="2"/>
                <w:color w:val="auto"/>
              </w:rPr>
            </w:pPr>
          </w:p>
        </w:tc>
        <w:tc>
          <w:tcPr>
            <w:tcW w:w="3520" w:type="dxa"/>
            <w:vAlign w:val="bottom"/>
            <w:tcBorders>
              <w:bottom w:val="single" w:sz="8" w:color="A5A4A3"/>
            </w:tcBorders>
          </w:tcPr>
          <w:p>
            <w:pPr>
              <w:spacing w:after="0"/>
              <w:rPr>
                <w:sz w:val="2"/>
                <w:szCs w:val="2"/>
                <w:color w:val="auto"/>
              </w:rPr>
            </w:pPr>
          </w:p>
        </w:tc>
        <w:tc>
          <w:tcPr>
            <w:tcW w:w="3440" w:type="dxa"/>
            <w:vAlign w:val="bottom"/>
            <w:tcBorders>
              <w:bottom w:val="single" w:sz="8" w:color="A5A4A3"/>
            </w:tcBorders>
          </w:tcPr>
          <w:p>
            <w:pPr>
              <w:spacing w:after="0"/>
              <w:rPr>
                <w:sz w:val="2"/>
                <w:szCs w:val="2"/>
                <w:color w:val="auto"/>
              </w:rPr>
            </w:pPr>
          </w:p>
        </w:tc>
      </w:tr>
      <w:tr>
        <w:trPr>
          <w:trHeight w:val="221"/>
        </w:trPr>
        <w:tc>
          <w:tcPr>
            <w:tcW w:w="4180" w:type="dxa"/>
            <w:vAlign w:val="bottom"/>
          </w:tcPr>
          <w:p>
            <w:pPr>
              <w:ind w:left="100"/>
              <w:spacing w:after="0"/>
              <w:rPr>
                <w:sz w:val="20"/>
                <w:szCs w:val="20"/>
                <w:color w:val="auto"/>
              </w:rPr>
            </w:pPr>
            <w:r>
              <w:rPr>
                <w:rFonts w:ascii="Arial" w:cs="Arial" w:eastAsia="Arial" w:hAnsi="Arial"/>
                <w:sz w:val="16"/>
                <w:szCs w:val="16"/>
                <w:color w:val="0D0E10"/>
              </w:rPr>
              <w:t>Andrew Lindsay</w:t>
            </w:r>
          </w:p>
        </w:tc>
        <w:tc>
          <w:tcPr>
            <w:tcW w:w="3520" w:type="dxa"/>
            <w:vAlign w:val="bottom"/>
          </w:tcPr>
          <w:p>
            <w:pPr>
              <w:jc w:val="center"/>
              <w:ind w:right="162"/>
              <w:spacing w:after="0"/>
              <w:rPr>
                <w:sz w:val="20"/>
                <w:szCs w:val="20"/>
                <w:color w:val="auto"/>
              </w:rPr>
            </w:pPr>
            <w:r>
              <w:rPr>
                <w:rFonts w:ascii="Arial" w:cs="Arial" w:eastAsia="Arial" w:hAnsi="Arial"/>
                <w:sz w:val="16"/>
                <w:szCs w:val="16"/>
                <w:color w:val="0D0E10"/>
                <w:w w:val="99"/>
              </w:rPr>
              <w:t>—</w:t>
            </w:r>
          </w:p>
        </w:tc>
        <w:tc>
          <w:tcPr>
            <w:tcW w:w="3440" w:type="dxa"/>
            <w:vAlign w:val="bottom"/>
          </w:tcPr>
          <w:p>
            <w:pPr>
              <w:jc w:val="center"/>
              <w:ind w:right="319"/>
              <w:spacing w:after="0"/>
              <w:rPr>
                <w:sz w:val="20"/>
                <w:szCs w:val="20"/>
                <w:color w:val="auto"/>
              </w:rPr>
            </w:pPr>
            <w:r>
              <w:rPr>
                <w:rFonts w:ascii="Arial" w:cs="Arial" w:eastAsia="Arial" w:hAnsi="Arial"/>
                <w:sz w:val="16"/>
                <w:szCs w:val="16"/>
                <w:color w:val="0D0E10"/>
                <w:w w:val="99"/>
              </w:rPr>
              <w:t>—</w:t>
            </w:r>
          </w:p>
        </w:tc>
      </w:tr>
      <w:tr>
        <w:trPr>
          <w:trHeight w:val="29"/>
        </w:trPr>
        <w:tc>
          <w:tcPr>
            <w:tcW w:w="4180" w:type="dxa"/>
            <w:vAlign w:val="bottom"/>
            <w:tcBorders>
              <w:bottom w:val="single" w:sz="8" w:color="A5A4A3"/>
            </w:tcBorders>
          </w:tcPr>
          <w:p>
            <w:pPr>
              <w:spacing w:after="0"/>
              <w:rPr>
                <w:sz w:val="2"/>
                <w:szCs w:val="2"/>
                <w:color w:val="auto"/>
              </w:rPr>
            </w:pPr>
          </w:p>
        </w:tc>
        <w:tc>
          <w:tcPr>
            <w:tcW w:w="3520" w:type="dxa"/>
            <w:vAlign w:val="bottom"/>
            <w:tcBorders>
              <w:bottom w:val="single" w:sz="8" w:color="A5A4A3"/>
            </w:tcBorders>
          </w:tcPr>
          <w:p>
            <w:pPr>
              <w:spacing w:after="0"/>
              <w:rPr>
                <w:sz w:val="2"/>
                <w:szCs w:val="2"/>
                <w:color w:val="auto"/>
              </w:rPr>
            </w:pPr>
          </w:p>
        </w:tc>
        <w:tc>
          <w:tcPr>
            <w:tcW w:w="3440" w:type="dxa"/>
            <w:vAlign w:val="bottom"/>
            <w:tcBorders>
              <w:bottom w:val="single" w:sz="8" w:color="A5A4A3"/>
            </w:tcBorders>
          </w:tcPr>
          <w:p>
            <w:pPr>
              <w:spacing w:after="0"/>
              <w:rPr>
                <w:sz w:val="2"/>
                <w:szCs w:val="2"/>
                <w:color w:val="auto"/>
              </w:rPr>
            </w:pPr>
          </w:p>
        </w:tc>
      </w:tr>
      <w:tr>
        <w:trPr>
          <w:trHeight w:val="250"/>
        </w:trPr>
        <w:tc>
          <w:tcPr>
            <w:tcW w:w="41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Lorrie Norrington</w:t>
            </w:r>
            <w:r>
              <w:rPr>
                <w:rFonts w:ascii="Arial" w:cs="Arial" w:eastAsia="Arial" w:hAnsi="Arial"/>
                <w:sz w:val="21"/>
                <w:szCs w:val="21"/>
                <w:color w:val="0D0E10"/>
                <w:vertAlign w:val="superscript"/>
              </w:rPr>
              <w:t>(2)</w:t>
            </w:r>
          </w:p>
        </w:tc>
        <w:tc>
          <w:tcPr>
            <w:tcW w:w="3520" w:type="dxa"/>
            <w:vAlign w:val="bottom"/>
            <w:tcBorders>
              <w:bottom w:val="single" w:sz="8" w:color="A5A4A3"/>
            </w:tcBorders>
          </w:tcPr>
          <w:p>
            <w:pPr>
              <w:jc w:val="center"/>
              <w:ind w:right="182"/>
              <w:spacing w:after="0"/>
              <w:rPr>
                <w:sz w:val="20"/>
                <w:szCs w:val="20"/>
                <w:color w:val="auto"/>
              </w:rPr>
            </w:pPr>
            <w:r>
              <w:rPr>
                <w:rFonts w:ascii="Arial" w:cs="Arial" w:eastAsia="Arial" w:hAnsi="Arial"/>
                <w:sz w:val="16"/>
                <w:szCs w:val="16"/>
                <w:color w:val="0D0E10"/>
              </w:rPr>
              <w:t>59,048</w:t>
            </w:r>
          </w:p>
        </w:tc>
        <w:tc>
          <w:tcPr>
            <w:tcW w:w="3440" w:type="dxa"/>
            <w:vAlign w:val="bottom"/>
            <w:tcBorders>
              <w:bottom w:val="single" w:sz="8" w:color="A5A4A3"/>
            </w:tcBorders>
          </w:tcPr>
          <w:p>
            <w:pPr>
              <w:jc w:val="center"/>
              <w:ind w:right="319"/>
              <w:spacing w:after="0"/>
              <w:rPr>
                <w:sz w:val="20"/>
                <w:szCs w:val="20"/>
                <w:color w:val="auto"/>
              </w:rPr>
            </w:pPr>
            <w:r>
              <w:rPr>
                <w:rFonts w:ascii="Arial" w:cs="Arial" w:eastAsia="Arial" w:hAnsi="Arial"/>
                <w:sz w:val="16"/>
                <w:szCs w:val="16"/>
                <w:color w:val="0D0E10"/>
                <w:w w:val="99"/>
              </w:rPr>
              <w:t>3,171</w:t>
            </w:r>
          </w:p>
        </w:tc>
      </w:tr>
      <w:tr>
        <w:trPr>
          <w:trHeight w:val="221"/>
        </w:trPr>
        <w:tc>
          <w:tcPr>
            <w:tcW w:w="4180" w:type="dxa"/>
            <w:vAlign w:val="bottom"/>
          </w:tcPr>
          <w:p>
            <w:pPr>
              <w:ind w:left="100"/>
              <w:spacing w:after="0"/>
              <w:rPr>
                <w:sz w:val="20"/>
                <w:szCs w:val="20"/>
                <w:color w:val="auto"/>
              </w:rPr>
            </w:pPr>
            <w:r>
              <w:rPr>
                <w:rFonts w:ascii="Arial" w:cs="Arial" w:eastAsia="Arial" w:hAnsi="Arial"/>
                <w:sz w:val="16"/>
                <w:szCs w:val="16"/>
                <w:color w:val="0D0E10"/>
              </w:rPr>
              <w:t>Justin Rosenstein</w:t>
            </w:r>
          </w:p>
        </w:tc>
        <w:tc>
          <w:tcPr>
            <w:tcW w:w="3520" w:type="dxa"/>
            <w:vAlign w:val="bottom"/>
          </w:tcPr>
          <w:p>
            <w:pPr>
              <w:jc w:val="center"/>
              <w:ind w:right="162"/>
              <w:spacing w:after="0"/>
              <w:rPr>
                <w:sz w:val="20"/>
                <w:szCs w:val="20"/>
                <w:color w:val="auto"/>
              </w:rPr>
            </w:pPr>
            <w:r>
              <w:rPr>
                <w:rFonts w:ascii="Arial" w:cs="Arial" w:eastAsia="Arial" w:hAnsi="Arial"/>
                <w:sz w:val="16"/>
                <w:szCs w:val="16"/>
                <w:color w:val="0D0E10"/>
                <w:w w:val="99"/>
              </w:rPr>
              <w:t>—</w:t>
            </w:r>
          </w:p>
        </w:tc>
        <w:tc>
          <w:tcPr>
            <w:tcW w:w="3440" w:type="dxa"/>
            <w:vAlign w:val="bottom"/>
          </w:tcPr>
          <w:p>
            <w:pPr>
              <w:jc w:val="center"/>
              <w:ind w:right="319"/>
              <w:spacing w:after="0"/>
              <w:rPr>
                <w:sz w:val="20"/>
                <w:szCs w:val="20"/>
                <w:color w:val="auto"/>
              </w:rPr>
            </w:pPr>
            <w:r>
              <w:rPr>
                <w:rFonts w:ascii="Arial" w:cs="Arial" w:eastAsia="Arial" w:hAnsi="Arial"/>
                <w:sz w:val="16"/>
                <w:szCs w:val="16"/>
                <w:color w:val="0D0E10"/>
                <w:w w:val="99"/>
              </w:rPr>
              <w:t>—</w:t>
            </w:r>
          </w:p>
        </w:tc>
      </w:tr>
      <w:tr>
        <w:trPr>
          <w:trHeight w:val="29"/>
        </w:trPr>
        <w:tc>
          <w:tcPr>
            <w:tcW w:w="4180" w:type="dxa"/>
            <w:vAlign w:val="bottom"/>
            <w:tcBorders>
              <w:bottom w:val="single" w:sz="8" w:color="A5A4A3"/>
            </w:tcBorders>
          </w:tcPr>
          <w:p>
            <w:pPr>
              <w:spacing w:after="0"/>
              <w:rPr>
                <w:sz w:val="2"/>
                <w:szCs w:val="2"/>
                <w:color w:val="auto"/>
              </w:rPr>
            </w:pPr>
          </w:p>
        </w:tc>
        <w:tc>
          <w:tcPr>
            <w:tcW w:w="3520" w:type="dxa"/>
            <w:vAlign w:val="bottom"/>
            <w:tcBorders>
              <w:bottom w:val="single" w:sz="8" w:color="A5A4A3"/>
            </w:tcBorders>
          </w:tcPr>
          <w:p>
            <w:pPr>
              <w:spacing w:after="0"/>
              <w:rPr>
                <w:sz w:val="2"/>
                <w:szCs w:val="2"/>
                <w:color w:val="auto"/>
              </w:rPr>
            </w:pPr>
          </w:p>
        </w:tc>
        <w:tc>
          <w:tcPr>
            <w:tcW w:w="3440" w:type="dxa"/>
            <w:vAlign w:val="bottom"/>
            <w:tcBorders>
              <w:bottom w:val="single" w:sz="8" w:color="A5A4A3"/>
            </w:tcBorders>
          </w:tcPr>
          <w:p>
            <w:pPr>
              <w:spacing w:after="0"/>
              <w:rPr>
                <w:sz w:val="2"/>
                <w:szCs w:val="2"/>
                <w:color w:val="auto"/>
              </w:rPr>
            </w:pPr>
          </w:p>
        </w:tc>
      </w:tr>
      <w:tr>
        <w:trPr>
          <w:trHeight w:val="250"/>
        </w:trPr>
        <w:tc>
          <w:tcPr>
            <w:tcW w:w="41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Amit Singh</w:t>
            </w:r>
            <w:r>
              <w:rPr>
                <w:rFonts w:ascii="Arial" w:cs="Arial" w:eastAsia="Arial" w:hAnsi="Arial"/>
                <w:sz w:val="21"/>
                <w:szCs w:val="21"/>
                <w:color w:val="0D0E10"/>
                <w:vertAlign w:val="superscript"/>
              </w:rPr>
              <w:t>(3)</w:t>
            </w:r>
          </w:p>
        </w:tc>
        <w:tc>
          <w:tcPr>
            <w:tcW w:w="3520" w:type="dxa"/>
            <w:vAlign w:val="bottom"/>
            <w:tcBorders>
              <w:bottom w:val="single" w:sz="8" w:color="A5A4A3"/>
            </w:tcBorders>
          </w:tcPr>
          <w:p>
            <w:pPr>
              <w:jc w:val="center"/>
              <w:ind w:right="182"/>
              <w:spacing w:after="0"/>
              <w:rPr>
                <w:sz w:val="20"/>
                <w:szCs w:val="20"/>
                <w:color w:val="auto"/>
              </w:rPr>
            </w:pPr>
            <w:r>
              <w:rPr>
                <w:rFonts w:ascii="Arial" w:cs="Arial" w:eastAsia="Arial" w:hAnsi="Arial"/>
                <w:sz w:val="16"/>
                <w:szCs w:val="16"/>
                <w:color w:val="0D0E10"/>
              </w:rPr>
              <w:t>29,226</w:t>
            </w:r>
          </w:p>
        </w:tc>
        <w:tc>
          <w:tcPr>
            <w:tcW w:w="3440" w:type="dxa"/>
            <w:vAlign w:val="bottom"/>
            <w:tcBorders>
              <w:bottom w:val="single" w:sz="8" w:color="A5A4A3"/>
            </w:tcBorders>
          </w:tcPr>
          <w:p>
            <w:pPr>
              <w:jc w:val="center"/>
              <w:ind w:right="319"/>
              <w:spacing w:after="0"/>
              <w:rPr>
                <w:sz w:val="20"/>
                <w:szCs w:val="20"/>
                <w:color w:val="auto"/>
              </w:rPr>
            </w:pPr>
            <w:r>
              <w:rPr>
                <w:rFonts w:ascii="Arial" w:cs="Arial" w:eastAsia="Arial" w:hAnsi="Arial"/>
                <w:sz w:val="16"/>
                <w:szCs w:val="16"/>
                <w:color w:val="0D0E10"/>
                <w:w w:val="99"/>
              </w:rPr>
              <w:t>1,526</w:t>
            </w:r>
          </w:p>
        </w:tc>
      </w:tr>
    </w:tbl>
    <w:p>
      <w:pPr>
        <w:spacing w:after="0" w:line="203" w:lineRule="exact"/>
        <w:rPr>
          <w:sz w:val="20"/>
          <w:szCs w:val="20"/>
          <w:color w:val="auto"/>
        </w:rPr>
      </w:pPr>
    </w:p>
    <w:p>
      <w:pPr>
        <w:ind w:left="340" w:hanging="332"/>
        <w:spacing w:after="0" w:line="303" w:lineRule="auto"/>
        <w:tabs>
          <w:tab w:leader="none" w:pos="343" w:val="left"/>
        </w:tabs>
        <w:numPr>
          <w:ilvl w:val="0"/>
          <w:numId w:val="28"/>
        </w:numPr>
        <w:rPr>
          <w:rFonts w:ascii="Arial" w:cs="Arial" w:eastAsia="Arial" w:hAnsi="Arial"/>
          <w:sz w:val="13"/>
          <w:szCs w:val="13"/>
          <w:color w:val="0D0E10"/>
        </w:rPr>
      </w:pPr>
      <w:r>
        <w:rPr>
          <w:rFonts w:ascii="Arial" w:cs="Arial" w:eastAsia="Arial" w:hAnsi="Arial"/>
          <w:sz w:val="13"/>
          <w:szCs w:val="13"/>
          <w:color w:val="0D0E10"/>
        </w:rPr>
        <w:t>The number of shares of our Class A common stock received in lieu of cash was calculated based on the closing price of a share of our Class A common stock on (a) April 28, 2023 with respect to shares of our Class A common stock received in lieu of cash for a non-employee director’s service during the first quarter of fiscal year 2023, (b) July 31, 2023 with respect to shares of our Class A common stock received in lieu of cash for a non-employee director’s service during the second quarter of fiscal year 2023, (c) October 31, 2023 with respect to shares of our Class A common stock received in lieu of cash for a non-employee director’s service during the third quarter of fiscal year 2024, and (d) January 31, 2024 with respect to shares of our Class A common stock received in lieu of cash for a non-employee director’s service during the fourth quarter of fiscal year 2023.</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25</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0" w:name="page31"/>
    <w:bookmarkEnd w:id="30"/>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right="40" w:hanging="332"/>
        <w:spacing w:after="0" w:line="335" w:lineRule="auto"/>
        <w:tabs>
          <w:tab w:leader="none" w:pos="343" w:val="left"/>
        </w:tabs>
        <w:numPr>
          <w:ilvl w:val="0"/>
          <w:numId w:val="29"/>
        </w:numPr>
        <w:rPr>
          <w:rFonts w:ascii="Arial" w:cs="Arial" w:eastAsia="Arial" w:hAnsi="Arial"/>
          <w:sz w:val="13"/>
          <w:szCs w:val="13"/>
          <w:color w:val="0D0E10"/>
        </w:rPr>
      </w:pPr>
      <w:r>
        <w:rPr>
          <w:rFonts w:ascii="Arial" w:cs="Arial" w:eastAsia="Arial" w:hAnsi="Arial"/>
          <w:sz w:val="13"/>
          <w:szCs w:val="13"/>
          <w:color w:val="0D0E10"/>
        </w:rPr>
        <w:t>Pursuant to the Directors’ Deferred Compensation Plan, Ms. Norrington elected to defer receipt of all of her director fees earned on or after January 1, 2021, including 3,171 shares of our Class A common stock issuable to Ms. Norrington in lieu of cash fees earned in fiscal year 2024 pursuant to our Non-Employee Director Compensation Policy.</w:t>
      </w:r>
    </w:p>
    <w:p>
      <w:pPr>
        <w:spacing w:after="0" w:line="1" w:lineRule="exact"/>
        <w:rPr>
          <w:rFonts w:ascii="Arial" w:cs="Arial" w:eastAsia="Arial" w:hAnsi="Arial"/>
          <w:sz w:val="13"/>
          <w:szCs w:val="13"/>
          <w:color w:val="0D0E10"/>
        </w:rPr>
      </w:pPr>
    </w:p>
    <w:p>
      <w:pPr>
        <w:ind w:left="340" w:right="20" w:hanging="332"/>
        <w:spacing w:after="0" w:line="310" w:lineRule="auto"/>
        <w:tabs>
          <w:tab w:leader="none" w:pos="343" w:val="left"/>
        </w:tabs>
        <w:numPr>
          <w:ilvl w:val="0"/>
          <w:numId w:val="29"/>
        </w:numPr>
        <w:rPr>
          <w:rFonts w:ascii="Arial" w:cs="Arial" w:eastAsia="Arial" w:hAnsi="Arial"/>
          <w:sz w:val="13"/>
          <w:szCs w:val="13"/>
          <w:color w:val="0D0E10"/>
        </w:rPr>
      </w:pPr>
      <w:r>
        <w:rPr>
          <w:rFonts w:ascii="Arial" w:cs="Arial" w:eastAsia="Arial" w:hAnsi="Arial"/>
          <w:sz w:val="13"/>
          <w:szCs w:val="13"/>
          <w:color w:val="0D0E10"/>
        </w:rPr>
        <w:t>Pursuant to the Directors’ Deferred Compensation Plan, Mr. Singh elected to defer receipt of all of his director fees earned on or after January 1, 2022, including 1,526 shares of our Class A common stock issuable to Mr. Singh in lieu of cash fees earned in fiscal year 2024 pursuant to our Non-Employee Director Compensation Policy. Pursuant to the terms of the Directors’ Deferred Compensation Plan, Mr. Singh’s deferral election expired following his resignation from the Board of Directors effective December 8, 2023 and the prorated portion of Mr. Singh’s fees payable in arrears for the quarter in which he resigned (equal to $3,098) were paid in cash rather than in shares of our Class A common stock.</w:t>
      </w:r>
    </w:p>
    <w:p>
      <w:pPr>
        <w:spacing w:after="0" w:line="112" w:lineRule="exact"/>
        <w:rPr>
          <w:sz w:val="20"/>
          <w:szCs w:val="20"/>
          <w:color w:val="auto"/>
        </w:rPr>
      </w:pPr>
    </w:p>
    <w:p>
      <w:pPr>
        <w:ind w:right="760"/>
        <w:spacing w:after="0" w:line="334" w:lineRule="auto"/>
        <w:rPr>
          <w:sz w:val="20"/>
          <w:szCs w:val="20"/>
          <w:color w:val="auto"/>
        </w:rPr>
      </w:pPr>
      <w:r>
        <w:rPr>
          <w:rFonts w:ascii="Arial" w:cs="Arial" w:eastAsia="Arial" w:hAnsi="Arial"/>
          <w:sz w:val="18"/>
          <w:szCs w:val="18"/>
          <w:color w:val="0D0E10"/>
        </w:rPr>
        <w:t>Mr. Moskovitz, our CEO, is also a director but does not receive any compensation for his service as a director. See the section titled “Executive Compensation” for additional information about the compensation paid to Mr. Moskovitz.</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26</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1" w:name="page32"/>
    <w:bookmarkEnd w:id="31"/>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Corporate Responsibility and Sustainability</w:t>
      </w:r>
    </w:p>
    <w:p>
      <w:pPr>
        <w:spacing w:after="0" w:line="366" w:lineRule="exact"/>
        <w:rPr>
          <w:sz w:val="20"/>
          <w:szCs w:val="20"/>
          <w:color w:val="auto"/>
        </w:rPr>
      </w:pPr>
    </w:p>
    <w:p>
      <w:pPr>
        <w:ind w:right="180"/>
        <w:spacing w:after="0" w:line="308" w:lineRule="auto"/>
        <w:rPr>
          <w:sz w:val="20"/>
          <w:szCs w:val="20"/>
          <w:color w:val="auto"/>
        </w:rPr>
      </w:pPr>
      <w:r>
        <w:rPr>
          <w:rFonts w:ascii="Arial" w:cs="Arial" w:eastAsia="Arial" w:hAnsi="Arial"/>
          <w:sz w:val="18"/>
          <w:szCs w:val="18"/>
          <w:color w:val="0D0E10"/>
        </w:rPr>
        <w:t>At Asana, our mission is to help humanity thrive by enabling the world’s teams to work together effortlessly. When it comes to solving the world's most pressing challenges, the solution lies in working better and smarter, together. At Asana, we're dedicated to empowering teams to make significant strides for people, the planet, and their organizations.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0D0E10"/>
        </w:rPr>
        <w:t>Our platform is designed for leaders, innovators, and problem-solvers, facilitating crucial discussions and workflows on vital issues that benefit humanity. We harness powerful, AI-enabled solutions to take the guesswork out of strategic planning so people can thrive and focus on achieving their goals.</w:t>
      </w:r>
    </w:p>
    <w:p>
      <w:pPr>
        <w:spacing w:after="0" w:line="121" w:lineRule="exact"/>
        <w:rPr>
          <w:sz w:val="20"/>
          <w:szCs w:val="20"/>
          <w:color w:val="auto"/>
        </w:rPr>
      </w:pPr>
    </w:p>
    <w:p>
      <w:pPr>
        <w:spacing w:after="0" w:line="334" w:lineRule="auto"/>
        <w:rPr>
          <w:sz w:val="20"/>
          <w:szCs w:val="20"/>
          <w:color w:val="auto"/>
        </w:rPr>
      </w:pPr>
      <w:r>
        <w:rPr>
          <w:rFonts w:ascii="Arial" w:cs="Arial" w:eastAsia="Arial" w:hAnsi="Arial"/>
          <w:sz w:val="18"/>
          <w:szCs w:val="18"/>
          <w:color w:val="0D0E10"/>
        </w:rPr>
        <w:t>We channel our people and product to foster positive impact for humanity and the planet. We're committed to building a sustainable, inclusive workplace, ensuring ethical practices, and promoting technological resilience.</w:t>
      </w:r>
    </w:p>
    <w:p>
      <w:pPr>
        <w:spacing w:after="0" w:line="85" w:lineRule="exact"/>
        <w:rPr>
          <w:sz w:val="20"/>
          <w:szCs w:val="20"/>
          <w:color w:val="auto"/>
        </w:rPr>
      </w:pPr>
    </w:p>
    <w:p>
      <w:pPr>
        <w:ind w:right="220"/>
        <w:spacing w:after="0" w:line="304" w:lineRule="auto"/>
        <w:rPr>
          <w:sz w:val="20"/>
          <w:szCs w:val="20"/>
          <w:color w:val="auto"/>
        </w:rPr>
      </w:pPr>
      <w:r>
        <w:rPr>
          <w:rFonts w:ascii="Arial" w:cs="Arial" w:eastAsia="Arial" w:hAnsi="Arial"/>
          <w:sz w:val="18"/>
          <w:szCs w:val="18"/>
          <w:color w:val="0D0E10"/>
        </w:rPr>
        <w:t>Like all companies, we intend to create great returns for our stockholders. We are also deeply committed to benefiting all our stakeholders: our customers, our employees, our partners, our communities, the environment, and humanity. Asana’s founders, Dustin Moskovitz and Justin Rosenstein, are individually Asana’s largest stockholders. Both Mr. Moskovitz and Mr. Rosenstein have pledged to use 100% of the value of their Asana equity for philanthropic purposes.</w:t>
      </w:r>
    </w:p>
    <w:p>
      <w:pPr>
        <w:spacing w:after="0" w:line="126" w:lineRule="exact"/>
        <w:rPr>
          <w:sz w:val="20"/>
          <w:szCs w:val="20"/>
          <w:color w:val="auto"/>
        </w:rPr>
      </w:pPr>
    </w:p>
    <w:p>
      <w:pPr>
        <w:ind w:right="80"/>
        <w:spacing w:after="0" w:line="304" w:lineRule="auto"/>
        <w:rPr>
          <w:sz w:val="20"/>
          <w:szCs w:val="20"/>
          <w:color w:val="auto"/>
        </w:rPr>
      </w:pPr>
      <w:r>
        <w:rPr>
          <w:rFonts w:ascii="Arial" w:cs="Arial" w:eastAsia="Arial" w:hAnsi="Arial"/>
          <w:sz w:val="18"/>
          <w:szCs w:val="18"/>
          <w:color w:val="0D0E10"/>
        </w:rPr>
        <w:t>We built Asana because the work people do together matters. From curing diseases and developing clean energy to building local schools and creating global movements, progress depends on teamwork. This is why it’s mission-critical that our company culture enables employees to do their most impactful work as effortlessly as possible, so we can empower even more of the world’s organizations to achieve their own missions.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0D0E10"/>
        </w:rPr>
        <w:t>Our Culture</w:t>
      </w:r>
    </w:p>
    <w:p>
      <w:pPr>
        <w:spacing w:after="0" w:line="119"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We aim to be the change we want to see in the workplace. This strategy makes us a better company and contributes to the type of culture we want to work in: one of high impact and deep belonging. From the very beginning, we’ve been intentional about how we build our culture at Asana, and our company values are its foundation. They guide us on how we show up and work together so we can achieve our mission. Particularly during this time of global workplace transformation, it’s critical to have a north star that guides our work as we scale, which we believe will ultimately help us to achieve our mission. Our values help us make it happen.</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27</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32" w:name="page33"/>
    <w:bookmarkEnd w:id="32"/>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CORPORATE RESPONSIBILITY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632460</wp:posOffset>
            </wp:positionV>
            <wp:extent cx="4800600" cy="2400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006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304" w:lineRule="auto"/>
        <w:rPr>
          <w:sz w:val="20"/>
          <w:szCs w:val="20"/>
          <w:color w:val="auto"/>
        </w:rPr>
      </w:pPr>
      <w:r>
        <w:rPr>
          <w:rFonts w:ascii="Arial" w:cs="Arial" w:eastAsia="Arial" w:hAnsi="Arial"/>
          <w:sz w:val="18"/>
          <w:szCs w:val="18"/>
          <w:color w:val="0D0E10"/>
        </w:rPr>
        <w:t>We firmly believe that a strong and positive culture is the foundation for driving exceptional business results. As of January 31, 2024, our Glassdoor overall score was 4.2 out of 5.0, including an 87% approval rating of our CEO, and a 81% 5-star ratings distribution. During 2023, we were recognized with the following awards that highlight our unwavering dedication to co-creating an environment where our employees thrive and ultimately, drive the growth and success of our customers:</w:t>
      </w:r>
    </w:p>
    <w:p>
      <w:pPr>
        <w:spacing w:after="0" w:line="112" w:lineRule="exact"/>
        <w:rPr>
          <w:sz w:val="20"/>
          <w:szCs w:val="20"/>
          <w:color w:val="auto"/>
        </w:rPr>
      </w:pPr>
    </w:p>
    <w:p>
      <w:pPr>
        <w:ind w:left="620" w:hanging="288"/>
        <w:spacing w:after="0"/>
        <w:tabs>
          <w:tab w:leader="none" w:pos="620" w:val="left"/>
        </w:tabs>
        <w:numPr>
          <w:ilvl w:val="0"/>
          <w:numId w:val="30"/>
        </w:numPr>
        <w:rPr>
          <w:rFonts w:ascii="Arial" w:cs="Arial" w:eastAsia="Arial" w:hAnsi="Arial"/>
          <w:sz w:val="18"/>
          <w:szCs w:val="18"/>
          <w:color w:val="0D0E10"/>
        </w:rPr>
      </w:pPr>
      <w:r>
        <w:rPr>
          <w:rFonts w:ascii="Arial" w:cs="Arial" w:eastAsia="Arial" w:hAnsi="Arial"/>
          <w:sz w:val="18"/>
          <w:szCs w:val="18"/>
          <w:color w:val="0D0E10"/>
        </w:rPr>
        <w:t>Fortune and Great Place to Work’s Best Workplace in Technology, for the sixth year in a row (#19 in 2023);</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30"/>
        </w:numPr>
        <w:rPr>
          <w:rFonts w:ascii="Arial" w:cs="Arial" w:eastAsia="Arial" w:hAnsi="Arial"/>
          <w:sz w:val="18"/>
          <w:szCs w:val="18"/>
          <w:color w:val="0D0E10"/>
        </w:rPr>
      </w:pPr>
      <w:r>
        <w:rPr>
          <w:rFonts w:ascii="Arial" w:cs="Arial" w:eastAsia="Arial" w:hAnsi="Arial"/>
          <w:sz w:val="18"/>
          <w:szCs w:val="18"/>
          <w:color w:val="0D0E10"/>
        </w:rPr>
        <w:t>Fortune and Great Place to Work’s Best Workplace for Millennials, for the sixth year in a row (#8 in 2023);</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30"/>
        </w:numPr>
        <w:rPr>
          <w:rFonts w:ascii="Arial" w:cs="Arial" w:eastAsia="Arial" w:hAnsi="Arial"/>
          <w:sz w:val="18"/>
          <w:szCs w:val="18"/>
          <w:color w:val="0D0E10"/>
        </w:rPr>
      </w:pPr>
      <w:r>
        <w:rPr>
          <w:rFonts w:ascii="Arial" w:cs="Arial" w:eastAsia="Arial" w:hAnsi="Arial"/>
          <w:sz w:val="18"/>
          <w:szCs w:val="18"/>
          <w:color w:val="0D0E10"/>
        </w:rPr>
        <w:t>Fortune and Great Place to Work’s Best Workplace in the Bay Area, for the seventh year in a row;</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30"/>
        </w:numPr>
        <w:rPr>
          <w:rFonts w:ascii="Arial" w:cs="Arial" w:eastAsia="Arial" w:hAnsi="Arial"/>
          <w:sz w:val="18"/>
          <w:szCs w:val="18"/>
          <w:color w:val="0D0E10"/>
        </w:rPr>
      </w:pPr>
      <w:r>
        <w:rPr>
          <w:rFonts w:ascii="Arial" w:cs="Arial" w:eastAsia="Arial" w:hAnsi="Arial"/>
          <w:sz w:val="18"/>
          <w:szCs w:val="18"/>
          <w:color w:val="0D0E10"/>
        </w:rPr>
        <w:t>Inc’s Best Workplaces, for the sixth year in a row;</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30"/>
        </w:numPr>
        <w:rPr>
          <w:rFonts w:ascii="Arial" w:cs="Arial" w:eastAsia="Arial" w:hAnsi="Arial"/>
          <w:sz w:val="18"/>
          <w:szCs w:val="18"/>
          <w:color w:val="0D0E10"/>
        </w:rPr>
      </w:pPr>
      <w:r>
        <w:rPr>
          <w:rFonts w:ascii="Arial" w:cs="Arial" w:eastAsia="Arial" w:hAnsi="Arial"/>
          <w:sz w:val="18"/>
          <w:szCs w:val="18"/>
          <w:color w:val="0D0E10"/>
        </w:rPr>
        <w:t>Fast Company’s 2023 Best Workplaces for Innovators in the Enterprise category, and finally;</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30"/>
        </w:numPr>
        <w:rPr>
          <w:rFonts w:ascii="Arial" w:cs="Arial" w:eastAsia="Arial" w:hAnsi="Arial"/>
          <w:sz w:val="18"/>
          <w:szCs w:val="18"/>
          <w:color w:val="0D0E10"/>
        </w:rPr>
      </w:pPr>
      <w:r>
        <w:rPr>
          <w:rFonts w:ascii="Arial" w:cs="Arial" w:eastAsia="Arial" w:hAnsi="Arial"/>
          <w:sz w:val="18"/>
          <w:szCs w:val="18"/>
          <w:color w:val="0D0E10"/>
        </w:rPr>
        <w:t>People Magazine’s Companies Who Care (#90 in 2023).</w:t>
      </w:r>
    </w:p>
    <w:p>
      <w:pPr>
        <w:spacing w:after="0" w:line="198" w:lineRule="exact"/>
        <w:rPr>
          <w:sz w:val="20"/>
          <w:szCs w:val="20"/>
          <w:color w:val="auto"/>
        </w:rPr>
      </w:pPr>
    </w:p>
    <w:p>
      <w:pPr>
        <w:ind w:right="140"/>
        <w:spacing w:after="0" w:line="334" w:lineRule="auto"/>
        <w:rPr>
          <w:sz w:val="20"/>
          <w:szCs w:val="20"/>
          <w:color w:val="auto"/>
        </w:rPr>
      </w:pPr>
      <w:r>
        <w:rPr>
          <w:rFonts w:ascii="Arial" w:cs="Arial" w:eastAsia="Arial" w:hAnsi="Arial"/>
          <w:sz w:val="18"/>
          <w:szCs w:val="18"/>
          <w:color w:val="0D0E10"/>
        </w:rPr>
        <w:t>These achievements are a testament to the value we place on ensuring that Asana employees are connected to our mission and enable us to attract and retain top talent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4534535" cy="1714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34535" cy="1714500"/>
                    </a:xfrm>
                    <a:prstGeom prst="rect">
                      <a:avLst/>
                    </a:prstGeom>
                    <a:noFill/>
                  </pic:spPr>
                </pic:pic>
              </a:graphicData>
            </a:graphic>
          </wp:anchor>
        </w:drawing>
      </w:r>
    </w:p>
    <w:p>
      <w:pPr>
        <w:spacing w:after="0" w:line="380" w:lineRule="exact"/>
        <w:rPr>
          <w:sz w:val="20"/>
          <w:szCs w:val="20"/>
          <w:color w:val="auto"/>
        </w:rPr>
      </w:pPr>
    </w:p>
    <w:p>
      <w:pPr>
        <w:ind w:left="360" w:right="4860"/>
        <w:spacing w:after="0" w:line="263" w:lineRule="auto"/>
        <w:rPr>
          <w:sz w:val="20"/>
          <w:szCs w:val="20"/>
          <w:color w:val="auto"/>
        </w:rPr>
      </w:pPr>
      <w:r>
        <w:rPr>
          <w:rFonts w:ascii="Arial" w:cs="Arial" w:eastAsia="Arial" w:hAnsi="Arial"/>
          <w:sz w:val="32"/>
          <w:szCs w:val="32"/>
          <w:color w:val="727272"/>
        </w:rPr>
        <w:t>We focus on impact and results at Asana. We bring our culture to life in the following ways to enable our employees to do their most impactful work as effortlessly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-1278890</wp:posOffset>
            </wp:positionV>
            <wp:extent cx="1499870" cy="131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9987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28</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3" w:name="page34"/>
    <w:bookmarkEnd w:id="33"/>
    <w:p>
      <w:pPr>
        <w:ind w:left="680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CORPORATE RESPONSIBILITY AND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80" w:hanging="328"/>
        <w:spacing w:after="0" w:line="298" w:lineRule="auto"/>
        <w:tabs>
          <w:tab w:leader="none" w:pos="615" w:val="left"/>
        </w:tabs>
        <w:numPr>
          <w:ilvl w:val="0"/>
          <w:numId w:val="31"/>
        </w:numPr>
        <w:rPr>
          <w:rFonts w:ascii="Arial" w:cs="Arial" w:eastAsia="Arial" w:hAnsi="Arial"/>
          <w:sz w:val="18"/>
          <w:szCs w:val="18"/>
          <w:b w:val="1"/>
          <w:bCs w:val="1"/>
          <w:color w:val="0D0E10"/>
        </w:rPr>
      </w:pPr>
      <w:r>
        <w:rPr>
          <w:rFonts w:ascii="Arial" w:cs="Arial" w:eastAsia="Arial" w:hAnsi="Arial"/>
          <w:sz w:val="18"/>
          <w:szCs w:val="18"/>
          <w:b w:val="1"/>
          <w:bCs w:val="1"/>
          <w:color w:val="F06A6A"/>
        </w:rPr>
        <w:t xml:space="preserve">GROWTH AND IMPACT: </w:t>
      </w:r>
      <w:r>
        <w:rPr>
          <w:rFonts w:ascii="Arial" w:cs="Arial" w:eastAsia="Arial" w:hAnsi="Arial"/>
          <w:sz w:val="18"/>
          <w:szCs w:val="18"/>
          <w:color w:val="0D0E10"/>
        </w:rPr>
        <w:t>We invest deeply in employee growth and impact, from onboarding to ongoing learning and development</w:t>
      </w:r>
      <w:r>
        <w:rPr>
          <w:rFonts w:ascii="Arial" w:cs="Arial" w:eastAsia="Arial" w:hAnsi="Arial"/>
          <w:sz w:val="18"/>
          <w:szCs w:val="18"/>
          <w:b w:val="1"/>
          <w:bCs w:val="1"/>
          <w:color w:val="F06A6A"/>
        </w:rPr>
        <w:t xml:space="preserve"> </w:t>
      </w:r>
      <w:r>
        <w:rPr>
          <w:rFonts w:ascii="Arial" w:cs="Arial" w:eastAsia="Arial" w:hAnsi="Arial"/>
          <w:sz w:val="18"/>
          <w:szCs w:val="18"/>
          <w:color w:val="0D0E10"/>
        </w:rPr>
        <w:t>opportunities. From day one, Asana employees have clarity on how to increase their impact by leveraging our team success guides, participating in annual Growth &amp; Impact conversations and quarterly check-ins, and by giving and receiving peer feedback regularly through our Anytime Feedback program. We also provide conscious leadership training for all employees. Career growth today isn’t always linear, which is why we believe in giving employees multiple pathways and opportunities to make an impact and further their professional development at Asana. Our Areas of Responsibility (AOR) system empowers employees to take ownership and responsibility over parts of the business that stretch them beyond their job description and give them exposure to new opportunities and cross-functional teams.</w:t>
      </w:r>
    </w:p>
    <w:p>
      <w:pPr>
        <w:spacing w:after="0" w:line="9" w:lineRule="exact"/>
        <w:rPr>
          <w:rFonts w:ascii="Arial" w:cs="Arial" w:eastAsia="Arial" w:hAnsi="Arial"/>
          <w:sz w:val="18"/>
          <w:szCs w:val="18"/>
          <w:b w:val="1"/>
          <w:bCs w:val="1"/>
          <w:color w:val="0D0E10"/>
        </w:rPr>
      </w:pPr>
    </w:p>
    <w:p>
      <w:pPr>
        <w:ind w:left="660" w:hanging="328"/>
        <w:spacing w:after="0" w:line="301" w:lineRule="auto"/>
        <w:tabs>
          <w:tab w:leader="none" w:pos="615" w:val="left"/>
        </w:tabs>
        <w:numPr>
          <w:ilvl w:val="0"/>
          <w:numId w:val="31"/>
        </w:numPr>
        <w:rPr>
          <w:rFonts w:ascii="Arial" w:cs="Arial" w:eastAsia="Arial" w:hAnsi="Arial"/>
          <w:sz w:val="18"/>
          <w:szCs w:val="18"/>
          <w:b w:val="1"/>
          <w:bCs w:val="1"/>
          <w:color w:val="0D0E10"/>
        </w:rPr>
      </w:pPr>
      <w:r>
        <w:rPr>
          <w:rFonts w:ascii="Arial" w:cs="Arial" w:eastAsia="Arial" w:hAnsi="Arial"/>
          <w:sz w:val="18"/>
          <w:szCs w:val="18"/>
          <w:b w:val="1"/>
          <w:bCs w:val="1"/>
          <w:color w:val="F06A6A"/>
        </w:rPr>
        <w:t xml:space="preserve">CLARITY: </w:t>
      </w:r>
      <w:r>
        <w:rPr>
          <w:rFonts w:ascii="Arial" w:cs="Arial" w:eastAsia="Arial" w:hAnsi="Arial"/>
          <w:sz w:val="18"/>
          <w:szCs w:val="18"/>
          <w:color w:val="0D0E10"/>
        </w:rPr>
        <w:t>We believe that clarity and transparency in the workplace requires both great technology and a company culture grounded</w:t>
      </w:r>
      <w:r>
        <w:rPr>
          <w:rFonts w:ascii="Arial" w:cs="Arial" w:eastAsia="Arial" w:hAnsi="Arial"/>
          <w:sz w:val="18"/>
          <w:szCs w:val="18"/>
          <w:b w:val="1"/>
          <w:bCs w:val="1"/>
          <w:color w:val="F06A6A"/>
        </w:rPr>
        <w:t xml:space="preserve"> </w:t>
      </w:r>
      <w:r>
        <w:rPr>
          <w:rFonts w:ascii="Arial" w:cs="Arial" w:eastAsia="Arial" w:hAnsi="Arial"/>
          <w:sz w:val="18"/>
          <w:szCs w:val="18"/>
          <w:color w:val="0D0E10"/>
        </w:rPr>
        <w:t>in openness. At quarterly Q&amp;As and company-wide All Hands meetings, the leadership team speaks openly about the state of the company, sharing financial insights, growth metrics, and news. Through our Goals feature in our product, we can provide real-time transparency on achieving our annual high-level priorities company-wide so every employee at Asana understands our shared objectives and how their day-to-day work contributes to achieving those goals, and ultimately, our mission. Keeping employees in the know at every step of the way builds ongoing trust and confidence in our leadership and company.</w:t>
      </w:r>
    </w:p>
    <w:p>
      <w:pPr>
        <w:spacing w:after="0" w:line="8" w:lineRule="exact"/>
        <w:rPr>
          <w:rFonts w:ascii="Arial" w:cs="Arial" w:eastAsia="Arial" w:hAnsi="Arial"/>
          <w:sz w:val="18"/>
          <w:szCs w:val="18"/>
          <w:b w:val="1"/>
          <w:bCs w:val="1"/>
          <w:color w:val="0D0E10"/>
        </w:rPr>
      </w:pPr>
    </w:p>
    <w:p>
      <w:pPr>
        <w:ind w:left="660" w:hanging="328"/>
        <w:spacing w:after="0" w:line="315" w:lineRule="auto"/>
        <w:tabs>
          <w:tab w:leader="none" w:pos="615" w:val="left"/>
        </w:tabs>
        <w:numPr>
          <w:ilvl w:val="0"/>
          <w:numId w:val="31"/>
        </w:numPr>
        <w:rPr>
          <w:rFonts w:ascii="Arial" w:cs="Arial" w:eastAsia="Arial" w:hAnsi="Arial"/>
          <w:sz w:val="17"/>
          <w:szCs w:val="17"/>
          <w:color w:val="0D0E10"/>
        </w:rPr>
      </w:pPr>
      <w:r>
        <w:rPr>
          <w:rFonts w:ascii="Arial" w:cs="Arial" w:eastAsia="Arial" w:hAnsi="Arial"/>
          <w:sz w:val="17"/>
          <w:szCs w:val="17"/>
          <w:b w:val="1"/>
          <w:bCs w:val="1"/>
          <w:color w:val="F06A6A"/>
        </w:rPr>
        <w:t xml:space="preserve">CO-CREATION: </w:t>
      </w:r>
      <w:r>
        <w:rPr>
          <w:rFonts w:ascii="Arial" w:cs="Arial" w:eastAsia="Arial" w:hAnsi="Arial"/>
          <w:sz w:val="17"/>
          <w:szCs w:val="17"/>
          <w:color w:val="0D0E10"/>
        </w:rPr>
        <w:t>Just as we continuously improve the Asana product, we believe in continuously improving and co-creating our</w:t>
      </w:r>
      <w:r>
        <w:rPr>
          <w:rFonts w:ascii="Arial" w:cs="Arial" w:eastAsia="Arial" w:hAnsi="Arial"/>
          <w:sz w:val="17"/>
          <w:szCs w:val="17"/>
          <w:b w:val="1"/>
          <w:bCs w:val="1"/>
          <w:color w:val="F06A6A"/>
        </w:rPr>
        <w:t xml:space="preserve"> </w:t>
      </w:r>
      <w:r>
        <w:rPr>
          <w:rFonts w:ascii="Arial" w:cs="Arial" w:eastAsia="Arial" w:hAnsi="Arial"/>
          <w:sz w:val="17"/>
          <w:szCs w:val="17"/>
          <w:color w:val="0D0E10"/>
        </w:rPr>
        <w:t>culture - we believe in soliciting feedback from our employees through multiple channels, which we collectively refer to as “Voice of the Employee”. Every year, we conduct two company-wide engagement surveys to gain insight into how employees are experiencing life at Asana. These surveys help us surface areas that need improvement, which we call “culture bugs,” and we use survey feedback to co-create plans to address those bugs to improve and strengthen our culture. Additionally, our Global People Advisory Board, which includes leaders from across the company, regularly leverages employee feedback as well as data from engagement surveys, to ensure that leaders and managers are aware of the issues that are top of mind for employees and taking the appropriate steps to address them. Our Employee Resource Groups are another channel through which employees can contribute to our efforts to foster a diverse and inclusive culture at Asana. In our most recent global employee engagement survey, 74% of our employees indicated they would recommend Asana as a great place to work and 74% reported feeling an overall sense of belonging.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0D0E10"/>
        </w:rPr>
        <w:t>Our Approach to ESG</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0D0E10"/>
        </w:rPr>
        <w:t xml:space="preserve">In 2023, we completed our most recent materiality assessment, designed to identify environmental, social and governance (ESG) topics of greatest significance to Asana’s business and stakeholders. Each year we engage with our stakeholders - including employees, customers, and investors, to uncover and incorporate evolving stakeholder views, emerging opportunities and unfolding global trends into our materiality assessment. This assessment enables us to prioritize our ESG topics of focus and informs our ESG roadmap development. The results of the assessment are disclosed in our annual ESG report, which is available at </w:t>
      </w:r>
      <w:r>
        <w:rPr>
          <w:rFonts w:ascii="Arial" w:cs="Arial" w:eastAsia="Arial" w:hAnsi="Arial"/>
          <w:sz w:val="18"/>
          <w:szCs w:val="18"/>
          <w:i w:val="1"/>
          <w:iCs w:val="1"/>
          <w:color w:val="F06A6A"/>
        </w:rPr>
        <w:t>https://asana.com/esg</w:t>
      </w:r>
      <w:r>
        <w:rPr>
          <w:rFonts w:ascii="Arial" w:cs="Arial" w:eastAsia="Arial" w:hAnsi="Arial"/>
          <w:sz w:val="18"/>
          <w:szCs w:val="18"/>
          <w:color w:val="0D0E10"/>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0D0E10"/>
        </w:rPr>
        <w:t>Diversity, Inclusion, and Belonging</w:t>
      </w:r>
    </w:p>
    <w:p>
      <w:pPr>
        <w:spacing w:after="0" w:line="173"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color w:val="0D0E10"/>
        </w:rPr>
        <w:t>We believe that by creating an environment where diversity can thrive, we are better positioned to achieve our mission. Investing in diversity and inclusion programs helps ensure that every employee at Asana can thrive and feel a sense of belonging in order to achieve their best work. It also enables us to better understand and serve the needs of our diverse customer base.</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29</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4" w:name="page35"/>
    <w:bookmarkEnd w:id="34"/>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CORPORATE RESPONSIBILITY AND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325" w:lineRule="auto"/>
        <w:rPr>
          <w:sz w:val="20"/>
          <w:szCs w:val="20"/>
          <w:color w:val="auto"/>
        </w:rPr>
      </w:pPr>
      <w:r>
        <w:rPr>
          <w:rFonts w:ascii="Arial" w:cs="Arial" w:eastAsia="Arial" w:hAnsi="Arial"/>
          <w:sz w:val="18"/>
          <w:szCs w:val="18"/>
          <w:i w:val="1"/>
          <w:iCs w:val="1"/>
          <w:color w:val="F06A6A"/>
        </w:rPr>
        <w:t xml:space="preserve">DIB Policies and Programs. </w:t>
      </w:r>
      <w:r>
        <w:rPr>
          <w:rFonts w:ascii="Arial" w:cs="Arial" w:eastAsia="Arial" w:hAnsi="Arial"/>
          <w:sz w:val="18"/>
          <w:szCs w:val="18"/>
          <w:color w:val="0D0E10"/>
        </w:rPr>
        <w:t>We are committed to building a diverse, inclusive, and equitable workplace. We believe this drives employee</w:t>
      </w:r>
      <w:r>
        <w:rPr>
          <w:rFonts w:ascii="Arial" w:cs="Arial" w:eastAsia="Arial" w:hAnsi="Arial"/>
          <w:sz w:val="18"/>
          <w:szCs w:val="18"/>
          <w:i w:val="1"/>
          <w:iCs w:val="1"/>
          <w:color w:val="F06A6A"/>
        </w:rPr>
        <w:t xml:space="preserve"> </w:t>
      </w:r>
      <w:r>
        <w:rPr>
          <w:rFonts w:ascii="Arial" w:cs="Arial" w:eastAsia="Arial" w:hAnsi="Arial"/>
          <w:sz w:val="18"/>
          <w:szCs w:val="18"/>
          <w:color w:val="0D0E10"/>
        </w:rPr>
        <w:t>engagement and growth, which helps us to achieve our business outcomes. In 2015, we created a dedicated diversity, inclusion, and belonging (“DIB”) function. Our DIB programs support every employee at Asana to thrive, enabling us to better serve the needs of our diverse customer base. Our DIB strategy can be broken down into three elements:</w:t>
      </w:r>
    </w:p>
    <w:p>
      <w:pPr>
        <w:spacing w:after="0" w:line="13" w:lineRule="exact"/>
        <w:rPr>
          <w:sz w:val="20"/>
          <w:szCs w:val="20"/>
          <w:color w:val="auto"/>
        </w:rPr>
      </w:pPr>
    </w:p>
    <w:p>
      <w:pPr>
        <w:ind w:left="660" w:right="40" w:hanging="328"/>
        <w:spacing w:after="0" w:line="301" w:lineRule="auto"/>
        <w:tabs>
          <w:tab w:leader="none" w:pos="615" w:val="left"/>
        </w:tabs>
        <w:numPr>
          <w:ilvl w:val="0"/>
          <w:numId w:val="32"/>
        </w:numPr>
        <w:rPr>
          <w:rFonts w:ascii="Arial" w:cs="Arial" w:eastAsia="Arial" w:hAnsi="Arial"/>
          <w:sz w:val="18"/>
          <w:szCs w:val="18"/>
          <w:b w:val="1"/>
          <w:bCs w:val="1"/>
          <w:color w:val="0D0E10"/>
        </w:rPr>
      </w:pPr>
      <w:r>
        <w:rPr>
          <w:rFonts w:ascii="Arial" w:cs="Arial" w:eastAsia="Arial" w:hAnsi="Arial"/>
          <w:sz w:val="18"/>
          <w:szCs w:val="18"/>
          <w:b w:val="1"/>
          <w:bCs w:val="1"/>
          <w:color w:val="0D0E10"/>
        </w:rPr>
        <w:t xml:space="preserve">Build: </w:t>
      </w:r>
      <w:r>
        <w:rPr>
          <w:rFonts w:ascii="Arial" w:cs="Arial" w:eastAsia="Arial" w:hAnsi="Arial"/>
          <w:sz w:val="18"/>
          <w:szCs w:val="18"/>
          <w:color w:val="0D0E10"/>
        </w:rPr>
        <w:t>To cultivate a culture that builds a culture of belonging and supports business success, we start with a strong foundation of</w:t>
      </w:r>
      <w:r>
        <w:rPr>
          <w:rFonts w:ascii="Arial" w:cs="Arial" w:eastAsia="Arial" w:hAnsi="Arial"/>
          <w:sz w:val="18"/>
          <w:szCs w:val="18"/>
          <w:b w:val="1"/>
          <w:bCs w:val="1"/>
          <w:color w:val="0D0E10"/>
        </w:rPr>
        <w:t xml:space="preserve"> </w:t>
      </w:r>
      <w:r>
        <w:rPr>
          <w:rFonts w:ascii="Arial" w:cs="Arial" w:eastAsia="Arial" w:hAnsi="Arial"/>
          <w:sz w:val="18"/>
          <w:szCs w:val="18"/>
          <w:color w:val="0D0E10"/>
        </w:rPr>
        <w:t>support and resources for everyone to be successful. This includes a comprehensive DIB onboarding curriculum for new employees, mandatory anti-harassment training, bias awareness training, psychological safety workshops for managers and individual contributors, and training for managers that supports inclusive leadership and drives high performing teams. We also provide benefits for parents and caregivers, including 16 weeks of paid parental leave for all parents and inclusive fertility health and family forming benefits.</w:t>
      </w:r>
    </w:p>
    <w:p>
      <w:pPr>
        <w:spacing w:after="0" w:line="8" w:lineRule="exact"/>
        <w:rPr>
          <w:rFonts w:ascii="Arial" w:cs="Arial" w:eastAsia="Arial" w:hAnsi="Arial"/>
          <w:sz w:val="18"/>
          <w:szCs w:val="18"/>
          <w:b w:val="1"/>
          <w:bCs w:val="1"/>
          <w:color w:val="0D0E10"/>
        </w:rPr>
      </w:pPr>
    </w:p>
    <w:p>
      <w:pPr>
        <w:ind w:left="660" w:right="40" w:hanging="328"/>
        <w:spacing w:after="0" w:line="298" w:lineRule="auto"/>
        <w:tabs>
          <w:tab w:leader="none" w:pos="615" w:val="left"/>
        </w:tabs>
        <w:numPr>
          <w:ilvl w:val="0"/>
          <w:numId w:val="32"/>
        </w:numPr>
        <w:rPr>
          <w:rFonts w:ascii="Arial" w:cs="Arial" w:eastAsia="Arial" w:hAnsi="Arial"/>
          <w:sz w:val="18"/>
          <w:szCs w:val="18"/>
          <w:b w:val="1"/>
          <w:bCs w:val="1"/>
          <w:color w:val="0D0E10"/>
        </w:rPr>
      </w:pPr>
      <w:r>
        <w:rPr>
          <w:rFonts w:ascii="Arial" w:cs="Arial" w:eastAsia="Arial" w:hAnsi="Arial"/>
          <w:sz w:val="18"/>
          <w:szCs w:val="18"/>
          <w:b w:val="1"/>
          <w:bCs w:val="1"/>
          <w:color w:val="0D0E10"/>
        </w:rPr>
        <w:t xml:space="preserve">Represent: </w:t>
      </w:r>
      <w:r>
        <w:rPr>
          <w:rFonts w:ascii="Arial" w:cs="Arial" w:eastAsia="Arial" w:hAnsi="Arial"/>
          <w:sz w:val="18"/>
          <w:szCs w:val="18"/>
          <w:color w:val="0D0E10"/>
        </w:rPr>
        <w:t>At Asana, hiring and developing talent from traditionally underrepresented groups and backgrounds is a shared</w:t>
      </w:r>
      <w:r>
        <w:rPr>
          <w:rFonts w:ascii="Arial" w:cs="Arial" w:eastAsia="Arial" w:hAnsi="Arial"/>
          <w:sz w:val="18"/>
          <w:szCs w:val="18"/>
          <w:b w:val="1"/>
          <w:bCs w:val="1"/>
          <w:color w:val="0D0E10"/>
        </w:rPr>
        <w:t xml:space="preserve"> </w:t>
      </w:r>
      <w:r>
        <w:rPr>
          <w:rFonts w:ascii="Arial" w:cs="Arial" w:eastAsia="Arial" w:hAnsi="Arial"/>
          <w:sz w:val="18"/>
          <w:szCs w:val="18"/>
          <w:color w:val="0D0E10"/>
        </w:rPr>
        <w:t>responsibility. We have established representation goals related to race/ethnicity and gender across all of our functions and continue to audit and build equitable hiring practices. In 2018, we launched AsanaUP, an apprenticeship program that provides a pathway to roles at Asana for individuals from non-traditional backgrounds, with an emphasis on engaging individuals from marginalized communities. We also implemented the Inclusivity, Diversity, and Equity for Asana Leadership (IDEAL) Interview Policy in 2020 to ensure that at a minimum, for every leadership role, at least one candidate from an underrepresented group and one non-male candidate is interviewed. In 2023, we launched career sponsorship and peer mentorship programs to support Asanas for traditionally under-represented backgrounds.</w:t>
      </w:r>
    </w:p>
    <w:p>
      <w:pPr>
        <w:spacing w:after="0" w:line="22" w:lineRule="exact"/>
        <w:rPr>
          <w:rFonts w:ascii="Arial" w:cs="Arial" w:eastAsia="Arial" w:hAnsi="Arial"/>
          <w:sz w:val="18"/>
          <w:szCs w:val="18"/>
          <w:b w:val="1"/>
          <w:bCs w:val="1"/>
          <w:color w:val="0D0E10"/>
        </w:rPr>
      </w:pPr>
    </w:p>
    <w:p>
      <w:pPr>
        <w:ind w:left="660" w:right="60" w:hanging="328"/>
        <w:spacing w:after="0" w:line="298" w:lineRule="auto"/>
        <w:tabs>
          <w:tab w:leader="none" w:pos="615" w:val="left"/>
        </w:tabs>
        <w:numPr>
          <w:ilvl w:val="0"/>
          <w:numId w:val="32"/>
        </w:numPr>
        <w:rPr>
          <w:rFonts w:ascii="Arial" w:cs="Arial" w:eastAsia="Arial" w:hAnsi="Arial"/>
          <w:sz w:val="18"/>
          <w:szCs w:val="18"/>
          <w:b w:val="1"/>
          <w:bCs w:val="1"/>
          <w:color w:val="0D0E10"/>
        </w:rPr>
      </w:pPr>
      <w:r>
        <w:rPr>
          <w:rFonts w:ascii="Arial" w:cs="Arial" w:eastAsia="Arial" w:hAnsi="Arial"/>
          <w:sz w:val="18"/>
          <w:szCs w:val="18"/>
          <w:b w:val="1"/>
          <w:bCs w:val="1"/>
          <w:color w:val="0D0E10"/>
        </w:rPr>
        <w:t xml:space="preserve">Thrive: </w:t>
      </w:r>
      <w:r>
        <w:rPr>
          <w:rFonts w:ascii="Arial" w:cs="Arial" w:eastAsia="Arial" w:hAnsi="Arial"/>
          <w:sz w:val="18"/>
          <w:szCs w:val="18"/>
          <w:color w:val="0D0E10"/>
        </w:rPr>
        <w:t>Our goal is to create an environment so inclusive that every Asana feels confident about being their best self at work. We</w:t>
      </w:r>
      <w:r>
        <w:rPr>
          <w:rFonts w:ascii="Arial" w:cs="Arial" w:eastAsia="Arial" w:hAnsi="Arial"/>
          <w:sz w:val="18"/>
          <w:szCs w:val="18"/>
          <w:b w:val="1"/>
          <w:bCs w:val="1"/>
          <w:color w:val="0D0E10"/>
        </w:rPr>
        <w:t xml:space="preserve"> </w:t>
      </w:r>
      <w:r>
        <w:rPr>
          <w:rFonts w:ascii="Arial" w:cs="Arial" w:eastAsia="Arial" w:hAnsi="Arial"/>
          <w:sz w:val="18"/>
          <w:szCs w:val="18"/>
          <w:color w:val="0D0E10"/>
        </w:rPr>
        <w:t>foster safe spaces for underrepresented groups and allies at Asana through our support and funding of Employee Resource Groups, or ERGs, each of which are supported by an ERG Lead Sponsor (a senior member of our leadership team): Asanapac, AsanaWomen, AsanaWomen EMEA, Blacsana, Gradient, Raíz, and Team Rainbow. We also provide accessible mental health and wellness benefits, including therapy through Modern Health for Asana employees and their dependents.</w:t>
      </w:r>
    </w:p>
    <w:p>
      <w:pPr>
        <w:spacing w:after="0" w:line="146" w:lineRule="exact"/>
        <w:rPr>
          <w:sz w:val="20"/>
          <w:szCs w:val="20"/>
          <w:color w:val="auto"/>
        </w:rPr>
      </w:pPr>
    </w:p>
    <w:p>
      <w:pPr>
        <w:ind w:right="40"/>
        <w:spacing w:after="0" w:line="325" w:lineRule="auto"/>
        <w:rPr>
          <w:sz w:val="20"/>
          <w:szCs w:val="20"/>
          <w:color w:val="auto"/>
        </w:rPr>
      </w:pPr>
      <w:r>
        <w:rPr>
          <w:rFonts w:ascii="Arial" w:cs="Arial" w:eastAsia="Arial" w:hAnsi="Arial"/>
          <w:sz w:val="18"/>
          <w:szCs w:val="18"/>
          <w:i w:val="1"/>
          <w:iCs w:val="1"/>
          <w:color w:val="F06A6A"/>
        </w:rPr>
        <w:t xml:space="preserve">Asana Against Racism. </w:t>
      </w:r>
      <w:r>
        <w:rPr>
          <w:rFonts w:ascii="Arial" w:cs="Arial" w:eastAsia="Arial" w:hAnsi="Arial"/>
          <w:sz w:val="18"/>
          <w:szCs w:val="18"/>
          <w:color w:val="0D0E10"/>
        </w:rPr>
        <w:t>As an organization, we do not tolerate racism and hate, and we are working to become actively anti-racist. In June</w:t>
      </w:r>
      <w:r>
        <w:rPr>
          <w:rFonts w:ascii="Arial" w:cs="Arial" w:eastAsia="Arial" w:hAnsi="Arial"/>
          <w:sz w:val="18"/>
          <w:szCs w:val="18"/>
          <w:i w:val="1"/>
          <w:iCs w:val="1"/>
          <w:color w:val="F06A6A"/>
        </w:rPr>
        <w:t xml:space="preserve"> </w:t>
      </w:r>
      <w:r>
        <w:rPr>
          <w:rFonts w:ascii="Arial" w:cs="Arial" w:eastAsia="Arial" w:hAnsi="Arial"/>
          <w:sz w:val="18"/>
          <w:szCs w:val="18"/>
          <w:color w:val="0D0E10"/>
        </w:rPr>
        <w:t>2020, we launched Asana Acts Against Racism, values-aligned, sustainable actions to evolve and expand new and existing programs that ultimately support representation, inclusion, and equity over the long-term, and exemplify how we want to prioritize an anti-racist culture. This body of work is the culmination of co-creation with Asana employees.</w:t>
      </w:r>
    </w:p>
    <w:p>
      <w:pPr>
        <w:spacing w:after="0" w:line="26" w:lineRule="exact"/>
        <w:rPr>
          <w:sz w:val="20"/>
          <w:szCs w:val="20"/>
          <w:color w:val="auto"/>
        </w:rPr>
      </w:pPr>
    </w:p>
    <w:p>
      <w:pPr>
        <w:spacing w:after="0" w:line="320" w:lineRule="auto"/>
        <w:rPr>
          <w:sz w:val="20"/>
          <w:szCs w:val="20"/>
          <w:color w:val="auto"/>
        </w:rPr>
      </w:pPr>
      <w:r>
        <w:rPr>
          <w:rFonts w:ascii="Arial" w:cs="Arial" w:eastAsia="Arial" w:hAnsi="Arial"/>
          <w:sz w:val="18"/>
          <w:szCs w:val="18"/>
          <w:i w:val="1"/>
          <w:iCs w:val="1"/>
          <w:color w:val="F06A6A"/>
        </w:rPr>
        <w:t xml:space="preserve">Pay Equity. </w:t>
      </w:r>
      <w:r>
        <w:rPr>
          <w:rFonts w:ascii="Arial" w:cs="Arial" w:eastAsia="Arial" w:hAnsi="Arial"/>
          <w:sz w:val="18"/>
          <w:szCs w:val="18"/>
          <w:color w:val="0D0E10"/>
        </w:rPr>
        <w:t>We partner with a third-party pay equity firm to conduct a regression-based analysis of pay by gender identity globally (where</w:t>
      </w:r>
      <w:r>
        <w:rPr>
          <w:rFonts w:ascii="Arial" w:cs="Arial" w:eastAsia="Arial" w:hAnsi="Arial"/>
          <w:sz w:val="18"/>
          <w:szCs w:val="18"/>
          <w:i w:val="1"/>
          <w:iCs w:val="1"/>
          <w:color w:val="F06A6A"/>
        </w:rPr>
        <w:t xml:space="preserve"> </w:t>
      </w:r>
      <w:r>
        <w:rPr>
          <w:rFonts w:ascii="Arial" w:cs="Arial" w:eastAsia="Arial" w:hAnsi="Arial"/>
          <w:sz w:val="18"/>
          <w:szCs w:val="18"/>
          <w:color w:val="0D0E10"/>
        </w:rPr>
        <w:t>legally allowed to collect this data) and our pay by race/ethnicity in North America in conjunction with our regular compensation review cycles. We set aside a dedicated salary budget to remediate pay gaps that may be discovered in the course of these studies, and regularly share the results of our analyses with our Board, leaders, and employees. We have also intentionally designed our benefits and time off programs to reduce the impact of parenting on women's careers and compensation (such as offering a minimum of 16 weeks of paid parental leave globally, regardless of gender).</w:t>
      </w:r>
    </w:p>
    <w:p>
      <w:pPr>
        <w:spacing w:after="0" w:line="32" w:lineRule="exact"/>
        <w:rPr>
          <w:sz w:val="20"/>
          <w:szCs w:val="20"/>
          <w:color w:val="auto"/>
        </w:rPr>
      </w:pPr>
    </w:p>
    <w:p>
      <w:pPr>
        <w:ind w:right="220"/>
        <w:spacing w:after="0" w:line="350" w:lineRule="auto"/>
        <w:rPr>
          <w:sz w:val="20"/>
          <w:szCs w:val="20"/>
          <w:color w:val="auto"/>
        </w:rPr>
      </w:pPr>
      <w:r>
        <w:rPr>
          <w:rFonts w:ascii="Arial" w:cs="Arial" w:eastAsia="Arial" w:hAnsi="Arial"/>
          <w:sz w:val="18"/>
          <w:szCs w:val="18"/>
          <w:i w:val="1"/>
          <w:iCs w:val="1"/>
          <w:color w:val="F06A6A"/>
        </w:rPr>
        <w:t xml:space="preserve">DIB Council. </w:t>
      </w:r>
      <w:r>
        <w:rPr>
          <w:rFonts w:ascii="Arial" w:cs="Arial" w:eastAsia="Arial" w:hAnsi="Arial"/>
          <w:sz w:val="18"/>
          <w:szCs w:val="18"/>
          <w:color w:val="0D0E10"/>
        </w:rPr>
        <w:t>In addition to our dedicated DIB team, an internal group of cross-functional stakeholders forms our DIB Council. This includes</w:t>
      </w:r>
      <w:r>
        <w:rPr>
          <w:rFonts w:ascii="Arial" w:cs="Arial" w:eastAsia="Arial" w:hAnsi="Arial"/>
          <w:sz w:val="18"/>
          <w:szCs w:val="18"/>
          <w:i w:val="1"/>
          <w:iCs w:val="1"/>
          <w:color w:val="F06A6A"/>
        </w:rPr>
        <w:t xml:space="preserve"> </w:t>
      </w:r>
      <w:r>
        <w:rPr>
          <w:rFonts w:ascii="Arial" w:cs="Arial" w:eastAsia="Arial" w:hAnsi="Arial"/>
          <w:sz w:val="18"/>
          <w:szCs w:val="18"/>
          <w:color w:val="0D0E10"/>
        </w:rPr>
        <w:t>members of our executive leadership team who provide diverse perspectives to our company-wide DIB initiatives.</w:t>
      </w:r>
    </w:p>
    <w:p>
      <w:pPr>
        <w:spacing w:after="0" w:line="17" w:lineRule="exact"/>
        <w:rPr>
          <w:sz w:val="20"/>
          <w:szCs w:val="20"/>
          <w:color w:val="auto"/>
        </w:rPr>
      </w:pPr>
    </w:p>
    <w:p>
      <w:pPr>
        <w:ind w:right="40"/>
        <w:spacing w:after="0" w:line="325" w:lineRule="auto"/>
        <w:rPr>
          <w:sz w:val="20"/>
          <w:szCs w:val="20"/>
          <w:color w:val="auto"/>
        </w:rPr>
      </w:pPr>
      <w:r>
        <w:rPr>
          <w:rFonts w:ascii="Arial" w:cs="Arial" w:eastAsia="Arial" w:hAnsi="Arial"/>
          <w:sz w:val="18"/>
          <w:szCs w:val="18"/>
          <w:i w:val="1"/>
          <w:iCs w:val="1"/>
          <w:color w:val="F06A6A"/>
        </w:rPr>
        <w:t xml:space="preserve">DIB Website. </w:t>
      </w:r>
      <w:r>
        <w:rPr>
          <w:rFonts w:ascii="Arial" w:cs="Arial" w:eastAsia="Arial" w:hAnsi="Arial"/>
          <w:sz w:val="18"/>
          <w:szCs w:val="18"/>
          <w:color w:val="0D0E10"/>
        </w:rPr>
        <w:t>Since 2017, we have reported publicly on our website our company demographics in the following areas: Gender,</w:t>
      </w:r>
      <w:r>
        <w:rPr>
          <w:rFonts w:ascii="Arial" w:cs="Arial" w:eastAsia="Arial" w:hAnsi="Arial"/>
          <w:sz w:val="18"/>
          <w:szCs w:val="18"/>
          <w:i w:val="1"/>
          <w:iCs w:val="1"/>
          <w:color w:val="F06A6A"/>
        </w:rPr>
        <w:t xml:space="preserve"> </w:t>
      </w:r>
      <w:r>
        <w:rPr>
          <w:rFonts w:ascii="Arial" w:cs="Arial" w:eastAsia="Arial" w:hAnsi="Arial"/>
          <w:sz w:val="18"/>
          <w:szCs w:val="18"/>
          <w:color w:val="0D0E10"/>
        </w:rPr>
        <w:t xml:space="preserve">Race/Ethnicity, Sexual Orientation, Age, and Disability. We collect demographic data through our HR information systems and employees can self-select the data they share on a wide spectrum of markers, including gender identity, race/ethnicity and sexual orientation. For further information on our DIB data and programs, visit our website, </w:t>
      </w:r>
      <w:r>
        <w:rPr>
          <w:rFonts w:ascii="Arial" w:cs="Arial" w:eastAsia="Arial" w:hAnsi="Arial"/>
          <w:sz w:val="18"/>
          <w:szCs w:val="18"/>
          <w:i w:val="1"/>
          <w:iCs w:val="1"/>
          <w:color w:val="F06A6A"/>
        </w:rPr>
        <w:t>https://asana.com/diversity-and-inclusion</w:t>
      </w:r>
      <w:r>
        <w:rPr>
          <w:rFonts w:ascii="Arial" w:cs="Arial" w:eastAsia="Arial" w:hAnsi="Arial"/>
          <w:sz w:val="18"/>
          <w:szCs w:val="18"/>
          <w:color w:val="0D0E10"/>
        </w:rPr>
        <w:t>.</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30</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p>
      <w:pPr>
        <w:ind w:left="680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CORPORATE RESPONSIBILITY AND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D0E10"/>
        </w:rPr>
        <w:t>Facilities Management</w:t>
      </w:r>
    </w:p>
    <w:p>
      <w:pPr>
        <w:spacing w:after="0" w:line="173" w:lineRule="exact"/>
        <w:rPr>
          <w:sz w:val="20"/>
          <w:szCs w:val="20"/>
          <w:color w:val="auto"/>
        </w:rPr>
      </w:pPr>
    </w:p>
    <w:p>
      <w:pPr>
        <w:ind w:right="200"/>
        <w:spacing w:after="0" w:line="298" w:lineRule="auto"/>
        <w:rPr>
          <w:sz w:val="20"/>
          <w:szCs w:val="20"/>
          <w:color w:val="auto"/>
        </w:rPr>
      </w:pPr>
      <w:r>
        <w:rPr>
          <w:rFonts w:ascii="Arial" w:cs="Arial" w:eastAsia="Arial" w:hAnsi="Arial"/>
          <w:sz w:val="18"/>
          <w:szCs w:val="18"/>
          <w:color w:val="0D0E10"/>
        </w:rPr>
        <w:t>Achieving our mission to help humanity thrive also means taking full responsibility for our daily impact on the environment through mindful facilities management. We’re taking steps to make our planet safer, cleaner, and more sustainable. Our global headquarters in San Francisco, California and our office in Dublin, Ireland are LEED certified, Gold and Platinum, respectively. Additionally, our New York office has attained LEED certification within the last fiscal year, underscoring our commitment to environmental stewardship. We leverage high-efficiency HVAC and lighting systems throughout our offices and partner with sustainable companies to furnish and finish our physical spaces, including the use of carpet made from recycled materials and reupholstering existing furniture for extended life. In spaces that we lease and occupy, we encourage building owners to use renewable energy and when decommissioning offices, we recycle and donate any equipment or fixtures we do not reuse in order to keep those items out of landfills.</w:t>
      </w:r>
    </w:p>
    <w:p>
      <w:pPr>
        <w:spacing w:after="0" w:line="117" w:lineRule="exact"/>
        <w:rPr>
          <w:sz w:val="20"/>
          <w:szCs w:val="20"/>
          <w:color w:val="auto"/>
        </w:rPr>
      </w:pPr>
    </w:p>
    <w:p>
      <w:pPr>
        <w:ind w:right="220"/>
        <w:spacing w:after="0" w:line="315" w:lineRule="auto"/>
        <w:rPr>
          <w:sz w:val="20"/>
          <w:szCs w:val="20"/>
          <w:color w:val="auto"/>
        </w:rPr>
      </w:pPr>
      <w:r>
        <w:rPr>
          <w:rFonts w:ascii="Arial" w:cs="Arial" w:eastAsia="Arial" w:hAnsi="Arial"/>
          <w:sz w:val="18"/>
          <w:szCs w:val="18"/>
          <w:color w:val="0D0E10"/>
        </w:rPr>
        <w:t>We believe in taking steps to help make our planet safer, cleaner, and more sustainable and we are committed to reducing and reusing materials as a first step towards meeting our waste reduction goals. We also seek partnerships with local vendors for office equipment and supplies to reduce the carbon footprint of shipping and transportation services.</w:t>
      </w:r>
    </w:p>
    <w:p>
      <w:pPr>
        <w:spacing w:after="0" w:line="103" w:lineRule="exact"/>
        <w:rPr>
          <w:sz w:val="20"/>
          <w:szCs w:val="20"/>
          <w:color w:val="auto"/>
        </w:rPr>
      </w:pPr>
    </w:p>
    <w:p>
      <w:pPr>
        <w:jc w:val="both"/>
        <w:ind w:right="120"/>
        <w:spacing w:after="0" w:line="315" w:lineRule="auto"/>
        <w:rPr>
          <w:sz w:val="20"/>
          <w:szCs w:val="20"/>
          <w:color w:val="auto"/>
        </w:rPr>
      </w:pPr>
      <w:r>
        <w:rPr>
          <w:rFonts w:ascii="Arial" w:cs="Arial" w:eastAsia="Arial" w:hAnsi="Arial"/>
          <w:sz w:val="18"/>
          <w:szCs w:val="18"/>
          <w:color w:val="0D0E10"/>
        </w:rPr>
        <w:t>Our global real estate strategy is informed by proximity to public transportation options so that our employees can choose how they want to commute to the office. To encourage the use of public transportation, where possible, we offer public transit subsidies and a monthly bicycle credit for employees who commute to the office.</w:t>
      </w:r>
    </w:p>
    <w:p>
      <w:pPr>
        <w:spacing w:after="0" w:line="103" w:lineRule="exact"/>
        <w:rPr>
          <w:sz w:val="20"/>
          <w:szCs w:val="20"/>
          <w:color w:val="auto"/>
        </w:rPr>
      </w:pPr>
    </w:p>
    <w:p>
      <w:pPr>
        <w:ind w:right="160"/>
        <w:spacing w:after="0" w:line="315" w:lineRule="auto"/>
        <w:rPr>
          <w:sz w:val="20"/>
          <w:szCs w:val="20"/>
          <w:color w:val="auto"/>
        </w:rPr>
      </w:pPr>
      <w:r>
        <w:rPr>
          <w:rFonts w:ascii="Arial" w:cs="Arial" w:eastAsia="Arial" w:hAnsi="Arial"/>
          <w:sz w:val="18"/>
          <w:szCs w:val="18"/>
          <w:color w:val="0D0E10"/>
        </w:rPr>
        <w:t>Our culinary team is committed to reducing the environmental impact of our San Francisco headquarters by offering sustainable and responsible food services in our offices. Intentional food planning allows the team to use edible food scraps in creative ways and repurpose leftovers. Additionally, we continue efforts to eliminate single-use plastic beverages and containers from our operations globally.</w:t>
      </w:r>
    </w:p>
    <w:p>
      <w:pPr>
        <w:spacing w:after="0" w:line="103" w:lineRule="exact"/>
        <w:rPr>
          <w:sz w:val="20"/>
          <w:szCs w:val="20"/>
          <w:color w:val="auto"/>
        </w:rPr>
      </w:pPr>
    </w:p>
    <w:p>
      <w:pPr>
        <w:ind w:right="200"/>
        <w:spacing w:after="0" w:line="315" w:lineRule="auto"/>
        <w:rPr>
          <w:sz w:val="20"/>
          <w:szCs w:val="20"/>
          <w:color w:val="auto"/>
        </w:rPr>
      </w:pPr>
      <w:r>
        <w:rPr>
          <w:rFonts w:ascii="Arial" w:cs="Arial" w:eastAsia="Arial" w:hAnsi="Arial"/>
          <w:sz w:val="18"/>
          <w:szCs w:val="18"/>
          <w:color w:val="0D0E10"/>
        </w:rPr>
        <w:t xml:space="preserve">We assess our greenhouse gas emissions annually and expect to take further steps to reduce our environmental impact, including through engagement with high-impact suppliers. The results of the assessment are disclosed in our annual ESG report, which is available at </w:t>
      </w:r>
      <w:r>
        <w:rPr>
          <w:rFonts w:ascii="Arial" w:cs="Arial" w:eastAsia="Arial" w:hAnsi="Arial"/>
          <w:sz w:val="18"/>
          <w:szCs w:val="18"/>
          <w:i w:val="1"/>
          <w:iCs w:val="1"/>
          <w:color w:val="F06A6A"/>
        </w:rPr>
        <w:t>https://asana.com/esg</w:t>
      </w:r>
      <w:r>
        <w:rPr>
          <w:rFonts w:ascii="Arial" w:cs="Arial" w:eastAsia="Arial" w:hAnsi="Arial"/>
          <w:sz w:val="18"/>
          <w:szCs w:val="18"/>
          <w:color w:val="0D0E10"/>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0D0E10"/>
        </w:rPr>
        <w:t>We are sending our annual report and proxy statement to you electronically when possible to reduce unnecessary paper usage.</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0D0E10"/>
        </w:rPr>
        <w:t>Long-Term Stock Exchange</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8"/>
          <w:szCs w:val="18"/>
          <w:color w:val="0D0E10"/>
        </w:rPr>
        <w:t xml:space="preserve">In addition to being listed on the New York Stock Exchange, in August 2021 we became one of the first companies to list our shares on the Long-Term Stock Exchange, or the LTSE. The LTSE is an SEC-registered national securities exchange built for companies focused on long-term thinking. As an LTSE-listed company, we must publish policies that focus on value creation and stockholder engagement over time and commit to the LTSE’s listing principles. Copies of our LTSE Policies are available on our Investor Relations website at </w:t>
      </w:r>
      <w:r>
        <w:rPr>
          <w:rFonts w:ascii="Arial" w:cs="Arial" w:eastAsia="Arial" w:hAnsi="Arial"/>
          <w:sz w:val="18"/>
          <w:szCs w:val="18"/>
          <w:i w:val="1"/>
          <w:iCs w:val="1"/>
          <w:color w:val="F06A6A"/>
        </w:rPr>
        <w:t>https://investors.asana.com/governance/governance-documents</w:t>
      </w:r>
      <w:r>
        <w:rPr>
          <w:rFonts w:ascii="Arial" w:cs="Arial" w:eastAsia="Arial" w:hAnsi="Arial"/>
          <w:sz w:val="18"/>
          <w:szCs w:val="18"/>
          <w:color w:val="0D0E10"/>
        </w:rPr>
        <w: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0D0E10"/>
        </w:rPr>
        <w:t>Governance</w:t>
      </w:r>
    </w:p>
    <w:p>
      <w:pPr>
        <w:spacing w:after="0" w:line="187"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0D0E10"/>
        </w:rPr>
        <w:t>Transparency and accountability are built into Asana’s foundation. They are pillars of our culture and our product, and they underpin every aspect of our business. We strive to provide the same clarity and transparency that our product offers to our ESG Matters. To do so, we have a management-level ESG steering committee and our Nominating and Corporate Governance Committee oversees ESG Matters relevant to us and makes recommendations to management and the Board regarding our goals, strategy, policies, and practices with respect to such ESG Matters.</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31</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36" w:name="page37"/>
    <w:bookmarkEnd w:id="36"/>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CORPORATE RESPONSIBILITY AND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color w:val="0D0E10"/>
        </w:rPr>
        <w:t>Privacy and Data Protection</w:t>
      </w:r>
    </w:p>
    <w:p>
      <w:pPr>
        <w:spacing w:after="0" w:line="173" w:lineRule="exact"/>
        <w:rPr>
          <w:sz w:val="20"/>
          <w:szCs w:val="20"/>
          <w:color w:val="auto"/>
        </w:rPr>
      </w:pPr>
    </w:p>
    <w:p>
      <w:pPr>
        <w:ind w:right="160"/>
        <w:spacing w:after="0" w:line="315" w:lineRule="auto"/>
        <w:rPr>
          <w:sz w:val="20"/>
          <w:szCs w:val="20"/>
          <w:color w:val="auto"/>
        </w:rPr>
      </w:pPr>
      <w:r>
        <w:rPr>
          <w:rFonts w:ascii="Arial" w:cs="Arial" w:eastAsia="Arial" w:hAnsi="Arial"/>
          <w:sz w:val="18"/>
          <w:szCs w:val="18"/>
          <w:color w:val="0D0E10"/>
        </w:rPr>
        <w:t>At Asana, we believe privacy and data protection are fundamental in maintaining and building trust with our customers. We take a global approach to how we think about and implement privacy. To that end, we respect data subject rights afforded by the General Data Protection Regulation (GDPR) for all customers and users, not just those located in the European Union.</w:t>
      </w:r>
    </w:p>
    <w:p>
      <w:pPr>
        <w:spacing w:after="0" w:line="103"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0D0E10"/>
        </w:rPr>
        <w:t>We also have a Data Protection Officer who is responsible for overseeing compliance with global privacy laws and addressing customer data protection and privacy inquiries. To help our customers meet requirements under global privacy laws, we provide commitments to our customers in our contracts and publicly on our website.</w:t>
      </w:r>
    </w:p>
    <w:p>
      <w:pPr>
        <w:spacing w:after="0" w:line="121"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0D0E10"/>
        </w:rPr>
        <w:t>Our customers run their business on Asana. This is why it is essential that their data remains secure against the ever-changing landscape of security threats. We have made—and continue to make—significant investments in our security program.</w:t>
      </w:r>
    </w:p>
    <w:p>
      <w:pPr>
        <w:spacing w:after="0" w:line="85" w:lineRule="exact"/>
        <w:rPr>
          <w:sz w:val="20"/>
          <w:szCs w:val="20"/>
          <w:color w:val="auto"/>
        </w:rPr>
      </w:pPr>
    </w:p>
    <w:p>
      <w:pPr>
        <w:ind w:right="160"/>
        <w:spacing w:after="0" w:line="304" w:lineRule="auto"/>
        <w:rPr>
          <w:sz w:val="20"/>
          <w:szCs w:val="20"/>
          <w:color w:val="auto"/>
        </w:rPr>
      </w:pPr>
      <w:r>
        <w:rPr>
          <w:rFonts w:ascii="Arial" w:cs="Arial" w:eastAsia="Arial" w:hAnsi="Arial"/>
          <w:sz w:val="18"/>
          <w:szCs w:val="18"/>
          <w:color w:val="0D0E10"/>
        </w:rPr>
        <w:t>Asana undergoes regular security assessments on every part of our product and infrastructure to identify gaps before others do. We have a public bug bounty and vulnerability disclosure program to provide incentives to security researchers to report security vulnerabilities to us quickly. Asana completes an annual SOC 2 Type II audit and is ISO 27001:2013, ISO 27017:2015, ISO 27018:2019, and ISO 27701:2019 certified, to help ensure that our security and privacy programs are running as intended.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0D0E10"/>
        </w:rPr>
        <w:t>Code of Conduct and Ethics</w:t>
      </w:r>
    </w:p>
    <w:p>
      <w:pPr>
        <w:spacing w:after="0" w:line="173"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 xml:space="preserve">At Asana, we want to make sure that all Asanas not only feel a sense of belonging, but also thrive in a work environment that is ethical and respectful towards employees, candidates, board members, contractors, customers, vendors, and all beings. Simply put, we want all members of the Asana community to do the right thing when interacting with each other and our business. To that end, we adopted a Code of Conduct and Ethics that applies to all of our employees, contractors, officers, and directors. Our Code of Conduct and Ethics contains guidelines for what doing the right thing looks like at Asana, how to conduct our business with the highest standards for integrity and respect, avoiding actual or apparent conflicts of interest, complying with the law and Asana’s policies, and what to do if a potential violation occurs. We also encourage our employees to report suspected policy violations through our anonymous Ethics and Compliance Helpline. Our Code of Conduct and Ethics is available on our Investor Relations website at </w:t>
      </w:r>
      <w:r>
        <w:rPr>
          <w:rFonts w:ascii="Arial" w:cs="Arial" w:eastAsia="Arial" w:hAnsi="Arial"/>
          <w:sz w:val="18"/>
          <w:szCs w:val="18"/>
          <w:i w:val="1"/>
          <w:iCs w:val="1"/>
          <w:color w:val="F06A6A"/>
        </w:rPr>
        <w:t>https://investors.asana.com/governance/governance-documents</w:t>
      </w:r>
      <w:r>
        <w:rPr>
          <w:rFonts w:ascii="Arial" w:cs="Arial" w:eastAsia="Arial" w:hAnsi="Arial"/>
          <w:sz w:val="18"/>
          <w:szCs w:val="18"/>
          <w:color w:val="0D0E10"/>
        </w:rPr>
        <w:t>.</w:t>
      </w: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32</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F06A6A"/>
        </w:rPr>
        <w:t>PROPOSAL NO. 1</w:t>
      </w:r>
    </w:p>
    <w:p>
      <w:pPr>
        <w:spacing w:after="0" w:line="40" w:lineRule="exact"/>
        <w:rPr>
          <w:sz w:val="20"/>
          <w:szCs w:val="20"/>
          <w:color w:val="auto"/>
        </w:rPr>
      </w:pPr>
    </w:p>
    <w:p>
      <w:pPr>
        <w:spacing w:after="0"/>
        <w:rPr>
          <w:sz w:val="20"/>
          <w:szCs w:val="20"/>
          <w:color w:val="auto"/>
        </w:rPr>
      </w:pPr>
      <w:r>
        <w:rPr>
          <w:rFonts w:ascii="Arial" w:cs="Arial" w:eastAsia="Arial" w:hAnsi="Arial"/>
          <w:sz w:val="58"/>
          <w:szCs w:val="58"/>
          <w:color w:val="0D0E10"/>
        </w:rPr>
        <w:t>Election of Directors</w:t>
      </w:r>
    </w:p>
    <w:p>
      <w:pPr>
        <w:spacing w:after="0" w:line="355"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0D0E10"/>
        </w:rPr>
        <w:t>Our Board of Directors is currently comprised of eight members. In accordance with our restated certificate of incorporation, our Board of Directors is divided into three staggered classes of directors. At the Annual Meeting, two Class I directors will be elected for a three-year term to succeed the same class whose term is then expiring.</w:t>
      </w:r>
    </w:p>
    <w:p>
      <w:pPr>
        <w:spacing w:after="0" w:line="121"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0D0E10"/>
        </w:rPr>
        <w:t>Each director’s term continues until the election and qualification of their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103" w:lineRule="exact"/>
        <w:rPr>
          <w:sz w:val="20"/>
          <w:szCs w:val="20"/>
          <w:color w:val="auto"/>
        </w:rPr>
      </w:pPr>
    </w:p>
    <w:p>
      <w:pPr>
        <w:spacing w:after="0"/>
        <w:rPr>
          <w:sz w:val="20"/>
          <w:szCs w:val="20"/>
          <w:color w:val="auto"/>
        </w:rPr>
      </w:pPr>
      <w:r>
        <w:rPr>
          <w:rFonts w:ascii="Arial" w:cs="Arial" w:eastAsia="Arial" w:hAnsi="Arial"/>
          <w:sz w:val="32"/>
          <w:szCs w:val="32"/>
          <w:color w:val="0D0E10"/>
        </w:rPr>
        <w:t>Nominees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0D0E10"/>
        </w:rPr>
        <w:t>Our Nominating and Corporate Governance Committee has recommended, and our Board of Directors has approved, Matthew Cohler and Dustin Moskovitz as nominees for election as Class I directors at the Annual Meeting. If elected, each of Messrs. Cohler and Moskovitz will serve as Class I directors until our 2027 annual meeting of stockholders and until their successors are duly elected and qualified. Each of the nominees is currently a director of our company. For information concerning the nominees, please see the section titled “Board of Directors and Corporate Governance.”</w:t>
      </w:r>
    </w:p>
    <w:p>
      <w:pPr>
        <w:spacing w:after="0" w:line="129"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If you are a stockholder of record and you sign your proxy card or vote by telephone or over the Internet but do not give instructions with respect to the voting of directors, your shares will be voted “For” the election of Messrs. Cohler and Moskovitz. We expect that each of Messrs. Cohler and Moskovitz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pacing w:after="0" w:line="96" w:lineRule="exact"/>
        <w:rPr>
          <w:sz w:val="20"/>
          <w:szCs w:val="20"/>
          <w:color w:val="auto"/>
        </w:rPr>
      </w:pPr>
    </w:p>
    <w:p>
      <w:pPr>
        <w:spacing w:after="0"/>
        <w:rPr>
          <w:sz w:val="20"/>
          <w:szCs w:val="20"/>
          <w:color w:val="auto"/>
        </w:rPr>
      </w:pPr>
      <w:r>
        <w:rPr>
          <w:rFonts w:ascii="Arial" w:cs="Arial" w:eastAsia="Arial" w:hAnsi="Arial"/>
          <w:sz w:val="32"/>
          <w:szCs w:val="32"/>
          <w:color w:val="0D0E10"/>
        </w:rPr>
        <w:t>Vote Required</w:t>
      </w:r>
    </w:p>
    <w:p>
      <w:pPr>
        <w:spacing w:after="0" w:line="195"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0D0E10"/>
        </w:rPr>
        <w:t>The election of directors requires a plurality of the voting power of the shares of our common stock present in person or by proxy and entitled to vote thereon at the Annual Meeting to be approved. Broker non-votes will have no effect on this proposal.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0D0E10"/>
        </w:rPr>
        <w:t xml:space="preserve">THE BOARD OF DIRECTORS RECOMMENDS A VOTE </w:t>
      </w:r>
      <w:r>
        <w:rPr>
          <w:rFonts w:ascii="Arial" w:cs="Arial" w:eastAsia="Arial" w:hAnsi="Arial"/>
          <w:sz w:val="25"/>
          <w:szCs w:val="25"/>
          <w:color w:val="F06A6A"/>
        </w:rPr>
        <w:t>“FOR”</w:t>
      </w:r>
      <w:r>
        <w:rPr>
          <w:rFonts w:ascii="Arial" w:cs="Arial" w:eastAsia="Arial" w:hAnsi="Arial"/>
          <w:sz w:val="18"/>
          <w:szCs w:val="18"/>
          <w:color w:val="0D0E10"/>
        </w:rPr>
        <w:t xml:space="preserve"> 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33</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F06A6A"/>
        </w:rPr>
        <w:t>PROPOSAL NO. 2</w:t>
      </w:r>
    </w:p>
    <w:p>
      <w:pPr>
        <w:spacing w:after="0" w:line="40" w:lineRule="exact"/>
        <w:rPr>
          <w:sz w:val="20"/>
          <w:szCs w:val="20"/>
          <w:color w:val="auto"/>
        </w:rPr>
      </w:pPr>
    </w:p>
    <w:p>
      <w:pPr>
        <w:ind w:right="340"/>
        <w:spacing w:after="0" w:line="278" w:lineRule="auto"/>
        <w:rPr>
          <w:sz w:val="20"/>
          <w:szCs w:val="20"/>
          <w:color w:val="auto"/>
        </w:rPr>
      </w:pPr>
      <w:r>
        <w:rPr>
          <w:rFonts w:ascii="Arial" w:cs="Arial" w:eastAsia="Arial" w:hAnsi="Arial"/>
          <w:sz w:val="57"/>
          <w:szCs w:val="57"/>
          <w:color w:val="0D0E10"/>
        </w:rPr>
        <w:t>Ratification of Appointment of Independent Registered Public Accounting Firm</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0D0E10"/>
        </w:rPr>
        <w:t>Our Audit Committee has appointed PricewaterhouseCoopers LLP, or PwC, independent registered public accountants, to audit our consolidated financial statements for our fiscal year ending January 31, 2025. During our fiscal year ended January 31, 2024, PwC served as our independent registered public accounting firm.</w:t>
      </w:r>
    </w:p>
    <w:p>
      <w:pPr>
        <w:spacing w:after="0" w:line="121"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color w:val="0D0E10"/>
        </w:rPr>
        <w:t>Notwithstanding the appointment of PwC,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PwC as our independent registered public accounting firm for our fiscal year ending January 31, 2025. Our Audit Committee is submitting the appointment of PwC to our stockholders because we value our stockholders’ views on our independent registered public accounting firm and as a matter of good corporate governance. Representatives of PwC will be present at the Annual Meeting, and they will have an opportunity to make a statement and will be available to respond to appropriate questions from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0D0E10"/>
        </w:rPr>
        <w:t>If our stockholders do not ratify the appointment of PwC, our Audit Committee may reconsider the appointment.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D0E10"/>
        </w:rPr>
        <w:t>Audit and Related Fees</w:t>
      </w:r>
    </w:p>
    <w:p>
      <w:pPr>
        <w:spacing w:after="0" w:line="195" w:lineRule="exact"/>
        <w:rPr>
          <w:sz w:val="20"/>
          <w:szCs w:val="20"/>
          <w:color w:val="auto"/>
        </w:rPr>
      </w:pPr>
    </w:p>
    <w:p>
      <w:pPr>
        <w:ind w:right="400"/>
        <w:spacing w:after="0" w:line="318" w:lineRule="auto"/>
        <w:rPr>
          <w:sz w:val="20"/>
          <w:szCs w:val="20"/>
          <w:color w:val="auto"/>
        </w:rPr>
      </w:pPr>
      <w:r>
        <w:rPr>
          <w:rFonts w:ascii="Arial" w:cs="Arial" w:eastAsia="Arial" w:hAnsi="Arial"/>
          <w:sz w:val="18"/>
          <w:szCs w:val="18"/>
          <w:color w:val="0D0E10"/>
        </w:rPr>
        <w:t>The following table presents fees for professional audit services and other services rendered to our company by PwC for our fiscal years ended January 31, 2023 and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00" w:type="dxa"/>
            <w:vAlign w:val="bottom"/>
          </w:tcPr>
          <w:p>
            <w:pPr>
              <w:spacing w:after="0"/>
              <w:rPr>
                <w:sz w:val="21"/>
                <w:szCs w:val="21"/>
                <w:color w:val="auto"/>
              </w:rPr>
            </w:pPr>
          </w:p>
        </w:tc>
        <w:tc>
          <w:tcPr>
            <w:tcW w:w="2280" w:type="dxa"/>
            <w:vAlign w:val="bottom"/>
            <w:tcBorders>
              <w:bottom w:val="single" w:sz="8" w:color="A5A4A3"/>
            </w:tcBorders>
            <w:shd w:val="clear" w:color="auto" w:fill="A5A4A3"/>
          </w:tcPr>
          <w:p>
            <w:pPr>
              <w:spacing w:after="0"/>
              <w:rPr>
                <w:sz w:val="21"/>
                <w:szCs w:val="21"/>
                <w:color w:val="auto"/>
              </w:rPr>
            </w:pPr>
          </w:p>
        </w:tc>
        <w:tc>
          <w:tcPr>
            <w:tcW w:w="4060" w:type="dxa"/>
            <w:vAlign w:val="bottom"/>
            <w:tcBorders>
              <w:bottom w:val="single" w:sz="8" w:color="A5A4A3"/>
            </w:tcBorders>
            <w:shd w:val="clear" w:color="auto" w:fill="A5A4A3"/>
          </w:tcPr>
          <w:p>
            <w:pPr>
              <w:ind w:left="460"/>
              <w:spacing w:after="0"/>
              <w:rPr>
                <w:sz w:val="20"/>
                <w:szCs w:val="20"/>
                <w:color w:val="auto"/>
              </w:rPr>
            </w:pPr>
            <w:r>
              <w:rPr>
                <w:rFonts w:ascii="Arial" w:cs="Arial" w:eastAsia="Arial" w:hAnsi="Arial"/>
                <w:sz w:val="16"/>
                <w:szCs w:val="16"/>
                <w:b w:val="1"/>
                <w:bCs w:val="1"/>
                <w:color w:val="FFFFFF"/>
              </w:rPr>
              <w:t>Fiscal Year</w:t>
            </w:r>
          </w:p>
        </w:tc>
      </w:tr>
      <w:tr>
        <w:trPr>
          <w:trHeight w:val="235"/>
        </w:trPr>
        <w:tc>
          <w:tcPr>
            <w:tcW w:w="4900" w:type="dxa"/>
            <w:vAlign w:val="bottom"/>
            <w:shd w:val="clear" w:color="auto" w:fill="EEEBEA"/>
          </w:tcPr>
          <w:p>
            <w:pPr>
              <w:ind w:left="100"/>
              <w:spacing w:after="0"/>
              <w:rPr>
                <w:sz w:val="20"/>
                <w:szCs w:val="20"/>
                <w:color w:val="auto"/>
              </w:rPr>
            </w:pPr>
            <w:r>
              <w:rPr>
                <w:rFonts w:ascii="Arial" w:cs="Arial" w:eastAsia="Arial" w:hAnsi="Arial"/>
                <w:sz w:val="16"/>
                <w:szCs w:val="16"/>
                <w:i w:val="1"/>
                <w:iCs w:val="1"/>
                <w:color w:val="F06A6A"/>
              </w:rPr>
              <w:t>(in thousands)</w:t>
            </w:r>
          </w:p>
        </w:tc>
        <w:tc>
          <w:tcPr>
            <w:tcW w:w="2280" w:type="dxa"/>
            <w:vAlign w:val="bottom"/>
            <w:shd w:val="clear" w:color="auto" w:fill="EEEBEA"/>
          </w:tcPr>
          <w:p>
            <w:pPr>
              <w:jc w:val="center"/>
              <w:ind w:left="799"/>
              <w:spacing w:after="0"/>
              <w:rPr>
                <w:sz w:val="20"/>
                <w:szCs w:val="20"/>
                <w:color w:val="auto"/>
              </w:rPr>
            </w:pPr>
            <w:r>
              <w:rPr>
                <w:rFonts w:ascii="Arial" w:cs="Arial" w:eastAsia="Arial" w:hAnsi="Arial"/>
                <w:sz w:val="16"/>
                <w:szCs w:val="16"/>
                <w:b w:val="1"/>
                <w:bCs w:val="1"/>
                <w:color w:val="F06A6A"/>
              </w:rPr>
              <w:t>2024</w:t>
            </w:r>
          </w:p>
        </w:tc>
        <w:tc>
          <w:tcPr>
            <w:tcW w:w="4060" w:type="dxa"/>
            <w:vAlign w:val="bottom"/>
            <w:shd w:val="clear" w:color="auto" w:fill="EEEBEA"/>
          </w:tcPr>
          <w:p>
            <w:pPr>
              <w:jc w:val="center"/>
              <w:ind w:left="819"/>
              <w:spacing w:after="0"/>
              <w:rPr>
                <w:sz w:val="20"/>
                <w:szCs w:val="20"/>
                <w:color w:val="auto"/>
              </w:rPr>
            </w:pPr>
            <w:r>
              <w:rPr>
                <w:rFonts w:ascii="Arial" w:cs="Arial" w:eastAsia="Arial" w:hAnsi="Arial"/>
                <w:sz w:val="16"/>
                <w:szCs w:val="16"/>
                <w:b w:val="1"/>
                <w:bCs w:val="1"/>
                <w:color w:val="F06A6A"/>
              </w:rPr>
              <w:t>2023</w:t>
            </w:r>
          </w:p>
        </w:tc>
      </w:tr>
      <w:tr>
        <w:trPr>
          <w:trHeight w:val="129"/>
        </w:trPr>
        <w:tc>
          <w:tcPr>
            <w:tcW w:w="4900" w:type="dxa"/>
            <w:vAlign w:val="bottom"/>
            <w:tcBorders>
              <w:bottom w:val="single" w:sz="8" w:color="A5A4A3"/>
            </w:tcBorders>
            <w:shd w:val="clear" w:color="auto" w:fill="EEEBEA"/>
          </w:tcPr>
          <w:p>
            <w:pPr>
              <w:spacing w:after="0"/>
              <w:rPr>
                <w:sz w:val="11"/>
                <w:szCs w:val="11"/>
                <w:color w:val="auto"/>
              </w:rPr>
            </w:pPr>
          </w:p>
        </w:tc>
        <w:tc>
          <w:tcPr>
            <w:tcW w:w="2280" w:type="dxa"/>
            <w:vAlign w:val="bottom"/>
            <w:tcBorders>
              <w:bottom w:val="single" w:sz="8" w:color="A5A4A3"/>
            </w:tcBorders>
            <w:shd w:val="clear" w:color="auto" w:fill="EEEBEA"/>
          </w:tcPr>
          <w:p>
            <w:pPr>
              <w:spacing w:after="0"/>
              <w:rPr>
                <w:sz w:val="11"/>
                <w:szCs w:val="11"/>
                <w:color w:val="auto"/>
              </w:rPr>
            </w:pPr>
          </w:p>
        </w:tc>
        <w:tc>
          <w:tcPr>
            <w:tcW w:w="4060" w:type="dxa"/>
            <w:vAlign w:val="bottom"/>
            <w:tcBorders>
              <w:bottom w:val="single" w:sz="8" w:color="A5A4A3"/>
            </w:tcBorders>
            <w:shd w:val="clear" w:color="auto" w:fill="EEEBEA"/>
          </w:tcPr>
          <w:p>
            <w:pPr>
              <w:spacing w:after="0"/>
              <w:rPr>
                <w:sz w:val="11"/>
                <w:szCs w:val="11"/>
                <w:color w:val="auto"/>
              </w:rPr>
            </w:pPr>
          </w:p>
        </w:tc>
      </w:tr>
      <w:tr>
        <w:trPr>
          <w:trHeight w:val="250"/>
        </w:trPr>
        <w:tc>
          <w:tcPr>
            <w:tcW w:w="49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Audit Fees</w:t>
            </w:r>
            <w:r>
              <w:rPr>
                <w:rFonts w:ascii="Arial" w:cs="Arial" w:eastAsia="Arial" w:hAnsi="Arial"/>
                <w:sz w:val="21"/>
                <w:szCs w:val="21"/>
                <w:color w:val="0D0E10"/>
                <w:vertAlign w:val="superscript"/>
              </w:rPr>
              <w:t>(1)</w:t>
            </w:r>
          </w:p>
        </w:tc>
        <w:tc>
          <w:tcPr>
            <w:tcW w:w="2280" w:type="dxa"/>
            <w:vAlign w:val="bottom"/>
            <w:tcBorders>
              <w:bottom w:val="single" w:sz="8" w:color="A5A4A3"/>
            </w:tcBorders>
          </w:tcPr>
          <w:p>
            <w:pPr>
              <w:jc w:val="center"/>
              <w:ind w:left="799"/>
              <w:spacing w:after="0"/>
              <w:rPr>
                <w:sz w:val="20"/>
                <w:szCs w:val="20"/>
                <w:color w:val="auto"/>
              </w:rPr>
            </w:pPr>
            <w:r>
              <w:rPr>
                <w:rFonts w:ascii="Arial" w:cs="Arial" w:eastAsia="Arial" w:hAnsi="Arial"/>
                <w:sz w:val="16"/>
                <w:szCs w:val="16"/>
                <w:color w:val="0D0E10"/>
                <w:w w:val="98"/>
              </w:rPr>
              <w:t>$3,217</w:t>
            </w:r>
          </w:p>
        </w:tc>
        <w:tc>
          <w:tcPr>
            <w:tcW w:w="4060" w:type="dxa"/>
            <w:vAlign w:val="bottom"/>
            <w:tcBorders>
              <w:bottom w:val="single" w:sz="8" w:color="A5A4A3"/>
            </w:tcBorders>
          </w:tcPr>
          <w:p>
            <w:pPr>
              <w:jc w:val="center"/>
              <w:ind w:left="799"/>
              <w:spacing w:after="0"/>
              <w:rPr>
                <w:sz w:val="20"/>
                <w:szCs w:val="20"/>
                <w:color w:val="auto"/>
              </w:rPr>
            </w:pPr>
            <w:r>
              <w:rPr>
                <w:rFonts w:ascii="Arial" w:cs="Arial" w:eastAsia="Arial" w:hAnsi="Arial"/>
                <w:sz w:val="16"/>
                <w:szCs w:val="16"/>
                <w:color w:val="0D0E10"/>
              </w:rPr>
              <w:t>$2,809</w:t>
            </w:r>
          </w:p>
        </w:tc>
      </w:tr>
      <w:tr>
        <w:trPr>
          <w:trHeight w:val="221"/>
        </w:trPr>
        <w:tc>
          <w:tcPr>
            <w:tcW w:w="4900" w:type="dxa"/>
            <w:vAlign w:val="bottom"/>
          </w:tcPr>
          <w:p>
            <w:pPr>
              <w:ind w:left="100"/>
              <w:spacing w:after="0"/>
              <w:rPr>
                <w:sz w:val="20"/>
                <w:szCs w:val="20"/>
                <w:color w:val="auto"/>
              </w:rPr>
            </w:pPr>
            <w:r>
              <w:rPr>
                <w:rFonts w:ascii="Arial" w:cs="Arial" w:eastAsia="Arial" w:hAnsi="Arial"/>
                <w:sz w:val="16"/>
                <w:szCs w:val="16"/>
                <w:color w:val="0D0E10"/>
              </w:rPr>
              <w:t>Audit-Related Fees</w:t>
            </w:r>
          </w:p>
        </w:tc>
        <w:tc>
          <w:tcPr>
            <w:tcW w:w="2280" w:type="dxa"/>
            <w:vAlign w:val="bottom"/>
          </w:tcPr>
          <w:p>
            <w:pPr>
              <w:jc w:val="center"/>
              <w:ind w:left="799"/>
              <w:spacing w:after="0"/>
              <w:rPr>
                <w:sz w:val="20"/>
                <w:szCs w:val="20"/>
                <w:color w:val="auto"/>
              </w:rPr>
            </w:pPr>
            <w:r>
              <w:rPr>
                <w:rFonts w:ascii="Arial" w:cs="Arial" w:eastAsia="Arial" w:hAnsi="Arial"/>
                <w:sz w:val="16"/>
                <w:szCs w:val="16"/>
                <w:color w:val="0D0E10"/>
                <w:w w:val="99"/>
              </w:rPr>
              <w:t>—</w:t>
            </w:r>
          </w:p>
        </w:tc>
        <w:tc>
          <w:tcPr>
            <w:tcW w:w="4060" w:type="dxa"/>
            <w:vAlign w:val="bottom"/>
          </w:tcPr>
          <w:p>
            <w:pPr>
              <w:jc w:val="center"/>
              <w:ind w:left="819"/>
              <w:spacing w:after="0"/>
              <w:rPr>
                <w:sz w:val="20"/>
                <w:szCs w:val="20"/>
                <w:color w:val="auto"/>
              </w:rPr>
            </w:pPr>
            <w:r>
              <w:rPr>
                <w:rFonts w:ascii="Arial" w:cs="Arial" w:eastAsia="Arial" w:hAnsi="Arial"/>
                <w:sz w:val="16"/>
                <w:szCs w:val="16"/>
                <w:color w:val="0D0E10"/>
                <w:w w:val="99"/>
              </w:rPr>
              <w:t>—</w:t>
            </w:r>
          </w:p>
        </w:tc>
      </w:tr>
      <w:tr>
        <w:trPr>
          <w:trHeight w:val="29"/>
        </w:trPr>
        <w:tc>
          <w:tcPr>
            <w:tcW w:w="490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c>
          <w:tcPr>
            <w:tcW w:w="4060" w:type="dxa"/>
            <w:vAlign w:val="bottom"/>
            <w:tcBorders>
              <w:bottom w:val="single" w:sz="8" w:color="A5A4A3"/>
            </w:tcBorders>
          </w:tcPr>
          <w:p>
            <w:pPr>
              <w:spacing w:after="0"/>
              <w:rPr>
                <w:sz w:val="2"/>
                <w:szCs w:val="2"/>
                <w:color w:val="auto"/>
              </w:rPr>
            </w:pPr>
          </w:p>
        </w:tc>
      </w:tr>
      <w:tr>
        <w:trPr>
          <w:trHeight w:val="250"/>
        </w:trPr>
        <w:tc>
          <w:tcPr>
            <w:tcW w:w="49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Tax Fees</w:t>
            </w:r>
            <w:r>
              <w:rPr>
                <w:rFonts w:ascii="Arial" w:cs="Arial" w:eastAsia="Arial" w:hAnsi="Arial"/>
                <w:sz w:val="21"/>
                <w:szCs w:val="21"/>
                <w:color w:val="0D0E10"/>
                <w:vertAlign w:val="superscript"/>
              </w:rPr>
              <w:t>(2)</w:t>
            </w:r>
          </w:p>
        </w:tc>
        <w:tc>
          <w:tcPr>
            <w:tcW w:w="2280" w:type="dxa"/>
            <w:vAlign w:val="bottom"/>
            <w:tcBorders>
              <w:bottom w:val="single" w:sz="8" w:color="A5A4A3"/>
            </w:tcBorders>
          </w:tcPr>
          <w:p>
            <w:pPr>
              <w:jc w:val="center"/>
              <w:ind w:left="799"/>
              <w:spacing w:after="0"/>
              <w:rPr>
                <w:sz w:val="20"/>
                <w:szCs w:val="20"/>
                <w:color w:val="auto"/>
              </w:rPr>
            </w:pPr>
            <w:r>
              <w:rPr>
                <w:rFonts w:ascii="Arial" w:cs="Arial" w:eastAsia="Arial" w:hAnsi="Arial"/>
                <w:sz w:val="16"/>
                <w:szCs w:val="16"/>
                <w:color w:val="0D0E10"/>
              </w:rPr>
              <w:t>$142</w:t>
            </w:r>
          </w:p>
        </w:tc>
        <w:tc>
          <w:tcPr>
            <w:tcW w:w="4060" w:type="dxa"/>
            <w:vAlign w:val="bottom"/>
            <w:tcBorders>
              <w:bottom w:val="single" w:sz="8" w:color="A5A4A3"/>
            </w:tcBorders>
          </w:tcPr>
          <w:p>
            <w:pPr>
              <w:jc w:val="center"/>
              <w:ind w:left="799"/>
              <w:spacing w:after="0"/>
              <w:rPr>
                <w:sz w:val="20"/>
                <w:szCs w:val="20"/>
                <w:color w:val="auto"/>
              </w:rPr>
            </w:pPr>
            <w:r>
              <w:rPr>
                <w:rFonts w:ascii="Arial" w:cs="Arial" w:eastAsia="Arial" w:hAnsi="Arial"/>
                <w:sz w:val="16"/>
                <w:szCs w:val="16"/>
                <w:color w:val="0D0E10"/>
                <w:w w:val="95"/>
              </w:rPr>
              <w:t>$311</w:t>
            </w:r>
          </w:p>
        </w:tc>
      </w:tr>
      <w:tr>
        <w:trPr>
          <w:trHeight w:val="250"/>
        </w:trPr>
        <w:tc>
          <w:tcPr>
            <w:tcW w:w="49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All Other Fees</w:t>
            </w:r>
            <w:r>
              <w:rPr>
                <w:rFonts w:ascii="Arial" w:cs="Arial" w:eastAsia="Arial" w:hAnsi="Arial"/>
                <w:sz w:val="21"/>
                <w:szCs w:val="21"/>
                <w:color w:val="0D0E10"/>
                <w:vertAlign w:val="superscript"/>
              </w:rPr>
              <w:t>(3)</w:t>
            </w:r>
          </w:p>
        </w:tc>
        <w:tc>
          <w:tcPr>
            <w:tcW w:w="2280" w:type="dxa"/>
            <w:vAlign w:val="bottom"/>
            <w:tcBorders>
              <w:bottom w:val="single" w:sz="8" w:color="A5A4A3"/>
            </w:tcBorders>
          </w:tcPr>
          <w:p>
            <w:pPr>
              <w:jc w:val="center"/>
              <w:ind w:left="819"/>
              <w:spacing w:after="0"/>
              <w:rPr>
                <w:sz w:val="20"/>
                <w:szCs w:val="20"/>
                <w:color w:val="auto"/>
              </w:rPr>
            </w:pPr>
            <w:r>
              <w:rPr>
                <w:rFonts w:ascii="Arial" w:cs="Arial" w:eastAsia="Arial" w:hAnsi="Arial"/>
                <w:sz w:val="16"/>
                <w:szCs w:val="16"/>
                <w:color w:val="0D0E10"/>
              </w:rPr>
              <w:t>$5</w:t>
            </w:r>
          </w:p>
        </w:tc>
        <w:tc>
          <w:tcPr>
            <w:tcW w:w="4060" w:type="dxa"/>
            <w:vAlign w:val="bottom"/>
            <w:tcBorders>
              <w:bottom w:val="single" w:sz="8" w:color="A5A4A3"/>
            </w:tcBorders>
          </w:tcPr>
          <w:p>
            <w:pPr>
              <w:jc w:val="center"/>
              <w:ind w:left="799"/>
              <w:spacing w:after="0"/>
              <w:rPr>
                <w:sz w:val="20"/>
                <w:szCs w:val="20"/>
                <w:color w:val="auto"/>
              </w:rPr>
            </w:pPr>
            <w:r>
              <w:rPr>
                <w:rFonts w:ascii="Arial" w:cs="Arial" w:eastAsia="Arial" w:hAnsi="Arial"/>
                <w:sz w:val="16"/>
                <w:szCs w:val="16"/>
                <w:color w:val="0D0E10"/>
              </w:rPr>
              <w:t>$5</w:t>
            </w:r>
          </w:p>
        </w:tc>
      </w:tr>
      <w:tr>
        <w:trPr>
          <w:trHeight w:val="221"/>
        </w:trPr>
        <w:tc>
          <w:tcPr>
            <w:tcW w:w="4900" w:type="dxa"/>
            <w:vAlign w:val="bottom"/>
          </w:tcPr>
          <w:p>
            <w:pPr>
              <w:ind w:left="100"/>
              <w:spacing w:after="0"/>
              <w:rPr>
                <w:sz w:val="20"/>
                <w:szCs w:val="20"/>
                <w:color w:val="auto"/>
              </w:rPr>
            </w:pPr>
            <w:r>
              <w:rPr>
                <w:rFonts w:ascii="Arial" w:cs="Arial" w:eastAsia="Arial" w:hAnsi="Arial"/>
                <w:sz w:val="16"/>
                <w:szCs w:val="16"/>
                <w:color w:val="0D0E10"/>
              </w:rPr>
              <w:t>Total Fees</w:t>
            </w:r>
          </w:p>
        </w:tc>
        <w:tc>
          <w:tcPr>
            <w:tcW w:w="2280" w:type="dxa"/>
            <w:vAlign w:val="bottom"/>
          </w:tcPr>
          <w:p>
            <w:pPr>
              <w:jc w:val="center"/>
              <w:ind w:left="799"/>
              <w:spacing w:after="0"/>
              <w:rPr>
                <w:sz w:val="20"/>
                <w:szCs w:val="20"/>
                <w:color w:val="auto"/>
              </w:rPr>
            </w:pPr>
            <w:r>
              <w:rPr>
                <w:rFonts w:ascii="Arial" w:cs="Arial" w:eastAsia="Arial" w:hAnsi="Arial"/>
                <w:sz w:val="16"/>
                <w:szCs w:val="16"/>
                <w:color w:val="0D0E10"/>
                <w:w w:val="98"/>
              </w:rPr>
              <w:t>$3,364</w:t>
            </w:r>
          </w:p>
        </w:tc>
        <w:tc>
          <w:tcPr>
            <w:tcW w:w="4060" w:type="dxa"/>
            <w:vAlign w:val="bottom"/>
          </w:tcPr>
          <w:p>
            <w:pPr>
              <w:jc w:val="center"/>
              <w:ind w:left="799"/>
              <w:spacing w:after="0"/>
              <w:rPr>
                <w:sz w:val="20"/>
                <w:szCs w:val="20"/>
                <w:color w:val="auto"/>
              </w:rPr>
            </w:pPr>
            <w:r>
              <w:rPr>
                <w:rFonts w:ascii="Arial" w:cs="Arial" w:eastAsia="Arial" w:hAnsi="Arial"/>
                <w:sz w:val="16"/>
                <w:szCs w:val="16"/>
                <w:color w:val="0D0E10"/>
              </w:rPr>
              <w:t>$3,125</w:t>
            </w:r>
          </w:p>
        </w:tc>
      </w:tr>
      <w:tr>
        <w:trPr>
          <w:trHeight w:val="29"/>
        </w:trPr>
        <w:tc>
          <w:tcPr>
            <w:tcW w:w="490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c>
          <w:tcPr>
            <w:tcW w:w="4060" w:type="dxa"/>
            <w:vAlign w:val="bottom"/>
            <w:tcBorders>
              <w:bottom w:val="single" w:sz="8" w:color="A5A4A3"/>
            </w:tcBorders>
          </w:tcPr>
          <w:p>
            <w:pPr>
              <w:spacing w:after="0"/>
              <w:rPr>
                <w:sz w:val="2"/>
                <w:szCs w:val="2"/>
                <w:color w:val="auto"/>
              </w:rPr>
            </w:pPr>
          </w:p>
        </w:tc>
      </w:tr>
    </w:tbl>
    <w:p>
      <w:pPr>
        <w:spacing w:after="0" w:line="203" w:lineRule="exact"/>
        <w:rPr>
          <w:sz w:val="20"/>
          <w:szCs w:val="20"/>
          <w:color w:val="auto"/>
        </w:rPr>
      </w:pPr>
    </w:p>
    <w:p>
      <w:pPr>
        <w:ind w:left="340" w:right="800" w:hanging="332"/>
        <w:spacing w:after="0" w:line="324" w:lineRule="auto"/>
        <w:tabs>
          <w:tab w:leader="none" w:pos="343" w:val="left"/>
        </w:tabs>
        <w:numPr>
          <w:ilvl w:val="0"/>
          <w:numId w:val="33"/>
        </w:numPr>
        <w:rPr>
          <w:rFonts w:ascii="Arial" w:cs="Arial" w:eastAsia="Arial" w:hAnsi="Arial"/>
          <w:sz w:val="13"/>
          <w:szCs w:val="13"/>
          <w:color w:val="0D0E10"/>
        </w:rPr>
      </w:pPr>
      <w:r>
        <w:rPr>
          <w:rFonts w:ascii="Arial" w:cs="Arial" w:eastAsia="Arial" w:hAnsi="Arial"/>
          <w:sz w:val="13"/>
          <w:szCs w:val="13"/>
          <w:color w:val="0D0E10"/>
        </w:rPr>
        <w:t>Audit Fees consist of professional services provided in connection with the audit of our annual consolidated financial statements and the review of our unaudited quarterly consolidated financial statements.</w:t>
      </w:r>
    </w:p>
    <w:p>
      <w:pPr>
        <w:spacing w:after="0" w:line="14" w:lineRule="exact"/>
        <w:rPr>
          <w:rFonts w:ascii="Arial" w:cs="Arial" w:eastAsia="Arial" w:hAnsi="Arial"/>
          <w:sz w:val="13"/>
          <w:szCs w:val="13"/>
          <w:color w:val="0D0E10"/>
        </w:rPr>
      </w:pPr>
    </w:p>
    <w:p>
      <w:pPr>
        <w:ind w:left="340" w:right="480" w:hanging="332"/>
        <w:spacing w:after="0" w:line="324" w:lineRule="auto"/>
        <w:tabs>
          <w:tab w:leader="none" w:pos="343" w:val="left"/>
        </w:tabs>
        <w:numPr>
          <w:ilvl w:val="0"/>
          <w:numId w:val="33"/>
        </w:numPr>
        <w:rPr>
          <w:rFonts w:ascii="Arial" w:cs="Arial" w:eastAsia="Arial" w:hAnsi="Arial"/>
          <w:sz w:val="13"/>
          <w:szCs w:val="13"/>
          <w:color w:val="0D0E10"/>
        </w:rPr>
      </w:pPr>
      <w:r>
        <w:rPr>
          <w:rFonts w:ascii="Arial" w:cs="Arial" w:eastAsia="Arial" w:hAnsi="Arial"/>
          <w:sz w:val="13"/>
          <w:szCs w:val="13"/>
          <w:color w:val="0D0E10"/>
        </w:rPr>
        <w:t>Tax Fees consist of fees for professional services for tax compliance, tax advice and tax planning. These services include consultation on tax matters and assistance regarding federal, state, and international tax compliance.</w:t>
      </w:r>
    </w:p>
    <w:p>
      <w:pPr>
        <w:spacing w:after="0" w:line="14" w:lineRule="exact"/>
        <w:rPr>
          <w:rFonts w:ascii="Arial" w:cs="Arial" w:eastAsia="Arial" w:hAnsi="Arial"/>
          <w:sz w:val="13"/>
          <w:szCs w:val="13"/>
          <w:color w:val="0D0E10"/>
        </w:rPr>
      </w:pPr>
    </w:p>
    <w:p>
      <w:pPr>
        <w:ind w:left="340" w:right="440" w:hanging="332"/>
        <w:spacing w:after="0" w:line="324" w:lineRule="auto"/>
        <w:tabs>
          <w:tab w:leader="none" w:pos="343" w:val="left"/>
        </w:tabs>
        <w:numPr>
          <w:ilvl w:val="0"/>
          <w:numId w:val="33"/>
        </w:numPr>
        <w:rPr>
          <w:rFonts w:ascii="Arial" w:cs="Arial" w:eastAsia="Arial" w:hAnsi="Arial"/>
          <w:sz w:val="13"/>
          <w:szCs w:val="13"/>
          <w:color w:val="0D0E10"/>
        </w:rPr>
      </w:pPr>
      <w:r>
        <w:rPr>
          <w:rFonts w:ascii="Arial" w:cs="Arial" w:eastAsia="Arial" w:hAnsi="Arial"/>
          <w:sz w:val="13"/>
          <w:szCs w:val="13"/>
          <w:color w:val="0D0E10"/>
        </w:rPr>
        <w:t>All Other Fees consist of aggregate fees billed for products and services provided by the independent registered public accounting firm other than those disclosed above, which include subscription fees paid for access to online accounting research software applications and data and permissible advisory services.</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34</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left="95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Auditor Independence</w:t>
      </w:r>
    </w:p>
    <w:p>
      <w:pPr>
        <w:spacing w:after="0" w:line="195" w:lineRule="exact"/>
        <w:rPr>
          <w:sz w:val="20"/>
          <w:szCs w:val="20"/>
          <w:color w:val="auto"/>
        </w:rPr>
      </w:pPr>
    </w:p>
    <w:p>
      <w:pPr>
        <w:jc w:val="both"/>
        <w:ind w:right="220"/>
        <w:spacing w:after="0" w:line="308" w:lineRule="auto"/>
        <w:rPr>
          <w:sz w:val="20"/>
          <w:szCs w:val="20"/>
          <w:color w:val="auto"/>
        </w:rPr>
      </w:pPr>
      <w:r>
        <w:rPr>
          <w:rFonts w:ascii="Arial" w:cs="Arial" w:eastAsia="Arial" w:hAnsi="Arial"/>
          <w:sz w:val="18"/>
          <w:szCs w:val="18"/>
          <w:color w:val="0D0E10"/>
        </w:rPr>
        <w:t>Pursuant to its charter and the policy described further below, our Audit Committee pre-approves audit and non-audit services rendered by our independent registered public accounting firm, PwC. Our Audit Committee has determined that the rendering of non-audit services by PwC is compatible with maintaining the independence of PwC.</w:t>
      </w:r>
    </w:p>
    <w:p>
      <w:pPr>
        <w:spacing w:after="0" w:line="98" w:lineRule="exact"/>
        <w:rPr>
          <w:sz w:val="20"/>
          <w:szCs w:val="20"/>
          <w:color w:val="auto"/>
        </w:rPr>
      </w:pPr>
    </w:p>
    <w:p>
      <w:pPr>
        <w:ind w:right="320"/>
        <w:spacing w:after="0" w:line="277" w:lineRule="auto"/>
        <w:rPr>
          <w:sz w:val="20"/>
          <w:szCs w:val="20"/>
          <w:color w:val="auto"/>
        </w:rPr>
      </w:pPr>
      <w:r>
        <w:rPr>
          <w:rFonts w:ascii="Arial" w:cs="Arial" w:eastAsia="Arial" w:hAnsi="Arial"/>
          <w:sz w:val="32"/>
          <w:szCs w:val="32"/>
          <w:color w:val="0D0E10"/>
        </w:rPr>
        <w:t>Audit Committee Policy on Pre-Approval of Audit and Permissible Non-Audit Services of Independent Registered Public Accounting Firm</w:t>
      </w:r>
    </w:p>
    <w:p>
      <w:pPr>
        <w:spacing w:after="0" w:line="78"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0D0E10"/>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PwC for our fiscal years ended January 31, 2023 and 2024 were pre-approved by our Audit Committee.</w:t>
      </w:r>
    </w:p>
    <w:p>
      <w:pPr>
        <w:spacing w:after="0" w:line="89" w:lineRule="exact"/>
        <w:rPr>
          <w:sz w:val="20"/>
          <w:szCs w:val="20"/>
          <w:color w:val="auto"/>
        </w:rPr>
      </w:pPr>
    </w:p>
    <w:p>
      <w:pPr>
        <w:spacing w:after="0"/>
        <w:rPr>
          <w:sz w:val="20"/>
          <w:szCs w:val="20"/>
          <w:color w:val="auto"/>
        </w:rPr>
      </w:pPr>
      <w:r>
        <w:rPr>
          <w:rFonts w:ascii="Arial" w:cs="Arial" w:eastAsia="Arial" w:hAnsi="Arial"/>
          <w:sz w:val="32"/>
          <w:szCs w:val="32"/>
          <w:color w:val="0D0E10"/>
        </w:rPr>
        <w:t>Vote Required</w:t>
      </w:r>
    </w:p>
    <w:p>
      <w:pPr>
        <w:spacing w:after="0" w:line="195" w:lineRule="exact"/>
        <w:rPr>
          <w:sz w:val="20"/>
          <w:szCs w:val="20"/>
          <w:color w:val="auto"/>
        </w:rPr>
      </w:pPr>
    </w:p>
    <w:p>
      <w:pPr>
        <w:spacing w:after="0" w:line="308" w:lineRule="auto"/>
        <w:rPr>
          <w:sz w:val="20"/>
          <w:szCs w:val="20"/>
          <w:color w:val="auto"/>
        </w:rPr>
      </w:pPr>
      <w:r>
        <w:rPr>
          <w:rFonts w:ascii="Arial" w:cs="Arial" w:eastAsia="Arial" w:hAnsi="Arial"/>
          <w:sz w:val="18"/>
          <w:szCs w:val="18"/>
          <w:color w:val="0D0E10"/>
        </w:rPr>
        <w:t>The ratification of the appointment of PwC as our independent registered public accounting firm requires the affirmative vote of a majority of the voting power of the shares of our common stock entitled to vote thereon that are present in person or by proxy at the Annual Meeting and are voted for or against this proposal. Abstentions and broker non-votes will each have no effect on the outcome of this proposal.</w:t>
      </w:r>
    </w:p>
    <w:p>
      <w:pPr>
        <w:spacing w:after="0" w:line="131" w:lineRule="exact"/>
        <w:rPr>
          <w:sz w:val="20"/>
          <w:szCs w:val="20"/>
          <w:color w:val="auto"/>
        </w:rPr>
      </w:pPr>
    </w:p>
    <w:p>
      <w:pPr>
        <w:ind w:right="1880"/>
        <w:spacing w:after="0" w:line="339" w:lineRule="auto"/>
        <w:rPr>
          <w:sz w:val="20"/>
          <w:szCs w:val="20"/>
          <w:color w:val="auto"/>
        </w:rPr>
      </w:pPr>
      <w:r>
        <w:rPr>
          <w:rFonts w:ascii="Arial" w:cs="Arial" w:eastAsia="Arial" w:hAnsi="Arial"/>
          <w:sz w:val="18"/>
          <w:szCs w:val="18"/>
          <w:color w:val="0D0E10"/>
        </w:rPr>
        <w:t xml:space="preserve">THE BOARD OF DIRECTORS RECOMMENDS A VOTE </w:t>
      </w:r>
      <w:r>
        <w:rPr>
          <w:rFonts w:ascii="Arial" w:cs="Arial" w:eastAsia="Arial" w:hAnsi="Arial"/>
          <w:sz w:val="25"/>
          <w:szCs w:val="25"/>
          <w:color w:val="F06A6A"/>
        </w:rPr>
        <w:t>“FOR”</w:t>
      </w:r>
      <w:r>
        <w:rPr>
          <w:rFonts w:ascii="Arial" w:cs="Arial" w:eastAsia="Arial" w:hAnsi="Arial"/>
          <w:sz w:val="18"/>
          <w:szCs w:val="18"/>
          <w:color w:val="0D0E10"/>
        </w:rPr>
        <w:t xml:space="preserve"> THE RATIFICATION OF THE APPOINTMENT OF PRICEWATERHOUSECOOPERS LLP.</w:t>
      </w: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35</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0" w:name="page41"/>
    <w:bookmarkEnd w:id="40"/>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Report of the Audit Committee</w:t>
      </w:r>
    </w:p>
    <w:p>
      <w:pPr>
        <w:spacing w:after="0" w:line="366"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 xml:space="preserve">The Audit Committee is a committee of the Company’s Board of Directors comprised solely of independent directors as required by the listing standards of each of the NYSE and the LTSE as well as the rules and regulations of the Securities and Exchange Commission, or the SEC. The Audit Committee operates under a written charter approved by the Company’s Board of Directors, which is available on the Company’s Investor Relations website at </w:t>
      </w:r>
      <w:r>
        <w:rPr>
          <w:rFonts w:ascii="Arial" w:cs="Arial" w:eastAsia="Arial" w:hAnsi="Arial"/>
          <w:sz w:val="18"/>
          <w:szCs w:val="18"/>
          <w:i w:val="1"/>
          <w:iCs w:val="1"/>
          <w:color w:val="F06A6A"/>
        </w:rPr>
        <w:t>https://investors.asana.com/governance/governance-documents</w:t>
      </w:r>
      <w:r>
        <w:rPr>
          <w:rFonts w:ascii="Arial" w:cs="Arial" w:eastAsia="Arial" w:hAnsi="Arial"/>
          <w:sz w:val="18"/>
          <w:szCs w:val="18"/>
          <w:color w:val="0D0E10"/>
        </w:rPr>
        <w:t>.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31"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With respect to the Company’s financial reporting process, the management of the Company is responsible for (1) establishing and maintaining internal controls and (2) preparing the Company’s consolidated financial statements. The Company’s independent registered public accounting firm, PricewaterhouseCoopers, or PwC, is responsible for performing an independent audit of the Company’s consolidated financial statements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spacing w:after="0" w:line="118" w:lineRule="exact"/>
        <w:rPr>
          <w:sz w:val="20"/>
          <w:szCs w:val="20"/>
          <w:color w:val="auto"/>
        </w:rPr>
      </w:pPr>
    </w:p>
    <w:p>
      <w:pPr>
        <w:ind w:left="620" w:hanging="288"/>
        <w:spacing w:after="0"/>
        <w:tabs>
          <w:tab w:leader="none" w:pos="620" w:val="left"/>
        </w:tabs>
        <w:numPr>
          <w:ilvl w:val="0"/>
          <w:numId w:val="34"/>
        </w:numPr>
        <w:rPr>
          <w:rFonts w:ascii="Arial" w:cs="Arial" w:eastAsia="Arial" w:hAnsi="Arial"/>
          <w:sz w:val="18"/>
          <w:szCs w:val="18"/>
          <w:color w:val="0D0E10"/>
        </w:rPr>
      </w:pPr>
      <w:r>
        <w:rPr>
          <w:rFonts w:ascii="Arial" w:cs="Arial" w:eastAsia="Arial" w:hAnsi="Arial"/>
          <w:sz w:val="18"/>
          <w:szCs w:val="18"/>
          <w:color w:val="0D0E10"/>
        </w:rPr>
        <w:t>reviewed and discussed the audited financial statements with management and PwC;</w:t>
      </w:r>
    </w:p>
    <w:p>
      <w:pPr>
        <w:spacing w:after="0" w:line="103" w:lineRule="exact"/>
        <w:rPr>
          <w:rFonts w:ascii="Arial" w:cs="Arial" w:eastAsia="Arial" w:hAnsi="Arial"/>
          <w:sz w:val="18"/>
          <w:szCs w:val="18"/>
          <w:color w:val="0D0E10"/>
        </w:rPr>
      </w:pPr>
    </w:p>
    <w:p>
      <w:pPr>
        <w:ind w:left="660" w:right="740" w:hanging="328"/>
        <w:spacing w:after="0" w:line="320" w:lineRule="auto"/>
        <w:tabs>
          <w:tab w:leader="none" w:pos="615" w:val="left"/>
        </w:tabs>
        <w:numPr>
          <w:ilvl w:val="0"/>
          <w:numId w:val="34"/>
        </w:numPr>
        <w:rPr>
          <w:rFonts w:ascii="Arial" w:cs="Arial" w:eastAsia="Arial" w:hAnsi="Arial"/>
          <w:sz w:val="18"/>
          <w:szCs w:val="18"/>
          <w:color w:val="0D0E10"/>
        </w:rPr>
      </w:pPr>
      <w:r>
        <w:rPr>
          <w:rFonts w:ascii="Arial" w:cs="Arial" w:eastAsia="Arial" w:hAnsi="Arial"/>
          <w:sz w:val="18"/>
          <w:szCs w:val="18"/>
          <w:color w:val="0D0E10"/>
        </w:rPr>
        <w:t>discussed with PwC the matters required to be discussed by the applicable requirements of the Public Company Accounting Oversight Board and the SEC; and</w:t>
      </w:r>
    </w:p>
    <w:p>
      <w:pPr>
        <w:spacing w:after="0" w:line="1" w:lineRule="exact"/>
        <w:rPr>
          <w:rFonts w:ascii="Arial" w:cs="Arial" w:eastAsia="Arial" w:hAnsi="Arial"/>
          <w:sz w:val="18"/>
          <w:szCs w:val="18"/>
          <w:color w:val="0D0E10"/>
        </w:rPr>
      </w:pPr>
    </w:p>
    <w:p>
      <w:pPr>
        <w:jc w:val="both"/>
        <w:ind w:left="660" w:right="120" w:hanging="328"/>
        <w:spacing w:after="0" w:line="315" w:lineRule="auto"/>
        <w:tabs>
          <w:tab w:leader="none" w:pos="615" w:val="left"/>
        </w:tabs>
        <w:numPr>
          <w:ilvl w:val="0"/>
          <w:numId w:val="34"/>
        </w:numPr>
        <w:rPr>
          <w:rFonts w:ascii="Arial" w:cs="Arial" w:eastAsia="Arial" w:hAnsi="Arial"/>
          <w:sz w:val="18"/>
          <w:szCs w:val="18"/>
          <w:color w:val="0D0E10"/>
        </w:rPr>
      </w:pPr>
      <w:r>
        <w:rPr>
          <w:rFonts w:ascii="Arial" w:cs="Arial" w:eastAsia="Arial" w:hAnsi="Arial"/>
          <w:sz w:val="18"/>
          <w:szCs w:val="18"/>
          <w:color w:val="0D0E10"/>
        </w:rPr>
        <w:t>received and reviewed the written communication from PwC required by applicable requirements of the Public Company Accounting Oversight Board regarding the independent accountant’s communications with the Audit Committee concerning independence, and has discussed with PwC its independence.</w:t>
      </w:r>
    </w:p>
    <w:p>
      <w:pPr>
        <w:spacing w:after="0" w:line="103" w:lineRule="exact"/>
        <w:rPr>
          <w:sz w:val="20"/>
          <w:szCs w:val="20"/>
          <w:color w:val="auto"/>
        </w:rPr>
      </w:pPr>
    </w:p>
    <w:p>
      <w:pPr>
        <w:ind w:right="80"/>
        <w:spacing w:after="0" w:line="315" w:lineRule="auto"/>
        <w:rPr>
          <w:sz w:val="20"/>
          <w:szCs w:val="20"/>
          <w:color w:val="auto"/>
        </w:rPr>
      </w:pPr>
      <w:r>
        <w:rPr>
          <w:rFonts w:ascii="Arial" w:cs="Arial" w:eastAsia="Arial" w:hAnsi="Arial"/>
          <w:sz w:val="18"/>
          <w:szCs w:val="18"/>
          <w:color w:val="0D0E10"/>
        </w:rPr>
        <w:t>Based on the Audit Committee’s review and discussions with management and PwC, the Audit Committee recommended to the Board of Directors that the audited financial statements be included in the Annual Report on Form 10-K for the fiscal year ended January 31, 2024 for filing with the Securities and Exchange Commission.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F06A6A"/>
        </w:rPr>
        <w:t>Respectfully submitted by the members of the Audit Committee of the Board of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Sydney Carey (Chair)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Krista Anderson-Copperman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Andrew Lindsay</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Lorrie Norrington</w:t>
      </w:r>
    </w:p>
    <w:p>
      <w:pPr>
        <w:spacing w:after="0" w:line="212"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0D0E1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the Securities Act, or under the Securities Exchange Act of 1934, as amended, or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36</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3" w:right="359" w:bottom="1440" w:gutter="0" w:footer="0" w:header="0"/>
        </w:sectPr>
      </w:pPr>
    </w:p>
    <w:bookmarkStart w:id="41" w:name="page42"/>
    <w:bookmarkEnd w:id="41"/>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F06A6A"/>
        </w:rPr>
        <w:t>PROPOSAL NO. 3</w:t>
      </w:r>
    </w:p>
    <w:p>
      <w:pPr>
        <w:spacing w:after="0" w:line="40" w:lineRule="exact"/>
        <w:rPr>
          <w:sz w:val="20"/>
          <w:szCs w:val="20"/>
          <w:color w:val="auto"/>
        </w:rPr>
      </w:pPr>
    </w:p>
    <w:p>
      <w:pPr>
        <w:ind w:right="420"/>
        <w:spacing w:after="0" w:line="269" w:lineRule="auto"/>
        <w:rPr>
          <w:sz w:val="20"/>
          <w:szCs w:val="20"/>
          <w:color w:val="auto"/>
        </w:rPr>
      </w:pPr>
      <w:r>
        <w:rPr>
          <w:rFonts w:ascii="Arial" w:cs="Arial" w:eastAsia="Arial" w:hAnsi="Arial"/>
          <w:sz w:val="58"/>
          <w:szCs w:val="58"/>
          <w:color w:val="0D0E10"/>
        </w:rPr>
        <w:t>Advisory Vote on the Compensation of our Named Executive Officers</w:t>
      </w:r>
    </w:p>
    <w:p>
      <w:pPr>
        <w:spacing w:after="0" w:line="189"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0D0E10"/>
        </w:rPr>
        <w:t>As required by Section 14A of the Securities Exchange Act of 1934 (which was added by the Dodd-Frank Wall Street Reform and Consumer Protection Act and the related rules of the SEC, or the Dodd-Frank Act), we are providing our stockholders with the opportunity to cast a non-binding advisory vote to approve the compensation of our named executive officers at the Annual Meeting. This proposal, commonly known as a “say-on-pay” proposal, gives our stockholders the opportunity to express their views on the design and operation of our executive officers compensation program. We currently hold our advisory say-on-pay vote every year. Stockholders will have an opportunity to cast an advisory vote on the frequency of the say-on-pay votes at least every six years. We currently expect that the next advisory vote on the frequency of the say-on-pay votes will occur at the 2028 annual meeting of stockholders.</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8"/>
          <w:szCs w:val="18"/>
          <w:color w:val="0D0E10"/>
        </w:rPr>
        <w:t>Asana’s named executive officer compensation program is designed to attract, reward and retain the caliber of executive officers needed to ensure our continued growth and progress towards profitability. This vote is not intended to address any specific item of compensation or the compensation of any specific named executive officer, but rather the overall compensation of all of our named executive officers described in this proxy statement. The compensation of our named executive officers is disclosed in the section of this proxy statement titled “Executive Compensation”, which consists of the Compensation Discussion and Analysis, the Summary Compensation Table, the ancillary compensation tables, and the related narrative disclosure contained therein. We believe that our named executive officer compensation program is competitive within our industry and strongly aligned with the long-term interests of our stockholders. Our Compensation Committee regularly reviews the compensation program for our named executive officer compensation program to ensure that it achieves the desired goals of aligning our named executive officer compensation structure with our stockholders’ interests, advancement of achieving our mission, and current market practices.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D0E10"/>
        </w:rPr>
        <w:t>For these reasons, our Board recommends a vote in favor of the following resolution:</w:t>
      </w:r>
    </w:p>
    <w:p>
      <w:pPr>
        <w:spacing w:after="0" w:line="212" w:lineRule="exact"/>
        <w:rPr>
          <w:sz w:val="20"/>
          <w:szCs w:val="20"/>
          <w:color w:val="auto"/>
        </w:rPr>
      </w:pPr>
    </w:p>
    <w:p>
      <w:pPr>
        <w:jc w:val="both"/>
        <w:ind w:left="660" w:right="640"/>
        <w:spacing w:after="0" w:line="304" w:lineRule="auto"/>
        <w:rPr>
          <w:sz w:val="20"/>
          <w:szCs w:val="20"/>
          <w:color w:val="auto"/>
        </w:rPr>
      </w:pPr>
      <w:r>
        <w:rPr>
          <w:rFonts w:ascii="Arial" w:cs="Arial" w:eastAsia="Arial" w:hAnsi="Arial"/>
          <w:sz w:val="18"/>
          <w:szCs w:val="18"/>
          <w:color w:val="0D0E10"/>
        </w:rPr>
        <w:t>“</w:t>
      </w:r>
      <w:r>
        <w:rPr>
          <w:rFonts w:ascii="Arial" w:cs="Arial" w:eastAsia="Arial" w:hAnsi="Arial"/>
          <w:sz w:val="18"/>
          <w:szCs w:val="18"/>
          <w:b w:val="1"/>
          <w:bCs w:val="1"/>
          <w:color w:val="0D0E10"/>
        </w:rPr>
        <w:t>RESOLVED,</w:t>
      </w:r>
      <w:r>
        <w:rPr>
          <w:rFonts w:ascii="Arial" w:cs="Arial" w:eastAsia="Arial" w:hAnsi="Arial"/>
          <w:sz w:val="18"/>
          <w:szCs w:val="18"/>
          <w:color w:val="0D0E10"/>
        </w:rPr>
        <w:t xml:space="preserve"> that the stockholders of Asana, Inc. (the “Company”) approve, on an advisory basis, compensation paid to the Company’s named executive officers, as disclosed in this proxy statement for the 2024 Annual Meeting, pursuant to the compensation disclosure rules of the Securities and Exchange Commission, including the Compensation Discussion and Analysis, the compensation tables and the accompanying narrative disclosures.”</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37</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Vote Required</w:t>
      </w:r>
    </w:p>
    <w:p>
      <w:pPr>
        <w:spacing w:after="0" w:line="195"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0D0E10"/>
        </w:rPr>
        <w:t>As an advisory vote, this proposal is not binding upon the Company, our Board or our Compensation Committee. Notwithstanding the advisory nature of this vote, our Board and our Compensation Committee, which is responsible for designing and overseeing our named executive officer compensation program, value the opinions expressed by our stockholders in their vote on this proposal, and will consider the outcome of the vote when making future compensation decisions for our executive officers. Furthermore, Asana’s stockholders are welcome to bring any specific concerns regarding executive compensation to the attention of our Board at any time throughout the year. Approval of this proposal requires the affirmative vote of a majority of the votes present and entitled to vote on the proposal that are present in person or by proxy at the Annual Meeting and are voted for or against this proposal. Stockholders may vote “for” or “against” the proposal, or they may abstain from voting on the proposal. Abstentions and broker non-votes will each have no effect on the outcome of this proposal.</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D0E10"/>
        </w:rPr>
        <w:t xml:space="preserve">THE BOARD OF DIRECTORS RECOMMENDS A VOTE </w:t>
      </w:r>
      <w:r>
        <w:rPr>
          <w:rFonts w:ascii="Arial" w:cs="Arial" w:eastAsia="Arial" w:hAnsi="Arial"/>
          <w:sz w:val="25"/>
          <w:szCs w:val="25"/>
          <w:color w:val="F06A6A"/>
        </w:rPr>
        <w:t>“FOR”</w:t>
      </w:r>
      <w:r>
        <w:rPr>
          <w:rFonts w:ascii="Arial" w:cs="Arial" w:eastAsia="Arial" w:hAnsi="Arial"/>
          <w:sz w:val="18"/>
          <w:szCs w:val="18"/>
          <w:color w:val="0D0E10"/>
        </w:rPr>
        <w:t xml:space="preserve"> THE COMPENSATION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38</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3" w:name="page44"/>
    <w:bookmarkEnd w:id="43"/>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Executive Officers</w:t>
      </w:r>
    </w:p>
    <w:p>
      <w:pPr>
        <w:spacing w:after="0" w:line="366" w:lineRule="exact"/>
        <w:rPr>
          <w:sz w:val="20"/>
          <w:szCs w:val="20"/>
          <w:color w:val="auto"/>
        </w:rPr>
      </w:pPr>
    </w:p>
    <w:p>
      <w:pPr>
        <w:ind w:right="100"/>
        <w:spacing w:after="0" w:line="334" w:lineRule="auto"/>
        <w:rPr>
          <w:sz w:val="20"/>
          <w:szCs w:val="20"/>
          <w:color w:val="auto"/>
        </w:rPr>
      </w:pPr>
      <w:r>
        <w:rPr>
          <w:rFonts w:ascii="Arial" w:cs="Arial" w:eastAsia="Arial" w:hAnsi="Arial"/>
          <w:sz w:val="18"/>
          <w:szCs w:val="18"/>
          <w:color w:val="0D0E10"/>
        </w:rPr>
        <w:t>The following table identifies certain information about our executive officers as of May 3, 2024. Our executive officers are appointed by, and serve at the discretion of, our Board of Directors. There are no family relationships among any of our directors or executive officers.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w:t>
            </w:r>
          </w:p>
        </w:tc>
        <w:tc>
          <w:tcPr>
            <w:tcW w:w="900" w:type="dxa"/>
            <w:vAlign w:val="bottom"/>
            <w:shd w:val="clear" w:color="auto" w:fill="EEEBEA"/>
          </w:tcPr>
          <w:p>
            <w:pPr>
              <w:jc w:val="center"/>
              <w:ind w:left="119"/>
              <w:spacing w:after="0"/>
              <w:rPr>
                <w:sz w:val="20"/>
                <w:szCs w:val="20"/>
                <w:color w:val="auto"/>
              </w:rPr>
            </w:pPr>
            <w:r>
              <w:rPr>
                <w:rFonts w:ascii="Arial" w:cs="Arial" w:eastAsia="Arial" w:hAnsi="Arial"/>
                <w:sz w:val="16"/>
                <w:szCs w:val="16"/>
                <w:b w:val="1"/>
                <w:bCs w:val="1"/>
                <w:color w:val="F06A6A"/>
                <w:w w:val="99"/>
              </w:rPr>
              <w:t>Age</w:t>
            </w:r>
          </w:p>
        </w:tc>
        <w:tc>
          <w:tcPr>
            <w:tcW w:w="6440" w:type="dxa"/>
            <w:vAlign w:val="bottom"/>
            <w:shd w:val="clear" w:color="auto" w:fill="EEEBEA"/>
          </w:tcPr>
          <w:p>
            <w:pPr>
              <w:ind w:left="200"/>
              <w:spacing w:after="0"/>
              <w:rPr>
                <w:sz w:val="20"/>
                <w:szCs w:val="20"/>
                <w:color w:val="auto"/>
              </w:rPr>
            </w:pPr>
            <w:r>
              <w:rPr>
                <w:rFonts w:ascii="Arial" w:cs="Arial" w:eastAsia="Arial" w:hAnsi="Arial"/>
                <w:sz w:val="16"/>
                <w:szCs w:val="16"/>
                <w:b w:val="1"/>
                <w:bCs w:val="1"/>
                <w:color w:val="F06A6A"/>
              </w:rPr>
              <w:t>Position</w:t>
            </w:r>
          </w:p>
        </w:tc>
      </w:tr>
      <w:tr>
        <w:trPr>
          <w:trHeight w:val="122"/>
        </w:trPr>
        <w:tc>
          <w:tcPr>
            <w:tcW w:w="3900" w:type="dxa"/>
            <w:vAlign w:val="bottom"/>
            <w:tcBorders>
              <w:bottom w:val="single" w:sz="8" w:color="A5A4A3"/>
            </w:tcBorders>
            <w:shd w:val="clear" w:color="auto" w:fill="EEEBEA"/>
          </w:tcPr>
          <w:p>
            <w:pPr>
              <w:spacing w:after="0"/>
              <w:rPr>
                <w:sz w:val="10"/>
                <w:szCs w:val="10"/>
                <w:color w:val="auto"/>
              </w:rPr>
            </w:pPr>
          </w:p>
        </w:tc>
        <w:tc>
          <w:tcPr>
            <w:tcW w:w="900" w:type="dxa"/>
            <w:vAlign w:val="bottom"/>
            <w:tcBorders>
              <w:bottom w:val="single" w:sz="8" w:color="A5A4A3"/>
            </w:tcBorders>
            <w:shd w:val="clear" w:color="auto" w:fill="EEEBEA"/>
          </w:tcPr>
          <w:p>
            <w:pPr>
              <w:spacing w:after="0"/>
              <w:rPr>
                <w:sz w:val="10"/>
                <w:szCs w:val="10"/>
                <w:color w:val="auto"/>
              </w:rPr>
            </w:pPr>
          </w:p>
        </w:tc>
        <w:tc>
          <w:tcPr>
            <w:tcW w:w="6440" w:type="dxa"/>
            <w:vAlign w:val="bottom"/>
            <w:tcBorders>
              <w:bottom w:val="single" w:sz="8" w:color="A5A4A3"/>
            </w:tcBorders>
            <w:shd w:val="clear" w:color="auto" w:fill="EEEBEA"/>
          </w:tcPr>
          <w:p>
            <w:pPr>
              <w:spacing w:after="0"/>
              <w:rPr>
                <w:sz w:val="10"/>
                <w:szCs w:val="10"/>
                <w:color w:val="auto"/>
              </w:rPr>
            </w:pPr>
          </w:p>
        </w:tc>
      </w:tr>
      <w:tr>
        <w:trPr>
          <w:trHeight w:val="221"/>
        </w:trPr>
        <w:tc>
          <w:tcPr>
            <w:tcW w:w="390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900" w:type="dxa"/>
            <w:vAlign w:val="bottom"/>
          </w:tcPr>
          <w:p>
            <w:pPr>
              <w:jc w:val="center"/>
              <w:ind w:left="119"/>
              <w:spacing w:after="0"/>
              <w:rPr>
                <w:sz w:val="20"/>
                <w:szCs w:val="20"/>
                <w:color w:val="auto"/>
              </w:rPr>
            </w:pPr>
            <w:r>
              <w:rPr>
                <w:rFonts w:ascii="Arial" w:cs="Arial" w:eastAsia="Arial" w:hAnsi="Arial"/>
                <w:sz w:val="16"/>
                <w:szCs w:val="16"/>
                <w:color w:val="0D0E10"/>
              </w:rPr>
              <w:t>39</w:t>
            </w:r>
          </w:p>
        </w:tc>
        <w:tc>
          <w:tcPr>
            <w:tcW w:w="6440" w:type="dxa"/>
            <w:vAlign w:val="bottom"/>
          </w:tcPr>
          <w:p>
            <w:pPr>
              <w:ind w:left="200"/>
              <w:spacing w:after="0"/>
              <w:rPr>
                <w:sz w:val="20"/>
                <w:szCs w:val="20"/>
                <w:color w:val="auto"/>
              </w:rPr>
            </w:pPr>
            <w:r>
              <w:rPr>
                <w:rFonts w:ascii="Arial" w:cs="Arial" w:eastAsia="Arial" w:hAnsi="Arial"/>
                <w:sz w:val="16"/>
                <w:szCs w:val="16"/>
                <w:color w:val="0D0E10"/>
              </w:rPr>
              <w:t>President, Chief Executive Officer, and Chair of the Board</w:t>
            </w:r>
          </w:p>
        </w:tc>
      </w:tr>
      <w:tr>
        <w:trPr>
          <w:trHeight w:val="29"/>
        </w:trPr>
        <w:tc>
          <w:tcPr>
            <w:tcW w:w="3900" w:type="dxa"/>
            <w:vAlign w:val="bottom"/>
            <w:tcBorders>
              <w:bottom w:val="single" w:sz="8" w:color="A5A4A3"/>
            </w:tcBorders>
          </w:tcPr>
          <w:p>
            <w:pPr>
              <w:spacing w:after="0"/>
              <w:rPr>
                <w:sz w:val="2"/>
                <w:szCs w:val="2"/>
                <w:color w:val="auto"/>
              </w:rPr>
            </w:pPr>
          </w:p>
        </w:tc>
        <w:tc>
          <w:tcPr>
            <w:tcW w:w="900" w:type="dxa"/>
            <w:vAlign w:val="bottom"/>
            <w:tcBorders>
              <w:bottom w:val="single" w:sz="8" w:color="A5A4A3"/>
            </w:tcBorders>
          </w:tcPr>
          <w:p>
            <w:pPr>
              <w:spacing w:after="0"/>
              <w:rPr>
                <w:sz w:val="2"/>
                <w:szCs w:val="2"/>
                <w:color w:val="auto"/>
              </w:rPr>
            </w:pPr>
          </w:p>
        </w:tc>
        <w:tc>
          <w:tcPr>
            <w:tcW w:w="6440" w:type="dxa"/>
            <w:vAlign w:val="bottom"/>
            <w:tcBorders>
              <w:bottom w:val="single" w:sz="8" w:color="A5A4A3"/>
            </w:tcBorders>
          </w:tcPr>
          <w:p>
            <w:pPr>
              <w:spacing w:after="0"/>
              <w:rPr>
                <w:sz w:val="2"/>
                <w:szCs w:val="2"/>
                <w:color w:val="auto"/>
              </w:rPr>
            </w:pPr>
          </w:p>
        </w:tc>
      </w:tr>
      <w:tr>
        <w:trPr>
          <w:trHeight w:val="221"/>
        </w:trPr>
        <w:tc>
          <w:tcPr>
            <w:tcW w:w="3900" w:type="dxa"/>
            <w:vAlign w:val="bottom"/>
          </w:tcPr>
          <w:p>
            <w:pPr>
              <w:ind w:left="100"/>
              <w:spacing w:after="0"/>
              <w:rPr>
                <w:sz w:val="20"/>
                <w:szCs w:val="20"/>
                <w:color w:val="auto"/>
              </w:rPr>
            </w:pPr>
            <w:r>
              <w:rPr>
                <w:rFonts w:ascii="Arial" w:cs="Arial" w:eastAsia="Arial" w:hAnsi="Arial"/>
                <w:sz w:val="16"/>
                <w:szCs w:val="16"/>
                <w:color w:val="0D0E10"/>
              </w:rPr>
              <w:t>Tim Wan</w:t>
            </w:r>
          </w:p>
        </w:tc>
        <w:tc>
          <w:tcPr>
            <w:tcW w:w="900" w:type="dxa"/>
            <w:vAlign w:val="bottom"/>
          </w:tcPr>
          <w:p>
            <w:pPr>
              <w:jc w:val="center"/>
              <w:ind w:left="119"/>
              <w:spacing w:after="0"/>
              <w:rPr>
                <w:sz w:val="20"/>
                <w:szCs w:val="20"/>
                <w:color w:val="auto"/>
              </w:rPr>
            </w:pPr>
            <w:r>
              <w:rPr>
                <w:rFonts w:ascii="Arial" w:cs="Arial" w:eastAsia="Arial" w:hAnsi="Arial"/>
                <w:sz w:val="16"/>
                <w:szCs w:val="16"/>
                <w:color w:val="0D0E10"/>
              </w:rPr>
              <w:t>53</w:t>
            </w:r>
          </w:p>
        </w:tc>
        <w:tc>
          <w:tcPr>
            <w:tcW w:w="6440" w:type="dxa"/>
            <w:vAlign w:val="bottom"/>
          </w:tcPr>
          <w:p>
            <w:pPr>
              <w:ind w:left="200"/>
              <w:spacing w:after="0"/>
              <w:rPr>
                <w:sz w:val="20"/>
                <w:szCs w:val="20"/>
                <w:color w:val="auto"/>
              </w:rPr>
            </w:pPr>
            <w:r>
              <w:rPr>
                <w:rFonts w:ascii="Arial" w:cs="Arial" w:eastAsia="Arial" w:hAnsi="Arial"/>
                <w:sz w:val="16"/>
                <w:szCs w:val="16"/>
                <w:color w:val="0D0E10"/>
              </w:rPr>
              <w:t>Chief Financial Officer</w:t>
            </w:r>
          </w:p>
        </w:tc>
      </w:tr>
      <w:tr>
        <w:trPr>
          <w:trHeight w:val="29"/>
        </w:trPr>
        <w:tc>
          <w:tcPr>
            <w:tcW w:w="3900" w:type="dxa"/>
            <w:vAlign w:val="bottom"/>
            <w:tcBorders>
              <w:bottom w:val="single" w:sz="8" w:color="A5A4A3"/>
            </w:tcBorders>
          </w:tcPr>
          <w:p>
            <w:pPr>
              <w:spacing w:after="0"/>
              <w:rPr>
                <w:sz w:val="2"/>
                <w:szCs w:val="2"/>
                <w:color w:val="auto"/>
              </w:rPr>
            </w:pPr>
          </w:p>
        </w:tc>
        <w:tc>
          <w:tcPr>
            <w:tcW w:w="900" w:type="dxa"/>
            <w:vAlign w:val="bottom"/>
            <w:tcBorders>
              <w:bottom w:val="single" w:sz="8" w:color="A5A4A3"/>
            </w:tcBorders>
          </w:tcPr>
          <w:p>
            <w:pPr>
              <w:spacing w:after="0"/>
              <w:rPr>
                <w:sz w:val="2"/>
                <w:szCs w:val="2"/>
                <w:color w:val="auto"/>
              </w:rPr>
            </w:pPr>
          </w:p>
        </w:tc>
        <w:tc>
          <w:tcPr>
            <w:tcW w:w="6440" w:type="dxa"/>
            <w:vAlign w:val="bottom"/>
            <w:tcBorders>
              <w:bottom w:val="single" w:sz="8" w:color="A5A4A3"/>
            </w:tcBorders>
          </w:tcPr>
          <w:p>
            <w:pPr>
              <w:spacing w:after="0"/>
              <w:rPr>
                <w:sz w:val="2"/>
                <w:szCs w:val="2"/>
                <w:color w:val="auto"/>
              </w:rPr>
            </w:pPr>
          </w:p>
        </w:tc>
      </w:tr>
      <w:tr>
        <w:trPr>
          <w:trHeight w:val="221"/>
        </w:trPr>
        <w:tc>
          <w:tcPr>
            <w:tcW w:w="3900" w:type="dxa"/>
            <w:vAlign w:val="bottom"/>
          </w:tcPr>
          <w:p>
            <w:pPr>
              <w:ind w:left="100"/>
              <w:spacing w:after="0"/>
              <w:rPr>
                <w:sz w:val="20"/>
                <w:szCs w:val="20"/>
                <w:color w:val="auto"/>
              </w:rPr>
            </w:pPr>
            <w:r>
              <w:rPr>
                <w:rFonts w:ascii="Arial" w:cs="Arial" w:eastAsia="Arial" w:hAnsi="Arial"/>
                <w:sz w:val="16"/>
                <w:szCs w:val="16"/>
                <w:color w:val="0D0E10"/>
              </w:rPr>
              <w:t>Eleanor Lacey</w:t>
            </w:r>
          </w:p>
        </w:tc>
        <w:tc>
          <w:tcPr>
            <w:tcW w:w="900" w:type="dxa"/>
            <w:vAlign w:val="bottom"/>
          </w:tcPr>
          <w:p>
            <w:pPr>
              <w:jc w:val="center"/>
              <w:ind w:left="119"/>
              <w:spacing w:after="0"/>
              <w:rPr>
                <w:sz w:val="20"/>
                <w:szCs w:val="20"/>
                <w:color w:val="auto"/>
              </w:rPr>
            </w:pPr>
            <w:r>
              <w:rPr>
                <w:rFonts w:ascii="Arial" w:cs="Arial" w:eastAsia="Arial" w:hAnsi="Arial"/>
                <w:sz w:val="16"/>
                <w:szCs w:val="16"/>
                <w:color w:val="0D0E10"/>
              </w:rPr>
              <w:t>56</w:t>
            </w:r>
          </w:p>
        </w:tc>
        <w:tc>
          <w:tcPr>
            <w:tcW w:w="6440" w:type="dxa"/>
            <w:vAlign w:val="bottom"/>
          </w:tcPr>
          <w:p>
            <w:pPr>
              <w:ind w:left="200"/>
              <w:spacing w:after="0"/>
              <w:rPr>
                <w:sz w:val="20"/>
                <w:szCs w:val="20"/>
                <w:color w:val="auto"/>
              </w:rPr>
            </w:pPr>
            <w:r>
              <w:rPr>
                <w:rFonts w:ascii="Arial" w:cs="Arial" w:eastAsia="Arial" w:hAnsi="Arial"/>
                <w:sz w:val="16"/>
                <w:szCs w:val="16"/>
                <w:color w:val="0D0E10"/>
              </w:rPr>
              <w:t>General Counsel and Corporate Secretary</w:t>
            </w:r>
          </w:p>
        </w:tc>
      </w:tr>
      <w:tr>
        <w:trPr>
          <w:trHeight w:val="29"/>
        </w:trPr>
        <w:tc>
          <w:tcPr>
            <w:tcW w:w="3900" w:type="dxa"/>
            <w:vAlign w:val="bottom"/>
            <w:tcBorders>
              <w:bottom w:val="single" w:sz="8" w:color="A5A4A3"/>
            </w:tcBorders>
          </w:tcPr>
          <w:p>
            <w:pPr>
              <w:spacing w:after="0"/>
              <w:rPr>
                <w:sz w:val="2"/>
                <w:szCs w:val="2"/>
                <w:color w:val="auto"/>
              </w:rPr>
            </w:pPr>
          </w:p>
        </w:tc>
        <w:tc>
          <w:tcPr>
            <w:tcW w:w="900" w:type="dxa"/>
            <w:vAlign w:val="bottom"/>
            <w:tcBorders>
              <w:bottom w:val="single" w:sz="8" w:color="A5A4A3"/>
            </w:tcBorders>
          </w:tcPr>
          <w:p>
            <w:pPr>
              <w:spacing w:after="0"/>
              <w:rPr>
                <w:sz w:val="2"/>
                <w:szCs w:val="2"/>
                <w:color w:val="auto"/>
              </w:rPr>
            </w:pPr>
          </w:p>
        </w:tc>
        <w:tc>
          <w:tcPr>
            <w:tcW w:w="6440" w:type="dxa"/>
            <w:vAlign w:val="bottom"/>
            <w:tcBorders>
              <w:bottom w:val="single" w:sz="8" w:color="A5A4A3"/>
            </w:tcBorders>
          </w:tcPr>
          <w:p>
            <w:pPr>
              <w:spacing w:after="0"/>
              <w:rPr>
                <w:sz w:val="2"/>
                <w:szCs w:val="2"/>
                <w:color w:val="auto"/>
              </w:rPr>
            </w:pPr>
          </w:p>
        </w:tc>
      </w:tr>
      <w:tr>
        <w:trPr>
          <w:trHeight w:val="221"/>
        </w:trPr>
        <w:tc>
          <w:tcPr>
            <w:tcW w:w="3900" w:type="dxa"/>
            <w:vAlign w:val="bottom"/>
          </w:tcPr>
          <w:p>
            <w:pPr>
              <w:ind w:left="100"/>
              <w:spacing w:after="0"/>
              <w:rPr>
                <w:sz w:val="20"/>
                <w:szCs w:val="20"/>
                <w:color w:val="auto"/>
              </w:rPr>
            </w:pPr>
            <w:r>
              <w:rPr>
                <w:rFonts w:ascii="Arial" w:cs="Arial" w:eastAsia="Arial" w:hAnsi="Arial"/>
                <w:sz w:val="16"/>
                <w:szCs w:val="16"/>
                <w:color w:val="0D0E10"/>
              </w:rPr>
              <w:t>Anne Raimondi</w:t>
            </w:r>
          </w:p>
        </w:tc>
        <w:tc>
          <w:tcPr>
            <w:tcW w:w="900" w:type="dxa"/>
            <w:vAlign w:val="bottom"/>
          </w:tcPr>
          <w:p>
            <w:pPr>
              <w:jc w:val="center"/>
              <w:ind w:left="119"/>
              <w:spacing w:after="0"/>
              <w:rPr>
                <w:sz w:val="20"/>
                <w:szCs w:val="20"/>
                <w:color w:val="auto"/>
              </w:rPr>
            </w:pPr>
            <w:r>
              <w:rPr>
                <w:rFonts w:ascii="Arial" w:cs="Arial" w:eastAsia="Arial" w:hAnsi="Arial"/>
                <w:sz w:val="16"/>
                <w:szCs w:val="16"/>
                <w:color w:val="0D0E10"/>
              </w:rPr>
              <w:t>52</w:t>
            </w:r>
          </w:p>
        </w:tc>
        <w:tc>
          <w:tcPr>
            <w:tcW w:w="6440" w:type="dxa"/>
            <w:vAlign w:val="bottom"/>
          </w:tcPr>
          <w:p>
            <w:pPr>
              <w:ind w:left="200"/>
              <w:spacing w:after="0"/>
              <w:rPr>
                <w:sz w:val="20"/>
                <w:szCs w:val="20"/>
                <w:color w:val="auto"/>
              </w:rPr>
            </w:pPr>
            <w:r>
              <w:rPr>
                <w:rFonts w:ascii="Arial" w:cs="Arial" w:eastAsia="Arial" w:hAnsi="Arial"/>
                <w:sz w:val="16"/>
                <w:szCs w:val="16"/>
                <w:color w:val="0D0E10"/>
              </w:rPr>
              <w:t>Chief Operating Officer</w:t>
            </w:r>
          </w:p>
        </w:tc>
      </w:tr>
      <w:tr>
        <w:trPr>
          <w:trHeight w:val="29"/>
        </w:trPr>
        <w:tc>
          <w:tcPr>
            <w:tcW w:w="3900" w:type="dxa"/>
            <w:vAlign w:val="bottom"/>
            <w:tcBorders>
              <w:bottom w:val="single" w:sz="8" w:color="A5A4A3"/>
            </w:tcBorders>
          </w:tcPr>
          <w:p>
            <w:pPr>
              <w:spacing w:after="0"/>
              <w:rPr>
                <w:sz w:val="2"/>
                <w:szCs w:val="2"/>
                <w:color w:val="auto"/>
              </w:rPr>
            </w:pPr>
          </w:p>
        </w:tc>
        <w:tc>
          <w:tcPr>
            <w:tcW w:w="900" w:type="dxa"/>
            <w:vAlign w:val="bottom"/>
            <w:tcBorders>
              <w:bottom w:val="single" w:sz="8" w:color="A5A4A3"/>
            </w:tcBorders>
          </w:tcPr>
          <w:p>
            <w:pPr>
              <w:spacing w:after="0"/>
              <w:rPr>
                <w:sz w:val="2"/>
                <w:szCs w:val="2"/>
                <w:color w:val="auto"/>
              </w:rPr>
            </w:pPr>
          </w:p>
        </w:tc>
        <w:tc>
          <w:tcPr>
            <w:tcW w:w="6440" w:type="dxa"/>
            <w:vAlign w:val="bottom"/>
            <w:tcBorders>
              <w:bottom w:val="single" w:sz="8" w:color="A5A4A3"/>
            </w:tcBorders>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ind w:right="120"/>
        <w:spacing w:after="0" w:line="320" w:lineRule="auto"/>
        <w:rPr>
          <w:sz w:val="20"/>
          <w:szCs w:val="20"/>
          <w:color w:val="auto"/>
        </w:rPr>
      </w:pPr>
      <w:r>
        <w:rPr>
          <w:rFonts w:ascii="Arial" w:cs="Arial" w:eastAsia="Arial" w:hAnsi="Arial"/>
          <w:sz w:val="18"/>
          <w:szCs w:val="18"/>
          <w:i w:val="1"/>
          <w:iCs w:val="1"/>
          <w:color w:val="F06A6A"/>
        </w:rPr>
        <w:t xml:space="preserve">Dustin Moskovitz. </w:t>
      </w:r>
      <w:r>
        <w:rPr>
          <w:rFonts w:ascii="Arial" w:cs="Arial" w:eastAsia="Arial" w:hAnsi="Arial"/>
          <w:sz w:val="18"/>
          <w:szCs w:val="18"/>
          <w:color w:val="0D0E10"/>
        </w:rPr>
        <w:t>Dustin Moskovitz co-founded Asana and has served as a member of our Board of Directors since December 2008, as our</w:t>
      </w:r>
      <w:r>
        <w:rPr>
          <w:rFonts w:ascii="Arial" w:cs="Arial" w:eastAsia="Arial" w:hAnsi="Arial"/>
          <w:sz w:val="18"/>
          <w:szCs w:val="18"/>
          <w:i w:val="1"/>
          <w:iCs w:val="1"/>
          <w:color w:val="F06A6A"/>
        </w:rPr>
        <w:t xml:space="preserve"> </w:t>
      </w:r>
      <w:r>
        <w:rPr>
          <w:rFonts w:ascii="Arial" w:cs="Arial" w:eastAsia="Arial" w:hAnsi="Arial"/>
          <w:sz w:val="18"/>
          <w:szCs w:val="18"/>
          <w:color w:val="0D0E10"/>
        </w:rPr>
        <w:t>CEO 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32" w:lineRule="exact"/>
        <w:rPr>
          <w:sz w:val="20"/>
          <w:szCs w:val="20"/>
          <w:color w:val="auto"/>
        </w:rPr>
      </w:pPr>
    </w:p>
    <w:p>
      <w:pPr>
        <w:ind w:right="20"/>
        <w:spacing w:after="0" w:line="319" w:lineRule="auto"/>
        <w:rPr>
          <w:sz w:val="20"/>
          <w:szCs w:val="20"/>
          <w:color w:val="auto"/>
        </w:rPr>
      </w:pPr>
      <w:r>
        <w:rPr>
          <w:rFonts w:ascii="Arial" w:cs="Arial" w:eastAsia="Arial" w:hAnsi="Arial"/>
          <w:sz w:val="18"/>
          <w:szCs w:val="18"/>
          <w:i w:val="1"/>
          <w:iCs w:val="1"/>
          <w:color w:val="F06A6A"/>
        </w:rPr>
        <w:t xml:space="preserve">Tim Wan. </w:t>
      </w:r>
      <w:r>
        <w:rPr>
          <w:rFonts w:ascii="Arial" w:cs="Arial" w:eastAsia="Arial" w:hAnsi="Arial"/>
          <w:sz w:val="18"/>
          <w:szCs w:val="18"/>
          <w:color w:val="0D0E10"/>
        </w:rPr>
        <w:t>Tim Wan has served as our Chief Financial Officer since January 2017, and he previously served as our Secretary from May 2018</w:t>
      </w:r>
      <w:r>
        <w:rPr>
          <w:rFonts w:ascii="Arial" w:cs="Arial" w:eastAsia="Arial" w:hAnsi="Arial"/>
          <w:sz w:val="18"/>
          <w:szCs w:val="18"/>
          <w:i w:val="1"/>
          <w:iCs w:val="1"/>
          <w:color w:val="F06A6A"/>
        </w:rPr>
        <w:t xml:space="preserve"> </w:t>
      </w:r>
      <w:r>
        <w:rPr>
          <w:rFonts w:ascii="Arial" w:cs="Arial" w:eastAsia="Arial" w:hAnsi="Arial"/>
          <w:sz w:val="18"/>
          <w:szCs w:val="18"/>
          <w:color w:val="0D0E10"/>
        </w:rPr>
        <w:t>to September 2019. Prior to joining Asana, Mr. Wan served as the Chief Financial Officer of Apigee Corporation, an API platform technology company, from March 2015 to January 2017. From June 2000 to February 2015, Mr. Wan served in a variety of senior roles at RealNetworks, Inc., a digital media and applications company, including as Senior Vice President, Chief Financial Officer, and Treasurer from April 2012 to February 2015, Vice President, Finance from September 2009 to April 2012, and various leadership positions from June 2000 to August 2009. Additionally, Mr. Wan served on the board of directors of RealNetworks, Inc. from December 2019 to January 2023. Mr. Wan holds a B.A. in economics from the University of California, Los Angeles and an M.B.A. from the University of Southern California.</w:t>
      </w:r>
    </w:p>
    <w:p>
      <w:pPr>
        <w:spacing w:after="0" w:line="45" w:lineRule="exact"/>
        <w:rPr>
          <w:sz w:val="20"/>
          <w:szCs w:val="20"/>
          <w:color w:val="auto"/>
        </w:rPr>
      </w:pPr>
    </w:p>
    <w:p>
      <w:pPr>
        <w:ind w:right="160"/>
        <w:spacing w:after="0" w:line="319" w:lineRule="auto"/>
        <w:rPr>
          <w:sz w:val="20"/>
          <w:szCs w:val="20"/>
          <w:color w:val="auto"/>
        </w:rPr>
      </w:pPr>
      <w:r>
        <w:rPr>
          <w:rFonts w:ascii="Arial" w:cs="Arial" w:eastAsia="Arial" w:hAnsi="Arial"/>
          <w:sz w:val="18"/>
          <w:szCs w:val="18"/>
          <w:i w:val="1"/>
          <w:iCs w:val="1"/>
          <w:color w:val="F06A6A"/>
        </w:rPr>
        <w:t xml:space="preserve">Eleanor Lacey. </w:t>
      </w:r>
      <w:r>
        <w:rPr>
          <w:rFonts w:ascii="Arial" w:cs="Arial" w:eastAsia="Arial" w:hAnsi="Arial"/>
          <w:sz w:val="18"/>
          <w:szCs w:val="18"/>
          <w:color w:val="0D0E10"/>
        </w:rPr>
        <w:t>Eleanor Lacey has served as our General Counsel since July 2019 and as our Corporate Secretary since September 2019.</w:t>
      </w:r>
      <w:r>
        <w:rPr>
          <w:rFonts w:ascii="Arial" w:cs="Arial" w:eastAsia="Arial" w:hAnsi="Arial"/>
          <w:sz w:val="18"/>
          <w:szCs w:val="18"/>
          <w:i w:val="1"/>
          <w:iCs w:val="1"/>
          <w:color w:val="F06A6A"/>
        </w:rPr>
        <w:t xml:space="preserve"> </w:t>
      </w:r>
      <w:r>
        <w:rPr>
          <w:rFonts w:ascii="Arial" w:cs="Arial" w:eastAsia="Arial" w:hAnsi="Arial"/>
          <w:sz w:val="18"/>
          <w:szCs w:val="18"/>
          <w:color w:val="0D0E10"/>
        </w:rPr>
        <w:t>Prior to joining Asana, from November 2016 to July 2019, Ms. Lacey was with Sophos, Inc., an affiliated entity of Sophos Group plc, a security software and hardware company, most recently serving as Executive Vice President and Chief Legal Officer, and served as Group Company Secretary at Sophos Group plc. From July 2012 to November 2016, Ms. Lacey led the legal department of SurveyMonkey, Inc., a SaaS software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39</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44" w:name="page45"/>
    <w:bookmarkEnd w:id="44"/>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317" w:lineRule="auto"/>
        <w:rPr>
          <w:sz w:val="20"/>
          <w:szCs w:val="20"/>
          <w:color w:val="auto"/>
        </w:rPr>
      </w:pPr>
      <w:r>
        <w:rPr>
          <w:rFonts w:ascii="Arial" w:cs="Arial" w:eastAsia="Arial" w:hAnsi="Arial"/>
          <w:sz w:val="18"/>
          <w:szCs w:val="18"/>
          <w:i w:val="1"/>
          <w:iCs w:val="1"/>
          <w:color w:val="F06A6A"/>
        </w:rPr>
        <w:t xml:space="preserve">Anne Raimondi. </w:t>
      </w:r>
      <w:r>
        <w:rPr>
          <w:rFonts w:ascii="Arial" w:cs="Arial" w:eastAsia="Arial" w:hAnsi="Arial"/>
          <w:sz w:val="18"/>
          <w:szCs w:val="18"/>
          <w:color w:val="0D0E10"/>
        </w:rPr>
        <w:t>Anne Raimondi has served as our Chief Operating Officer since August 2021. Previously, Ms. Raimondi served as a</w:t>
      </w:r>
      <w:r>
        <w:rPr>
          <w:rFonts w:ascii="Arial" w:cs="Arial" w:eastAsia="Arial" w:hAnsi="Arial"/>
          <w:sz w:val="18"/>
          <w:szCs w:val="18"/>
          <w:i w:val="1"/>
          <w:iCs w:val="1"/>
          <w:color w:val="F06A6A"/>
        </w:rPr>
        <w:t xml:space="preserve"> </w:t>
      </w:r>
      <w:r>
        <w:rPr>
          <w:rFonts w:ascii="Arial" w:cs="Arial" w:eastAsia="Arial" w:hAnsi="Arial"/>
          <w:sz w:val="18"/>
          <w:szCs w:val="18"/>
          <w:color w:val="0D0E10"/>
        </w:rPr>
        <w:t>member of our Board of Directors from February 2019 to August 2021, including service as our Lead Independent Director from December 2019 to August 2021. Ms. Raimondi served as the Chief Customer Officer of Guru Technologies, Inc., a knowledge management solution company, from May 2019 through January 2021 and recently joined its board of directors as an independent director in February 2021. Prior to joining Guru, from August 2013 to November 2017, Ms. Raimondi served several roles at Zendesk, Inc., a customer service platform provider, including as Senior Vice President, Strategy, Senior Vice President, Operations, and Vice President, People Operations. Ms. Raimondi currently also serves on the boards of Gusto, Inc. and Patreon, Inc., both of which are privately-held corporations, and has previously served on the board of directors of several other companies, including SendGrid, Inc. from February 2018 to February 2019, and Bloc, Inc. from June 2017 to April 2018. Ms. Raimondi holds a B.A. in economics and sociology and an M.B.A. from Stanford University.</w:t>
      </w: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40</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5" w:name="page46"/>
    <w:bookmarkEnd w:id="45"/>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Executive Compensation</w:t>
      </w:r>
    </w:p>
    <w:p>
      <w:pPr>
        <w:spacing w:after="0" w:line="343" w:lineRule="exact"/>
        <w:rPr>
          <w:sz w:val="20"/>
          <w:szCs w:val="20"/>
          <w:color w:val="auto"/>
        </w:rPr>
      </w:pPr>
    </w:p>
    <w:p>
      <w:pPr>
        <w:spacing w:after="0"/>
        <w:rPr>
          <w:sz w:val="20"/>
          <w:szCs w:val="20"/>
          <w:color w:val="auto"/>
        </w:rPr>
      </w:pPr>
      <w:r>
        <w:rPr>
          <w:rFonts w:ascii="Arial" w:cs="Arial" w:eastAsia="Arial" w:hAnsi="Arial"/>
          <w:sz w:val="32"/>
          <w:szCs w:val="32"/>
          <w:color w:val="0D0E10"/>
        </w:rPr>
        <w:t>Compensation Discussion and Analysis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F06A6A"/>
        </w:rPr>
        <w:t>INTRODUCTION</w:t>
      </w:r>
    </w:p>
    <w:p>
      <w:pPr>
        <w:spacing w:after="0" w:line="95" w:lineRule="exact"/>
        <w:rPr>
          <w:sz w:val="20"/>
          <w:szCs w:val="20"/>
          <w:color w:val="auto"/>
        </w:rPr>
      </w:pPr>
    </w:p>
    <w:p>
      <w:pPr>
        <w:jc w:val="both"/>
        <w:ind w:right="60"/>
        <w:spacing w:after="0" w:line="333" w:lineRule="auto"/>
        <w:rPr>
          <w:sz w:val="20"/>
          <w:szCs w:val="20"/>
          <w:color w:val="auto"/>
        </w:rPr>
      </w:pPr>
      <w:r>
        <w:rPr>
          <w:rFonts w:ascii="Arial" w:cs="Arial" w:eastAsia="Arial" w:hAnsi="Arial"/>
          <w:sz w:val="17"/>
          <w:szCs w:val="17"/>
          <w:color w:val="0D0E10"/>
        </w:rPr>
        <w:t>This Compensation Discussion &amp; Analysis, or CD&amp;A, explains our executive compensation program for our named executive officers for the fiscal year ended January 31, 2024, each of whom is identified in the table below. This CD&amp;A also describes our Compensation Committee’s process for making pay decisions, as well as its rationale for specific decisions related to the fiscal year ended January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Named Executive Officer</w:t>
            </w:r>
          </w:p>
        </w:tc>
        <w:tc>
          <w:tcPr>
            <w:tcW w:w="5620" w:type="dxa"/>
            <w:vAlign w:val="bottom"/>
            <w:shd w:val="clear" w:color="auto" w:fill="EEEBEA"/>
          </w:tcPr>
          <w:p>
            <w:pPr>
              <w:ind w:left="20"/>
              <w:spacing w:after="0"/>
              <w:rPr>
                <w:sz w:val="20"/>
                <w:szCs w:val="20"/>
                <w:color w:val="auto"/>
              </w:rPr>
            </w:pPr>
            <w:r>
              <w:rPr>
                <w:rFonts w:ascii="Arial" w:cs="Arial" w:eastAsia="Arial" w:hAnsi="Arial"/>
                <w:sz w:val="16"/>
                <w:szCs w:val="16"/>
                <w:b w:val="1"/>
                <w:bCs w:val="1"/>
                <w:color w:val="F06A6A"/>
              </w:rPr>
              <w:t>Position</w:t>
            </w:r>
          </w:p>
        </w:tc>
      </w:tr>
      <w:tr>
        <w:trPr>
          <w:trHeight w:val="122"/>
        </w:trPr>
        <w:tc>
          <w:tcPr>
            <w:tcW w:w="5620" w:type="dxa"/>
            <w:vAlign w:val="bottom"/>
            <w:tcBorders>
              <w:bottom w:val="single" w:sz="8" w:color="A5A4A3"/>
            </w:tcBorders>
            <w:shd w:val="clear" w:color="auto" w:fill="EEEBEA"/>
          </w:tcPr>
          <w:p>
            <w:pPr>
              <w:spacing w:after="0"/>
              <w:rPr>
                <w:sz w:val="10"/>
                <w:szCs w:val="10"/>
                <w:color w:val="auto"/>
              </w:rPr>
            </w:pPr>
          </w:p>
        </w:tc>
        <w:tc>
          <w:tcPr>
            <w:tcW w:w="5620" w:type="dxa"/>
            <w:vAlign w:val="bottom"/>
            <w:tcBorders>
              <w:bottom w:val="single" w:sz="8" w:color="A5A4A3"/>
            </w:tcBorders>
            <w:shd w:val="clear" w:color="auto" w:fill="EEEBEA"/>
          </w:tcPr>
          <w:p>
            <w:pPr>
              <w:spacing w:after="0"/>
              <w:rPr>
                <w:sz w:val="10"/>
                <w:szCs w:val="10"/>
                <w:color w:val="auto"/>
              </w:rPr>
            </w:pPr>
          </w:p>
        </w:tc>
      </w:tr>
      <w:tr>
        <w:trPr>
          <w:trHeight w:val="221"/>
        </w:trPr>
        <w:tc>
          <w:tcPr>
            <w:tcW w:w="562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5620" w:type="dxa"/>
            <w:vAlign w:val="bottom"/>
          </w:tcPr>
          <w:p>
            <w:pPr>
              <w:ind w:left="20"/>
              <w:spacing w:after="0"/>
              <w:rPr>
                <w:sz w:val="20"/>
                <w:szCs w:val="20"/>
                <w:color w:val="auto"/>
              </w:rPr>
            </w:pPr>
            <w:r>
              <w:rPr>
                <w:rFonts w:ascii="Arial" w:cs="Arial" w:eastAsia="Arial" w:hAnsi="Arial"/>
                <w:sz w:val="16"/>
                <w:szCs w:val="16"/>
                <w:color w:val="0D0E10"/>
              </w:rPr>
              <w:t>President and Chief Executive Officer</w:t>
            </w:r>
          </w:p>
        </w:tc>
      </w:tr>
      <w:tr>
        <w:trPr>
          <w:trHeight w:val="29"/>
        </w:trPr>
        <w:tc>
          <w:tcPr>
            <w:tcW w:w="5620" w:type="dxa"/>
            <w:vAlign w:val="bottom"/>
            <w:tcBorders>
              <w:bottom w:val="single" w:sz="8" w:color="A5A4A3"/>
            </w:tcBorders>
          </w:tcPr>
          <w:p>
            <w:pPr>
              <w:spacing w:after="0"/>
              <w:rPr>
                <w:sz w:val="2"/>
                <w:szCs w:val="2"/>
                <w:color w:val="auto"/>
              </w:rPr>
            </w:pPr>
          </w:p>
        </w:tc>
        <w:tc>
          <w:tcPr>
            <w:tcW w:w="5620" w:type="dxa"/>
            <w:vAlign w:val="bottom"/>
            <w:tcBorders>
              <w:bottom w:val="single" w:sz="8" w:color="A5A4A3"/>
            </w:tcBorders>
          </w:tcPr>
          <w:p>
            <w:pPr>
              <w:spacing w:after="0"/>
              <w:rPr>
                <w:sz w:val="2"/>
                <w:szCs w:val="2"/>
                <w:color w:val="auto"/>
              </w:rPr>
            </w:pPr>
          </w:p>
        </w:tc>
      </w:tr>
      <w:tr>
        <w:trPr>
          <w:trHeight w:val="221"/>
        </w:trPr>
        <w:tc>
          <w:tcPr>
            <w:tcW w:w="5620" w:type="dxa"/>
            <w:vAlign w:val="bottom"/>
          </w:tcPr>
          <w:p>
            <w:pPr>
              <w:ind w:left="100"/>
              <w:spacing w:after="0"/>
              <w:rPr>
                <w:sz w:val="20"/>
                <w:szCs w:val="20"/>
                <w:color w:val="auto"/>
              </w:rPr>
            </w:pPr>
            <w:r>
              <w:rPr>
                <w:rFonts w:ascii="Arial" w:cs="Arial" w:eastAsia="Arial" w:hAnsi="Arial"/>
                <w:sz w:val="16"/>
                <w:szCs w:val="16"/>
                <w:color w:val="0D0E10"/>
              </w:rPr>
              <w:t>Tim Wan</w:t>
            </w:r>
          </w:p>
        </w:tc>
        <w:tc>
          <w:tcPr>
            <w:tcW w:w="5620" w:type="dxa"/>
            <w:vAlign w:val="bottom"/>
          </w:tcPr>
          <w:p>
            <w:pPr>
              <w:ind w:left="20"/>
              <w:spacing w:after="0"/>
              <w:rPr>
                <w:sz w:val="20"/>
                <w:szCs w:val="20"/>
                <w:color w:val="auto"/>
              </w:rPr>
            </w:pPr>
            <w:r>
              <w:rPr>
                <w:rFonts w:ascii="Arial" w:cs="Arial" w:eastAsia="Arial" w:hAnsi="Arial"/>
                <w:sz w:val="16"/>
                <w:szCs w:val="16"/>
                <w:color w:val="0D0E10"/>
              </w:rPr>
              <w:t>Chief Financial Officer</w:t>
            </w:r>
          </w:p>
        </w:tc>
      </w:tr>
      <w:tr>
        <w:trPr>
          <w:trHeight w:val="29"/>
        </w:trPr>
        <w:tc>
          <w:tcPr>
            <w:tcW w:w="5620" w:type="dxa"/>
            <w:vAlign w:val="bottom"/>
            <w:tcBorders>
              <w:bottom w:val="single" w:sz="8" w:color="A5A4A3"/>
            </w:tcBorders>
          </w:tcPr>
          <w:p>
            <w:pPr>
              <w:spacing w:after="0"/>
              <w:rPr>
                <w:sz w:val="2"/>
                <w:szCs w:val="2"/>
                <w:color w:val="auto"/>
              </w:rPr>
            </w:pPr>
          </w:p>
        </w:tc>
        <w:tc>
          <w:tcPr>
            <w:tcW w:w="5620" w:type="dxa"/>
            <w:vAlign w:val="bottom"/>
            <w:tcBorders>
              <w:bottom w:val="single" w:sz="8" w:color="A5A4A3"/>
            </w:tcBorders>
          </w:tcPr>
          <w:p>
            <w:pPr>
              <w:spacing w:after="0"/>
              <w:rPr>
                <w:sz w:val="2"/>
                <w:szCs w:val="2"/>
                <w:color w:val="auto"/>
              </w:rPr>
            </w:pPr>
          </w:p>
        </w:tc>
      </w:tr>
      <w:tr>
        <w:trPr>
          <w:trHeight w:val="221"/>
        </w:trPr>
        <w:tc>
          <w:tcPr>
            <w:tcW w:w="5620" w:type="dxa"/>
            <w:vAlign w:val="bottom"/>
          </w:tcPr>
          <w:p>
            <w:pPr>
              <w:ind w:left="100"/>
              <w:spacing w:after="0"/>
              <w:rPr>
                <w:sz w:val="20"/>
                <w:szCs w:val="20"/>
                <w:color w:val="auto"/>
              </w:rPr>
            </w:pPr>
            <w:r>
              <w:rPr>
                <w:rFonts w:ascii="Arial" w:cs="Arial" w:eastAsia="Arial" w:hAnsi="Arial"/>
                <w:sz w:val="16"/>
                <w:szCs w:val="16"/>
                <w:color w:val="0D0E10"/>
              </w:rPr>
              <w:t>Eleanor Lacey</w:t>
            </w:r>
          </w:p>
        </w:tc>
        <w:tc>
          <w:tcPr>
            <w:tcW w:w="5620" w:type="dxa"/>
            <w:vAlign w:val="bottom"/>
          </w:tcPr>
          <w:p>
            <w:pPr>
              <w:ind w:left="20"/>
              <w:spacing w:after="0"/>
              <w:rPr>
                <w:sz w:val="20"/>
                <w:szCs w:val="20"/>
                <w:color w:val="auto"/>
              </w:rPr>
            </w:pPr>
            <w:r>
              <w:rPr>
                <w:rFonts w:ascii="Arial" w:cs="Arial" w:eastAsia="Arial" w:hAnsi="Arial"/>
                <w:sz w:val="16"/>
                <w:szCs w:val="16"/>
                <w:color w:val="0D0E10"/>
              </w:rPr>
              <w:t>General Counsel and Corporate Secretary</w:t>
            </w:r>
          </w:p>
        </w:tc>
      </w:tr>
      <w:tr>
        <w:trPr>
          <w:trHeight w:val="29"/>
        </w:trPr>
        <w:tc>
          <w:tcPr>
            <w:tcW w:w="5620" w:type="dxa"/>
            <w:vAlign w:val="bottom"/>
            <w:tcBorders>
              <w:bottom w:val="single" w:sz="8" w:color="A5A4A3"/>
            </w:tcBorders>
          </w:tcPr>
          <w:p>
            <w:pPr>
              <w:spacing w:after="0"/>
              <w:rPr>
                <w:sz w:val="2"/>
                <w:szCs w:val="2"/>
                <w:color w:val="auto"/>
              </w:rPr>
            </w:pPr>
          </w:p>
        </w:tc>
        <w:tc>
          <w:tcPr>
            <w:tcW w:w="5620" w:type="dxa"/>
            <w:vAlign w:val="bottom"/>
            <w:tcBorders>
              <w:bottom w:val="single" w:sz="8" w:color="A5A4A3"/>
            </w:tcBorders>
          </w:tcPr>
          <w:p>
            <w:pPr>
              <w:spacing w:after="0"/>
              <w:rPr>
                <w:sz w:val="2"/>
                <w:szCs w:val="2"/>
                <w:color w:val="auto"/>
              </w:rPr>
            </w:pPr>
          </w:p>
        </w:tc>
      </w:tr>
      <w:tr>
        <w:trPr>
          <w:trHeight w:val="221"/>
        </w:trPr>
        <w:tc>
          <w:tcPr>
            <w:tcW w:w="5620" w:type="dxa"/>
            <w:vAlign w:val="bottom"/>
          </w:tcPr>
          <w:p>
            <w:pPr>
              <w:ind w:left="100"/>
              <w:spacing w:after="0"/>
              <w:rPr>
                <w:sz w:val="20"/>
                <w:szCs w:val="20"/>
                <w:color w:val="auto"/>
              </w:rPr>
            </w:pPr>
            <w:r>
              <w:rPr>
                <w:rFonts w:ascii="Arial" w:cs="Arial" w:eastAsia="Arial" w:hAnsi="Arial"/>
                <w:sz w:val="16"/>
                <w:szCs w:val="16"/>
                <w:color w:val="0D0E10"/>
              </w:rPr>
              <w:t>Anne Raimondi</w:t>
            </w:r>
          </w:p>
        </w:tc>
        <w:tc>
          <w:tcPr>
            <w:tcW w:w="5620" w:type="dxa"/>
            <w:vAlign w:val="bottom"/>
          </w:tcPr>
          <w:p>
            <w:pPr>
              <w:ind w:left="20"/>
              <w:spacing w:after="0"/>
              <w:rPr>
                <w:sz w:val="20"/>
                <w:szCs w:val="20"/>
                <w:color w:val="auto"/>
              </w:rPr>
            </w:pPr>
            <w:r>
              <w:rPr>
                <w:rFonts w:ascii="Arial" w:cs="Arial" w:eastAsia="Arial" w:hAnsi="Arial"/>
                <w:sz w:val="16"/>
                <w:szCs w:val="16"/>
                <w:color w:val="0D0E10"/>
              </w:rPr>
              <w:t>Chief Operating Officer</w:t>
            </w:r>
          </w:p>
        </w:tc>
      </w:tr>
      <w:tr>
        <w:trPr>
          <w:trHeight w:val="29"/>
        </w:trPr>
        <w:tc>
          <w:tcPr>
            <w:tcW w:w="5620" w:type="dxa"/>
            <w:vAlign w:val="bottom"/>
            <w:tcBorders>
              <w:bottom w:val="single" w:sz="8" w:color="A5A4A3"/>
            </w:tcBorders>
          </w:tcPr>
          <w:p>
            <w:pPr>
              <w:spacing w:after="0"/>
              <w:rPr>
                <w:sz w:val="2"/>
                <w:szCs w:val="2"/>
                <w:color w:val="auto"/>
              </w:rPr>
            </w:pPr>
          </w:p>
        </w:tc>
        <w:tc>
          <w:tcPr>
            <w:tcW w:w="5620" w:type="dxa"/>
            <w:vAlign w:val="bottom"/>
            <w:tcBorders>
              <w:bottom w:val="single" w:sz="8" w:color="A5A4A3"/>
            </w:tcBorders>
          </w:tcPr>
          <w:p>
            <w:pPr>
              <w:spacing w:after="0"/>
              <w:rPr>
                <w:sz w:val="2"/>
                <w:szCs w:val="2"/>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32"/>
          <w:szCs w:val="32"/>
          <w:color w:val="0D0E10"/>
        </w:rPr>
        <w:t>Executive Summary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A Summary of our Company</w:t>
      </w:r>
    </w:p>
    <w:p>
      <w:pPr>
        <w:spacing w:after="0" w:line="129"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0D0E10"/>
        </w:rPr>
        <w:t>Asana is a leading work management software platform with an enterprise focus that helps organizations set and track goals, drive strategic initiatives, and manage work in one place. Over 150,000 paying customers use Asana to automate complex operational workflows like product launches and employee onboarding, resource planning, tracking company-wide strategic initiatives and more. Our secure and scalable platform with AI-powered features adds structure to unstructured work, creating clarity, accountability, and impact for everyone within an organization—executives, department heads, team leads, and individuals—so everyone understands exactly who is doing what, by when, and why.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Our Business Performance in Fiscal Year 2024</w:t>
      </w:r>
    </w:p>
    <w:p>
      <w:pPr>
        <w:spacing w:after="0" w:line="115"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0D0E10"/>
        </w:rPr>
        <w:t>We delivered strong business results in fiscal year 2024 that resulted in revenues of $652.5 million and 19% growth year over year, driven by our continued success serving enterprise customers and showing meaningful progress towards profitability. Every year, we define company-wide objectives in order to drive alignment, help us focus, and rally together toward ambitious goals. For fiscal 2024, we set companywide objectives that captured our most critical financial, customer, product, operational, and people-related goals, which we evaluated our performance against throughout the course of the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Our Stockholder Return Performance</w:t>
      </w:r>
    </w:p>
    <w:p>
      <w:pPr>
        <w:spacing w:after="0" w:line="115"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0D0E10"/>
        </w:rPr>
        <w:t>Asana’s stockholder return in fiscal year 2024 was 12%. From our direct listing in September 2020 through the last day of fiscal year 2024, Asana’s stockholder return was -40%.</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41</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46" w:name="page47"/>
    <w:bookmarkEnd w:id="46"/>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Key Compensation Decisions and Actions</w:t>
      </w:r>
    </w:p>
    <w:p>
      <w:pPr>
        <w:spacing w:after="0" w:line="115" w:lineRule="exact"/>
        <w:rPr>
          <w:sz w:val="20"/>
          <w:szCs w:val="20"/>
          <w:color w:val="auto"/>
        </w:rPr>
      </w:pPr>
    </w:p>
    <w:p>
      <w:pPr>
        <w:ind w:right="80"/>
        <w:spacing w:after="0" w:line="334" w:lineRule="auto"/>
        <w:rPr>
          <w:sz w:val="20"/>
          <w:szCs w:val="20"/>
          <w:color w:val="auto"/>
        </w:rPr>
      </w:pPr>
      <w:r>
        <w:rPr>
          <w:rFonts w:ascii="Arial" w:cs="Arial" w:eastAsia="Arial" w:hAnsi="Arial"/>
          <w:sz w:val="18"/>
          <w:szCs w:val="18"/>
          <w:color w:val="0D0E10"/>
        </w:rPr>
        <w:t>Our Compensation Committee regularly reviews and considers the elements of our compensation program and makes determinations about appropriate adjustments. In fiscal year 2024, our Compensation Committee's actions included:</w:t>
      </w:r>
    </w:p>
    <w:p>
      <w:pPr>
        <w:spacing w:after="0" w:line="99" w:lineRule="exact"/>
        <w:rPr>
          <w:sz w:val="20"/>
          <w:szCs w:val="20"/>
          <w:color w:val="auto"/>
        </w:rPr>
      </w:pPr>
    </w:p>
    <w:p>
      <w:pPr>
        <w:ind w:right="260"/>
        <w:spacing w:after="0" w:line="298" w:lineRule="auto"/>
        <w:rPr>
          <w:sz w:val="20"/>
          <w:szCs w:val="20"/>
          <w:color w:val="auto"/>
        </w:rPr>
      </w:pPr>
      <w:r>
        <w:rPr>
          <w:rFonts w:ascii="Arial" w:cs="Arial" w:eastAsia="Arial" w:hAnsi="Arial"/>
          <w:sz w:val="18"/>
          <w:szCs w:val="18"/>
          <w:color w:val="0D0E10"/>
        </w:rPr>
        <w:t>CEO Compensation: Mr. Moskovitz previously requested that our Compensation Committee provide him with no cash or equity compensation except for an annual base salary of $1. Our Compensation Committee evaluated Mr. Moskovitz's request and, in light of his significant ownership position, determined that his financial incentives are strongly aligned with long-term stockholder value, and therefore approved Mr. Moskovitz's request. Our Compensation Committee conducts an annual assessment of the compensation of all NEOs, including Mr. Moskovitz.</w:t>
      </w:r>
    </w:p>
    <w:p>
      <w:pPr>
        <w:spacing w:after="0" w:line="132"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color w:val="0D0E10"/>
        </w:rPr>
        <w:t>Base Salary and RSU Awards for Other Executives: In fiscal year 2024, our Compensation Committee approved a program that did not provide salary adjustments to NEOs and resulted in equity incentive awards with a grant date value slightly higher than grants made in the prior year. These actions were approved in May 2023, following two prior meetings during which our Compensation Committee reviewed competitive market data presented by Compensia, an independent consultant to the Committee, and reviewed the performance results of Asana and each executive officer over the prior fiscal year. The Compensation Committee reviewed the Company’s leadership succession plan at the same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Key Compensation Governance Policies and Practices</w:t>
      </w:r>
    </w:p>
    <w:p>
      <w:pPr>
        <w:spacing w:after="0" w:line="115" w:lineRule="exact"/>
        <w:rPr>
          <w:sz w:val="20"/>
          <w:szCs w:val="20"/>
          <w:color w:val="auto"/>
        </w:rPr>
      </w:pPr>
    </w:p>
    <w:p>
      <w:pPr>
        <w:ind w:right="200"/>
        <w:spacing w:after="0" w:line="334" w:lineRule="auto"/>
        <w:rPr>
          <w:sz w:val="20"/>
          <w:szCs w:val="20"/>
          <w:color w:val="auto"/>
        </w:rPr>
      </w:pPr>
      <w:r>
        <w:rPr>
          <w:rFonts w:ascii="Arial" w:cs="Arial" w:eastAsia="Arial" w:hAnsi="Arial"/>
          <w:sz w:val="18"/>
          <w:szCs w:val="18"/>
          <w:color w:val="0D0E10"/>
        </w:rPr>
        <w:t>We also believe the following policies and practices within our executive compensation program promote sound compensation governance and are in the best interests of our stockholders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What We Do</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6"/>
          <w:szCs w:val="16"/>
          <w:color w:val="0D0E10"/>
        </w:rPr>
        <w:t>Encourage long-term equity ownership through our stock</w:t>
      </w:r>
    </w:p>
    <w:p>
      <w:pPr>
        <w:spacing w:after="0" w:line="11" w:lineRule="exact"/>
        <w:rPr>
          <w:sz w:val="20"/>
          <w:szCs w:val="20"/>
          <w:color w:val="auto"/>
        </w:rPr>
      </w:pPr>
    </w:p>
    <w:p>
      <w:pPr>
        <w:ind w:left="740" w:right="220" w:hanging="509"/>
        <w:spacing w:after="0" w:line="238" w:lineRule="auto"/>
        <w:tabs>
          <w:tab w:leader="none" w:pos="740" w:val="left"/>
        </w:tabs>
        <w:numPr>
          <w:ilvl w:val="0"/>
          <w:numId w:val="35"/>
        </w:numPr>
        <w:rPr>
          <w:rFonts w:ascii="MS PGothic" w:cs="MS PGothic" w:eastAsia="MS PGothic" w:hAnsi="MS PGothic"/>
          <w:sz w:val="22"/>
          <w:szCs w:val="22"/>
          <w:color w:val="auto"/>
          <w:shd w:val="clear" w:color="auto" w:fill="F06A6A"/>
        </w:rPr>
      </w:pPr>
      <w:r>
        <w:rPr>
          <w:rFonts w:ascii="Arial" w:cs="Arial" w:eastAsia="Arial" w:hAnsi="Arial"/>
          <w:sz w:val="16"/>
          <w:szCs w:val="16"/>
          <w:color w:val="0D0E10"/>
        </w:rPr>
        <w:t>ownership policy and multi-year vesting in a majority of equity awards</w:t>
      </w:r>
    </w:p>
    <w:p>
      <w:pPr>
        <w:spacing w:after="0" w:line="47" w:lineRule="exact"/>
        <w:rPr>
          <w:rFonts w:ascii="MS PGothic" w:cs="MS PGothic" w:eastAsia="MS PGothic" w:hAnsi="MS PGothic"/>
          <w:sz w:val="22"/>
          <w:szCs w:val="22"/>
          <w:color w:val="auto"/>
          <w:shd w:val="clear" w:color="auto" w:fill="F06A6A"/>
        </w:rPr>
      </w:pPr>
    </w:p>
    <w:p>
      <w:pPr>
        <w:ind w:left="740" w:hanging="509"/>
        <w:spacing w:after="0"/>
        <w:tabs>
          <w:tab w:leader="none" w:pos="740" w:val="left"/>
        </w:tabs>
        <w:numPr>
          <w:ilvl w:val="0"/>
          <w:numId w:val="35"/>
        </w:numPr>
        <w:rPr>
          <w:rFonts w:ascii="MS PGothic" w:cs="MS PGothic" w:eastAsia="MS PGothic" w:hAnsi="MS PGothic"/>
          <w:sz w:val="22"/>
          <w:szCs w:val="22"/>
          <w:color w:val="auto"/>
          <w:shd w:val="clear" w:color="auto" w:fill="F06A6A"/>
        </w:rPr>
      </w:pPr>
      <w:r>
        <w:rPr>
          <w:rFonts w:ascii="Arial" w:cs="Arial" w:eastAsia="Arial" w:hAnsi="Arial"/>
          <w:sz w:val="16"/>
          <w:szCs w:val="16"/>
          <w:color w:val="0D0E10"/>
        </w:rPr>
        <w:t>Engage an independent compensation consultant</w:t>
      </w:r>
    </w:p>
    <w:p>
      <w:pPr>
        <w:spacing w:after="0" w:line="72" w:lineRule="exact"/>
        <w:rPr>
          <w:rFonts w:ascii="MS PGothic" w:cs="MS PGothic" w:eastAsia="MS PGothic" w:hAnsi="MS PGothic"/>
          <w:sz w:val="22"/>
          <w:szCs w:val="22"/>
          <w:color w:val="auto"/>
          <w:shd w:val="clear" w:color="auto" w:fill="F06A6A"/>
        </w:rPr>
      </w:pPr>
    </w:p>
    <w:p>
      <w:pPr>
        <w:ind w:left="740" w:hanging="509"/>
        <w:spacing w:after="0" w:line="226" w:lineRule="auto"/>
        <w:tabs>
          <w:tab w:leader="none" w:pos="740" w:val="left"/>
        </w:tabs>
        <w:numPr>
          <w:ilvl w:val="0"/>
          <w:numId w:val="35"/>
        </w:numPr>
        <w:rPr>
          <w:rFonts w:ascii="MS PGothic" w:cs="MS PGothic" w:eastAsia="MS PGothic" w:hAnsi="MS PGothic"/>
          <w:sz w:val="22"/>
          <w:szCs w:val="22"/>
          <w:color w:val="auto"/>
          <w:shd w:val="clear" w:color="auto" w:fill="F06A6A"/>
        </w:rPr>
      </w:pPr>
      <w:r>
        <w:rPr>
          <w:rFonts w:ascii="Arial" w:cs="Arial" w:eastAsia="Arial" w:hAnsi="Arial"/>
          <w:sz w:val="16"/>
          <w:szCs w:val="16"/>
          <w:color w:val="0D0E10"/>
        </w:rPr>
        <w:t>Maintain anti-hedging and anti-pledging policies</w:t>
      </w:r>
    </w:p>
    <w:p>
      <w:pPr>
        <w:spacing w:after="0" w:line="71" w:lineRule="exact"/>
        <w:rPr>
          <w:rFonts w:ascii="MS PGothic" w:cs="MS PGothic" w:eastAsia="MS PGothic" w:hAnsi="MS PGothic"/>
          <w:sz w:val="22"/>
          <w:szCs w:val="22"/>
          <w:color w:val="auto"/>
          <w:shd w:val="clear" w:color="auto" w:fill="F06A6A"/>
        </w:rPr>
      </w:pPr>
    </w:p>
    <w:p>
      <w:pPr>
        <w:ind w:left="740" w:right="60" w:hanging="509"/>
        <w:spacing w:after="0" w:line="182" w:lineRule="auto"/>
        <w:tabs>
          <w:tab w:leader="none" w:pos="740" w:val="left"/>
        </w:tabs>
        <w:numPr>
          <w:ilvl w:val="0"/>
          <w:numId w:val="35"/>
        </w:numPr>
        <w:rPr>
          <w:rFonts w:ascii="MS PGothic" w:cs="MS PGothic" w:eastAsia="MS PGothic" w:hAnsi="MS PGothic"/>
          <w:sz w:val="33"/>
          <w:szCs w:val="33"/>
          <w:color w:val="auto"/>
          <w:vertAlign w:val="subscript"/>
          <w:shd w:val="clear" w:color="auto" w:fill="F06A6A"/>
        </w:rPr>
      </w:pPr>
      <w:r>
        <w:rPr>
          <w:rFonts w:ascii="Arial" w:cs="Arial" w:eastAsia="Arial" w:hAnsi="Arial"/>
          <w:sz w:val="14"/>
          <w:szCs w:val="14"/>
          <w:color w:val="0D0E10"/>
        </w:rPr>
        <w:t>Provide for “double-trigger” equity award vesting and severance payments and benefits upon a change in control of Asana</w:t>
      </w:r>
    </w:p>
    <w:p>
      <w:pPr>
        <w:spacing w:after="0" w:line="12" w:lineRule="exact"/>
        <w:rPr>
          <w:rFonts w:ascii="MS PGothic" w:cs="MS PGothic" w:eastAsia="MS PGothic" w:hAnsi="MS PGothic"/>
          <w:sz w:val="33"/>
          <w:szCs w:val="33"/>
          <w:color w:val="auto"/>
          <w:vertAlign w:val="subscript"/>
          <w:shd w:val="clear" w:color="auto" w:fill="F06A6A"/>
        </w:rPr>
      </w:pPr>
    </w:p>
    <w:p>
      <w:pPr>
        <w:ind w:left="740" w:hanging="509"/>
        <w:spacing w:after="0"/>
        <w:tabs>
          <w:tab w:leader="none" w:pos="740" w:val="left"/>
        </w:tabs>
        <w:numPr>
          <w:ilvl w:val="0"/>
          <w:numId w:val="35"/>
        </w:numPr>
        <w:rPr>
          <w:rFonts w:ascii="MS PGothic" w:cs="MS PGothic" w:eastAsia="MS PGothic" w:hAnsi="MS PGothic"/>
          <w:sz w:val="35"/>
          <w:szCs w:val="35"/>
          <w:color w:val="auto"/>
          <w:vertAlign w:val="subscript"/>
          <w:shd w:val="clear" w:color="auto" w:fill="F06A6A"/>
        </w:rPr>
      </w:pPr>
      <w:r>
        <w:rPr>
          <w:rFonts w:ascii="Arial" w:cs="Arial" w:eastAsia="Arial" w:hAnsi="Arial"/>
          <w:sz w:val="14"/>
          <w:szCs w:val="14"/>
          <w:color w:val="0D0E10"/>
        </w:rPr>
        <w:t>Design</w:t>
      </w:r>
      <w:r>
        <w:rPr>
          <w:rFonts w:ascii="Arial" w:cs="Arial" w:eastAsia="Arial" w:hAnsi="Arial"/>
          <w:sz w:val="26"/>
          <w:szCs w:val="26"/>
          <w:color w:val="0D0E10"/>
          <w:vertAlign w:val="subscript"/>
        </w:rPr>
        <w:t>taking</w:t>
      </w:r>
      <w:r>
        <w:rPr>
          <w:rFonts w:ascii="Arial" w:cs="Arial" w:eastAsia="Arial" w:hAnsi="Arial"/>
          <w:sz w:val="14"/>
          <w:szCs w:val="14"/>
          <w:color w:val="0D0E10"/>
        </w:rPr>
        <w:t xml:space="preserve"> our compensation program to discourage excessive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34118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34118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34118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34118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34118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494949"/>
        </w:rPr>
        <w:t>What We Don’t Do</w:t>
      </w:r>
    </w:p>
    <w:p>
      <w:pPr>
        <w:spacing w:after="0" w:line="135" w:lineRule="exact"/>
        <w:rPr>
          <w:sz w:val="20"/>
          <w:szCs w:val="20"/>
          <w:color w:val="auto"/>
        </w:rPr>
      </w:pPr>
    </w:p>
    <w:p>
      <w:pPr>
        <w:ind w:left="660" w:right="420" w:hanging="524"/>
        <w:spacing w:after="0" w:line="183" w:lineRule="auto"/>
        <w:tabs>
          <w:tab w:leader="none" w:pos="660" w:val="left"/>
        </w:tabs>
        <w:numPr>
          <w:ilvl w:val="0"/>
          <w:numId w:val="36"/>
        </w:numPr>
        <w:rPr>
          <w:rFonts w:ascii="MS PGothic" w:cs="MS PGothic" w:eastAsia="MS PGothic" w:hAnsi="MS PGothic"/>
          <w:sz w:val="35"/>
          <w:szCs w:val="35"/>
          <w:color w:val="494949"/>
          <w:vertAlign w:val="subscript"/>
        </w:rPr>
      </w:pPr>
      <w:r>
        <w:rPr>
          <w:rFonts w:ascii="Arial" w:cs="Arial" w:eastAsia="Arial" w:hAnsi="Arial"/>
          <w:sz w:val="14"/>
          <w:szCs w:val="14"/>
          <w:color w:val="0D0E10"/>
        </w:rPr>
        <w:t>No tax gross-up</w:t>
      </w:r>
      <w:r>
        <w:rPr>
          <w:rFonts w:ascii="Arial" w:cs="Arial" w:eastAsia="Arial" w:hAnsi="Arial"/>
          <w:sz w:val="14"/>
          <w:szCs w:val="14"/>
          <w:color w:val="000000"/>
        </w:rPr>
        <w:t>s in connection with payments and benefits</w:t>
      </w:r>
      <w:r>
        <w:rPr>
          <w:rFonts w:ascii="Arial" w:cs="Arial" w:eastAsia="Arial" w:hAnsi="Arial"/>
          <w:sz w:val="14"/>
          <w:szCs w:val="14"/>
          <w:color w:val="0D0E10"/>
        </w:rPr>
        <w:t xml:space="preserve"> </w:t>
      </w:r>
      <w:r>
        <w:rPr>
          <w:rFonts w:ascii="Arial" w:cs="Arial" w:eastAsia="Arial" w:hAnsi="Arial"/>
          <w:sz w:val="14"/>
          <w:szCs w:val="14"/>
          <w:color w:val="000000"/>
        </w:rPr>
        <w:t>upon a change in control of Asana</w:t>
      </w:r>
    </w:p>
    <w:p>
      <w:pPr>
        <w:spacing w:after="0" w:line="155" w:lineRule="exact"/>
        <w:rPr>
          <w:rFonts w:ascii="MS PGothic" w:cs="MS PGothic" w:eastAsia="MS PGothic" w:hAnsi="MS PGothic"/>
          <w:sz w:val="35"/>
          <w:szCs w:val="35"/>
          <w:color w:val="494949"/>
          <w:vertAlign w:val="subscript"/>
        </w:rPr>
      </w:pPr>
    </w:p>
    <w:p>
      <w:pPr>
        <w:ind w:left="660" w:hanging="524"/>
        <w:spacing w:after="0"/>
        <w:tabs>
          <w:tab w:leader="none" w:pos="660" w:val="left"/>
        </w:tabs>
        <w:numPr>
          <w:ilvl w:val="0"/>
          <w:numId w:val="36"/>
        </w:numPr>
        <w:rPr>
          <w:rFonts w:ascii="MS PGothic" w:cs="MS PGothic" w:eastAsia="MS PGothic" w:hAnsi="MS PGothic"/>
          <w:sz w:val="22"/>
          <w:szCs w:val="22"/>
          <w:color w:val="494949"/>
        </w:rPr>
      </w:pPr>
      <w:r>
        <w:rPr>
          <w:rFonts w:ascii="Arial" w:cs="Arial" w:eastAsia="Arial" w:hAnsi="Arial"/>
          <w:sz w:val="16"/>
          <w:szCs w:val="16"/>
          <w:color w:val="0D0E10"/>
        </w:rPr>
        <w:t>No material perquisites</w:t>
      </w:r>
    </w:p>
    <w:p>
      <w:pPr>
        <w:spacing w:after="0" w:line="72" w:lineRule="exact"/>
        <w:rPr>
          <w:rFonts w:ascii="MS PGothic" w:cs="MS PGothic" w:eastAsia="MS PGothic" w:hAnsi="MS PGothic"/>
          <w:sz w:val="22"/>
          <w:szCs w:val="22"/>
          <w:color w:val="494949"/>
        </w:rPr>
      </w:pPr>
    </w:p>
    <w:p>
      <w:pPr>
        <w:ind w:left="660" w:hanging="524"/>
        <w:spacing w:after="0" w:line="226" w:lineRule="auto"/>
        <w:tabs>
          <w:tab w:leader="none" w:pos="660" w:val="left"/>
        </w:tabs>
        <w:numPr>
          <w:ilvl w:val="0"/>
          <w:numId w:val="36"/>
        </w:numPr>
        <w:rPr>
          <w:rFonts w:ascii="MS PGothic" w:cs="MS PGothic" w:eastAsia="MS PGothic" w:hAnsi="MS PGothic"/>
          <w:sz w:val="22"/>
          <w:szCs w:val="22"/>
          <w:color w:val="494949"/>
        </w:rPr>
      </w:pPr>
      <w:r>
        <w:rPr>
          <w:rFonts w:ascii="Arial" w:cs="Arial" w:eastAsia="Arial" w:hAnsi="Arial"/>
          <w:sz w:val="16"/>
          <w:szCs w:val="16"/>
          <w:color w:val="0D0E10"/>
        </w:rPr>
        <w:t>No supplemental executive retirement plans or pension plans</w:t>
      </w:r>
    </w:p>
    <w:p>
      <w:pPr>
        <w:spacing w:after="0" w:line="71" w:lineRule="exact"/>
        <w:rPr>
          <w:rFonts w:ascii="MS PGothic" w:cs="MS PGothic" w:eastAsia="MS PGothic" w:hAnsi="MS PGothic"/>
          <w:sz w:val="22"/>
          <w:szCs w:val="22"/>
          <w:color w:val="494949"/>
        </w:rPr>
      </w:pPr>
    </w:p>
    <w:p>
      <w:pPr>
        <w:ind w:left="660" w:right="220" w:hanging="524"/>
        <w:spacing w:after="0" w:line="182" w:lineRule="auto"/>
        <w:tabs>
          <w:tab w:leader="none" w:pos="660" w:val="left"/>
        </w:tabs>
        <w:numPr>
          <w:ilvl w:val="0"/>
          <w:numId w:val="36"/>
        </w:numPr>
        <w:rPr>
          <w:rFonts w:ascii="MS PGothic" w:cs="MS PGothic" w:eastAsia="MS PGothic" w:hAnsi="MS PGothic"/>
          <w:sz w:val="33"/>
          <w:szCs w:val="33"/>
          <w:color w:val="494949"/>
          <w:vertAlign w:val="subscript"/>
        </w:rPr>
      </w:pPr>
      <w:r>
        <w:rPr>
          <w:rFonts w:ascii="Arial" w:cs="Arial" w:eastAsia="Arial" w:hAnsi="Arial"/>
          <w:sz w:val="14"/>
          <w:szCs w:val="14"/>
          <w:color w:val="0D0E10"/>
        </w:rPr>
        <w:t>No stock option or stock appreciation rights granted below fair market value of our common stock on the date of grant</w:t>
      </w:r>
    </w:p>
    <w:p>
      <w:pPr>
        <w:spacing w:after="0" w:line="57" w:lineRule="exact"/>
        <w:rPr>
          <w:rFonts w:ascii="MS PGothic" w:cs="MS PGothic" w:eastAsia="MS PGothic" w:hAnsi="MS PGothic"/>
          <w:sz w:val="33"/>
          <w:szCs w:val="33"/>
          <w:color w:val="494949"/>
          <w:vertAlign w:val="subscript"/>
        </w:rPr>
      </w:pPr>
    </w:p>
    <w:p>
      <w:pPr>
        <w:ind w:left="660" w:right="260" w:hanging="524"/>
        <w:spacing w:after="0" w:line="183" w:lineRule="auto"/>
        <w:tabs>
          <w:tab w:leader="none" w:pos="660" w:val="left"/>
        </w:tabs>
        <w:numPr>
          <w:ilvl w:val="0"/>
          <w:numId w:val="36"/>
        </w:numPr>
        <w:rPr>
          <w:rFonts w:ascii="MS PGothic" w:cs="MS PGothic" w:eastAsia="MS PGothic" w:hAnsi="MS PGothic"/>
          <w:sz w:val="35"/>
          <w:szCs w:val="35"/>
          <w:color w:val="494949"/>
          <w:vertAlign w:val="subscript"/>
        </w:rPr>
      </w:pPr>
      <w:r>
        <w:rPr>
          <w:rFonts w:ascii="Arial" w:cs="Arial" w:eastAsia="Arial" w:hAnsi="Arial"/>
          <w:sz w:val="14"/>
          <w:szCs w:val="14"/>
          <w:color w:val="0D0E10"/>
        </w:rPr>
        <w:t>No repricing or exchange of underwater stock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27305</wp:posOffset>
            </wp:positionV>
            <wp:extent cx="34207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074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-255270</wp:posOffset>
            </wp:positionV>
            <wp:extent cx="34207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0745" cy="889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-537845</wp:posOffset>
            </wp:positionV>
            <wp:extent cx="34207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0745" cy="889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-718185</wp:posOffset>
            </wp:positionV>
            <wp:extent cx="34207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0745" cy="8255"/>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-897890</wp:posOffset>
            </wp:positionV>
            <wp:extent cx="34207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560"/>
            <w:col w:w="5300"/>
          </w:cols>
          <w:pgMar w:left="320" w:top="279" w:right="35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32"/>
          <w:szCs w:val="32"/>
          <w:color w:val="0D0E10"/>
        </w:rPr>
        <w:t>Our Approach to Executive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Executive Compensation Philosophy, Objectives and Design</w:t>
      </w:r>
    </w:p>
    <w:p>
      <w:pPr>
        <w:spacing w:after="0" w:line="115" w:lineRule="exact"/>
        <w:rPr>
          <w:sz w:val="20"/>
          <w:szCs w:val="20"/>
          <w:color w:val="auto"/>
        </w:rPr>
      </w:pPr>
    </w:p>
    <w:p>
      <w:pPr>
        <w:spacing w:after="0" w:line="368" w:lineRule="auto"/>
        <w:rPr>
          <w:sz w:val="20"/>
          <w:szCs w:val="20"/>
          <w:color w:val="auto"/>
        </w:rPr>
      </w:pPr>
      <w:r>
        <w:rPr>
          <w:rFonts w:ascii="Arial" w:cs="Arial" w:eastAsia="Arial" w:hAnsi="Arial"/>
          <w:sz w:val="17"/>
          <w:szCs w:val="17"/>
          <w:color w:val="0D0E10"/>
        </w:rPr>
        <w:t>Asana’s executive compensation philosophy is to employ market-competitive compensation programs that reward our executive officers fairly and consistently relative to one another and to the broader employee population, and that promote Asana’s cohesive, collaborative culture.</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42</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47" w:name="page48"/>
    <w:bookmarkEnd w:id="47"/>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0D0E10"/>
        </w:rPr>
        <w:t>Our executive compensation program aims to achieve the following primary objectives:</w:t>
      </w:r>
    </w:p>
    <w:p>
      <w:pPr>
        <w:spacing w:after="0" w:line="212" w:lineRule="exact"/>
        <w:rPr>
          <w:sz w:val="20"/>
          <w:szCs w:val="20"/>
          <w:color w:val="auto"/>
        </w:rPr>
      </w:pPr>
    </w:p>
    <w:p>
      <w:pPr>
        <w:ind w:left="620" w:hanging="288"/>
        <w:spacing w:after="0"/>
        <w:tabs>
          <w:tab w:leader="none" w:pos="620" w:val="left"/>
        </w:tabs>
        <w:numPr>
          <w:ilvl w:val="0"/>
          <w:numId w:val="37"/>
        </w:numPr>
        <w:rPr>
          <w:rFonts w:ascii="Arial" w:cs="Arial" w:eastAsia="Arial" w:hAnsi="Arial"/>
          <w:sz w:val="18"/>
          <w:szCs w:val="18"/>
          <w:color w:val="0D0E10"/>
        </w:rPr>
      </w:pPr>
      <w:r>
        <w:rPr>
          <w:rFonts w:ascii="Arial" w:cs="Arial" w:eastAsia="Arial" w:hAnsi="Arial"/>
          <w:sz w:val="18"/>
          <w:szCs w:val="18"/>
          <w:color w:val="0D0E10"/>
        </w:rPr>
        <w:t>attract, retain, and reward world-class talent that is motivated by our mission;</w:t>
      </w:r>
    </w:p>
    <w:p>
      <w:pPr>
        <w:spacing w:after="0" w:line="90" w:lineRule="exact"/>
        <w:rPr>
          <w:rFonts w:ascii="Arial" w:cs="Arial" w:eastAsia="Arial" w:hAnsi="Arial"/>
          <w:sz w:val="18"/>
          <w:szCs w:val="18"/>
          <w:color w:val="0D0E10"/>
        </w:rPr>
      </w:pPr>
    </w:p>
    <w:p>
      <w:pPr>
        <w:ind w:left="660" w:right="40" w:hanging="328"/>
        <w:spacing w:after="0" w:line="328" w:lineRule="auto"/>
        <w:tabs>
          <w:tab w:leader="none" w:pos="615" w:val="left"/>
        </w:tabs>
        <w:numPr>
          <w:ilvl w:val="0"/>
          <w:numId w:val="37"/>
        </w:numPr>
        <w:rPr>
          <w:rFonts w:ascii="Arial" w:cs="Arial" w:eastAsia="Arial" w:hAnsi="Arial"/>
          <w:sz w:val="18"/>
          <w:szCs w:val="18"/>
          <w:color w:val="0D0E10"/>
        </w:rPr>
      </w:pPr>
      <w:r>
        <w:rPr>
          <w:rFonts w:ascii="Arial" w:cs="Arial" w:eastAsia="Arial" w:hAnsi="Arial"/>
          <w:sz w:val="18"/>
          <w:szCs w:val="18"/>
          <w:color w:val="0D0E10"/>
        </w:rPr>
        <w:t>position ourselves strongly against our compensation peers to attract and retain top talent and ensure the competitiveness of our pay packages;</w:t>
      </w:r>
    </w:p>
    <w:p>
      <w:pPr>
        <w:spacing w:after="0" w:line="1" w:lineRule="exact"/>
        <w:rPr>
          <w:rFonts w:ascii="Arial" w:cs="Arial" w:eastAsia="Arial" w:hAnsi="Arial"/>
          <w:sz w:val="18"/>
          <w:szCs w:val="18"/>
          <w:color w:val="0D0E10"/>
        </w:rPr>
      </w:pPr>
    </w:p>
    <w:p>
      <w:pPr>
        <w:ind w:left="620" w:hanging="288"/>
        <w:spacing w:after="0"/>
        <w:tabs>
          <w:tab w:leader="none" w:pos="620" w:val="left"/>
        </w:tabs>
        <w:numPr>
          <w:ilvl w:val="0"/>
          <w:numId w:val="37"/>
        </w:numPr>
        <w:rPr>
          <w:rFonts w:ascii="Arial" w:cs="Arial" w:eastAsia="Arial" w:hAnsi="Arial"/>
          <w:sz w:val="18"/>
          <w:szCs w:val="18"/>
          <w:color w:val="0D0E10"/>
        </w:rPr>
      </w:pPr>
      <w:r>
        <w:rPr>
          <w:rFonts w:ascii="Arial" w:cs="Arial" w:eastAsia="Arial" w:hAnsi="Arial"/>
          <w:sz w:val="18"/>
          <w:szCs w:val="18"/>
          <w:color w:val="0D0E10"/>
        </w:rPr>
        <w:t>align the interests of our executive officers with long-term decision-making and minimize incentives for short-term decision-making;</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37"/>
        </w:numPr>
        <w:rPr>
          <w:rFonts w:ascii="Arial" w:cs="Arial" w:eastAsia="Arial" w:hAnsi="Arial"/>
          <w:sz w:val="18"/>
          <w:szCs w:val="18"/>
          <w:color w:val="0D0E10"/>
        </w:rPr>
      </w:pPr>
      <w:r>
        <w:rPr>
          <w:rFonts w:ascii="Arial" w:cs="Arial" w:eastAsia="Arial" w:hAnsi="Arial"/>
          <w:sz w:val="18"/>
          <w:szCs w:val="18"/>
          <w:color w:val="0D0E10"/>
        </w:rPr>
        <w:t>reflect simplicity as appropriate to promote understanding concerning pay among executives and stockholders; and</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37"/>
        </w:numPr>
        <w:rPr>
          <w:rFonts w:ascii="Arial" w:cs="Arial" w:eastAsia="Arial" w:hAnsi="Arial"/>
          <w:sz w:val="18"/>
          <w:szCs w:val="18"/>
          <w:color w:val="0D0E10"/>
        </w:rPr>
      </w:pPr>
      <w:r>
        <w:rPr>
          <w:rFonts w:ascii="Arial" w:cs="Arial" w:eastAsia="Arial" w:hAnsi="Arial"/>
          <w:sz w:val="18"/>
          <w:szCs w:val="18"/>
          <w:color w:val="0D0E10"/>
        </w:rPr>
        <w:t>align our executive officers’ interests with those of our long-term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Timing of Executive Compensation Decisions</w:t>
      </w:r>
    </w:p>
    <w:p>
      <w:pPr>
        <w:spacing w:after="0" w:line="115"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0D0E10"/>
        </w:rPr>
        <w:t>Our annual executive compensation review and adjustments typically occur in the first quarter of the fiscal year. Our Compensation Committee reviews business and individual performance from the prior fiscal year in determining salary adjustments and RSU awards for the current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Elements of Executive Compensation</w:t>
      </w:r>
    </w:p>
    <w:p>
      <w:pPr>
        <w:spacing w:after="0" w:line="115"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color w:val="0D0E10"/>
        </w:rPr>
        <w:t>Our executive compensation program aims to take a holistic approach to compensation and generally consists of, and is intended to strike a balance among, two principal components: base salary and long-term incentive compensation. We do not pay our named executive officers short-term incentive compensation. Instead, a majority of our executive compensation is delivered in the form of long-term incentives. We believe that a compensation structure that focuses on equity value that includes vesting over time, combined with ongoing stock ownership guidelines, aligns with our long-term philosophy. The following chart summarizes the two principal components of our executive compensation program, their objectives, and 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3429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42" w:lineRule="exact"/>
        <w:rPr>
          <w:sz w:val="20"/>
          <w:szCs w:val="20"/>
          <w:color w:val="auto"/>
        </w:rPr>
      </w:pPr>
    </w:p>
    <w:p>
      <w:pPr>
        <w:ind w:left="100"/>
        <w:spacing w:after="0"/>
        <w:tabs>
          <w:tab w:leader="none" w:pos="1280" w:val="left"/>
          <w:tab w:leader="none" w:pos="5060" w:val="left"/>
        </w:tabs>
        <w:rPr>
          <w:sz w:val="20"/>
          <w:szCs w:val="20"/>
          <w:color w:val="auto"/>
        </w:rPr>
      </w:pPr>
      <w:r>
        <w:rPr>
          <w:rFonts w:ascii="Arial" w:cs="Arial" w:eastAsia="Arial" w:hAnsi="Arial"/>
          <w:sz w:val="16"/>
          <w:szCs w:val="16"/>
          <w:b w:val="1"/>
          <w:bCs w:val="1"/>
          <w:color w:val="F06A6A"/>
        </w:rPr>
        <w:t>Elements</w:t>
      </w:r>
      <w:r>
        <w:rPr>
          <w:sz w:val="20"/>
          <w:szCs w:val="20"/>
          <w:color w:val="auto"/>
        </w:rPr>
        <w:tab/>
      </w:r>
      <w:r>
        <w:rPr>
          <w:rFonts w:ascii="Arial" w:cs="Arial" w:eastAsia="Arial" w:hAnsi="Arial"/>
          <w:sz w:val="16"/>
          <w:szCs w:val="16"/>
          <w:b w:val="1"/>
          <w:bCs w:val="1"/>
          <w:color w:val="F06A6A"/>
        </w:rPr>
        <w:t>Objectives</w:t>
      </w:r>
      <w:r>
        <w:rPr>
          <w:sz w:val="20"/>
          <w:szCs w:val="20"/>
          <w:color w:val="auto"/>
        </w:rPr>
        <w:tab/>
      </w:r>
      <w:r>
        <w:rPr>
          <w:rFonts w:ascii="Arial" w:cs="Arial" w:eastAsia="Arial" w:hAnsi="Arial"/>
          <w:sz w:val="16"/>
          <w:szCs w:val="16"/>
          <w:b w:val="1"/>
          <w:bCs w:val="1"/>
          <w:color w:val="F06A6A"/>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6"/>
          <w:szCs w:val="16"/>
          <w:color w:val="0D0E10"/>
        </w:rPr>
        <w:t>Base Salary</w:t>
      </w:r>
      <w:r>
        <w:rPr>
          <w:sz w:val="20"/>
          <w:szCs w:val="20"/>
          <w:color w:val="auto"/>
        </w:rPr>
        <w:tab/>
      </w:r>
      <w:r>
        <w:rPr>
          <w:rFonts w:ascii="Arial" w:cs="Arial" w:eastAsia="Arial" w:hAnsi="Arial"/>
          <w:sz w:val="16"/>
          <w:szCs w:val="16"/>
          <w:color w:val="0D0E10"/>
        </w:rPr>
        <w:t>Provides financial stability and security through</w:t>
      </w:r>
    </w:p>
    <w:p>
      <w:pPr>
        <w:spacing w:after="0" w:line="31"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6"/>
          <w:szCs w:val="16"/>
          <w:color w:val="0D0E10"/>
        </w:rPr>
        <w:t>(fixed cash)</w:t>
      </w:r>
      <w:r>
        <w:rPr>
          <w:sz w:val="20"/>
          <w:szCs w:val="20"/>
          <w:color w:val="auto"/>
        </w:rPr>
        <w:tab/>
      </w:r>
      <w:r>
        <w:rPr>
          <w:rFonts w:ascii="Arial" w:cs="Arial" w:eastAsia="Arial" w:hAnsi="Arial"/>
          <w:sz w:val="16"/>
          <w:szCs w:val="16"/>
          <w:color w:val="0D0E10"/>
        </w:rPr>
        <w:t>a fixed amount of cash for performing job</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0D0E10"/>
        </w:rPr>
        <w:t>responsibilities.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0D0E10"/>
        </w:rPr>
        <w:t>Fixed compensation that is periodically reviewed and adjusted if and when appropriate, based on a number of factors (including individual performance and our overall performance), and by reference, in part, to competitive market data provided by our Compensation Committee’s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104140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400"/>
            <w:col w:w="6140"/>
          </w:cols>
          <w:pgMar w:left="320" w:top="279" w:right="359" w:bottom="1440" w:gutter="0" w:footer="0" w:header="0"/>
          <w:type w:val="continuous"/>
        </w:sectPr>
      </w:pPr>
    </w:p>
    <w:p>
      <w:pPr>
        <w:spacing w:after="0" w:line="139"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6"/>
          <w:szCs w:val="16"/>
          <w:color w:val="0D0E10"/>
        </w:rPr>
        <w:t>Long-Term</w:t>
      </w:r>
      <w:r>
        <w:rPr>
          <w:sz w:val="20"/>
          <w:szCs w:val="20"/>
          <w:color w:val="auto"/>
        </w:rPr>
        <w:tab/>
      </w:r>
      <w:r>
        <w:rPr>
          <w:rFonts w:ascii="Arial" w:cs="Arial" w:eastAsia="Arial" w:hAnsi="Arial"/>
          <w:sz w:val="16"/>
          <w:szCs w:val="16"/>
          <w:color w:val="0D0E10"/>
        </w:rPr>
        <w:t>Motivates and rewards for long-term Company</w:t>
      </w:r>
    </w:p>
    <w:p>
      <w:pPr>
        <w:spacing w:after="0" w:line="31"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6"/>
          <w:szCs w:val="16"/>
          <w:color w:val="0D0E10"/>
        </w:rPr>
        <w:t>Incentive</w:t>
      </w:r>
      <w:r>
        <w:rPr>
          <w:sz w:val="20"/>
          <w:szCs w:val="20"/>
          <w:color w:val="auto"/>
        </w:rPr>
        <w:tab/>
      </w:r>
      <w:r>
        <w:rPr>
          <w:rFonts w:ascii="Arial" w:cs="Arial" w:eastAsia="Arial" w:hAnsi="Arial"/>
          <w:sz w:val="16"/>
          <w:szCs w:val="16"/>
          <w:color w:val="0D0E10"/>
        </w:rPr>
        <w:t>performance; aligns executive officers’</w:t>
      </w:r>
    </w:p>
    <w:p>
      <w:pPr>
        <w:spacing w:after="0" w:line="19"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6"/>
          <w:szCs w:val="16"/>
          <w:color w:val="0D0E10"/>
        </w:rPr>
        <w:t>(at-risk equity)</w:t>
        <w:tab/>
        <w:t>interests with stockholder interests and</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0D0E10"/>
        </w:rPr>
        <w:t>changes in stock value. Attracts highly</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0D0E10"/>
        </w:rPr>
        <w:t>qualified executive officers and supports our</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0D0E10"/>
        </w:rPr>
        <w:t>retention strategy.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0D0E10"/>
        </w:rPr>
        <w:t>Long-term incentives in the form of equity awards may be granted as appropriate during the year for new hires, promotions, or other special circumstances, such as to encourage retention, or as a reward for significant achievement. The majority of our executive officers’ target total direct compensation is delivered through equity in the form of RSU awards. Executive officers are encouraged to hold shares earned through the settlement of RSU awards by our meaningful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106045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440"/>
            <w:col w:w="6140"/>
          </w:cols>
          <w:pgMar w:left="320" w:top="279" w:right="359" w:bottom="1440" w:gutter="0" w:footer="0" w:header="0"/>
          <w:type w:val="continuous"/>
        </w:sectPr>
      </w:pPr>
    </w:p>
    <w:p>
      <w:pPr>
        <w:spacing w:after="0" w:line="286"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0D0E10"/>
        </w:rPr>
        <w:t>We also provide our executive officers with severance and change in control related payments and benefits, as well as benefits generally available to all our employees, including retirement benefits under our Section 401(k) plan and participation in various employee health and welfare benefit plans.</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43</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48" w:name="page49"/>
    <w:bookmarkEnd w:id="48"/>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F06A6A"/>
        </w:rPr>
        <w:t>HOW WE DETERMINE EXECUTIVE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Role of Our Compensation Committee, Management and the Board</w:t>
      </w:r>
    </w:p>
    <w:p>
      <w:pPr>
        <w:spacing w:after="0" w:line="129"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0D0E10"/>
        </w:rPr>
        <w:t>Our Compensation Committee is appointed by our Board of Directors and has oversight responsibilities related to our compensation and benefit programs, policies, and practices, administration of our equity compensation plans and in setting the compensation of our executive officers, the non-employee members of our Board of Directors, and other senior management, as appropriate.</w:t>
      </w:r>
    </w:p>
    <w:p>
      <w:pPr>
        <w:spacing w:after="0" w:line="121" w:lineRule="exact"/>
        <w:rPr>
          <w:sz w:val="20"/>
          <w:szCs w:val="20"/>
          <w:color w:val="auto"/>
        </w:rPr>
      </w:pPr>
    </w:p>
    <w:p>
      <w:pPr>
        <w:ind w:right="160"/>
        <w:spacing w:after="0" w:line="298" w:lineRule="auto"/>
        <w:rPr>
          <w:sz w:val="20"/>
          <w:szCs w:val="20"/>
          <w:color w:val="auto"/>
        </w:rPr>
      </w:pPr>
      <w:r>
        <w:rPr>
          <w:rFonts w:ascii="Arial" w:cs="Arial" w:eastAsia="Arial" w:hAnsi="Arial"/>
          <w:sz w:val="18"/>
          <w:szCs w:val="18"/>
          <w:color w:val="0D0E10"/>
        </w:rPr>
        <w:t>Our Compensation Committee is primarily responsible for establishing and reviewing our executive compensation strategy. Our Compensation Committee meets periodically throughout the year to, among other responsibilities, review and evaluate our executive compensation program, and generally determines the principal components of compensation (base salary and long-term incentives in the form of equity awards) for our executive officers on an annual basis; however, decisions may occur at other times for new hires, promotions or other special circumstances as our Compensation Committee determines appropriate. Our Compensation Committee does not delegate authority to approve executive officer compensation.</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Our Compensation Committee typically reviews base compensation and grants “refresh” equity awards to executive officers annually in the first quarter of the fiscal year, following comprehensive reviews of peer company market practices, company and individual performance results, and succession plan considerations (which are completed in the last quarter of the prior fiscal year). We do not maintain a formal policy regarding the timing of equity awards to our executive officers and may award grants at other times including when an executive officer is hired or promoted and at other times our Compensation Committee determines to be appropriate for retention or other purposes. Our Compensation Committee will continue to evaluate its equity grant policies as we continue to evolve and grow as a public company.</w:t>
      </w:r>
    </w:p>
    <w:p>
      <w:pPr>
        <w:spacing w:after="0" w:line="132"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0D0E10"/>
        </w:rPr>
        <w:t>Under its charter, our Compensation Committee has the authority to retain or obtain the advice of compensation consultants, independent legal counsel, and other advisors. Our Compensation Committee works with and receives information and analyses from management, including within our legal, finance, and people teams, and considers such information and analyses in determining the structure and amounts of compensation to be paid to our executive officers, including our named executive officers. Our Compensation Committee also considers recommendations from our CEO regarding the compensation of our executive officers, other than himself. While our CEO discusses his recommendations with the Compensation Committee, he does not participate in the deliberations concerning, or the determination of, his own compensation. Our Compensation Committee has final authority to make all compensation decisions for our CEO and our executive officers.</w:t>
      </w:r>
    </w:p>
    <w:p>
      <w:pPr>
        <w:spacing w:after="0" w:line="138" w:lineRule="exact"/>
        <w:rPr>
          <w:sz w:val="20"/>
          <w:szCs w:val="20"/>
          <w:color w:val="auto"/>
        </w:rPr>
      </w:pPr>
    </w:p>
    <w:p>
      <w:pPr>
        <w:jc w:val="both"/>
        <w:ind w:right="40"/>
        <w:spacing w:after="0" w:line="308" w:lineRule="auto"/>
        <w:rPr>
          <w:sz w:val="20"/>
          <w:szCs w:val="20"/>
          <w:color w:val="auto"/>
        </w:rPr>
      </w:pPr>
      <w:r>
        <w:rPr>
          <w:rFonts w:ascii="Arial" w:cs="Arial" w:eastAsia="Arial" w:hAnsi="Arial"/>
          <w:sz w:val="18"/>
          <w:szCs w:val="18"/>
          <w:color w:val="0D0E10"/>
        </w:rPr>
        <w:t>From time to time, various other members of management and other employees as well as outside advisors or consultants may be invited by our Compensation Committee to make presentations, provide financial or other background information or advice or otherwise participate in Compensation Committee or Board of Directors meetings.</w:t>
      </w:r>
    </w:p>
    <w:p>
      <w:pPr>
        <w:spacing w:after="0" w:line="121" w:lineRule="exact"/>
        <w:rPr>
          <w:sz w:val="20"/>
          <w:szCs w:val="20"/>
          <w:color w:val="auto"/>
        </w:rPr>
      </w:pPr>
    </w:p>
    <w:p>
      <w:pPr>
        <w:ind w:right="320"/>
        <w:spacing w:after="0" w:line="318" w:lineRule="auto"/>
        <w:rPr>
          <w:sz w:val="20"/>
          <w:szCs w:val="20"/>
          <w:color w:val="auto"/>
        </w:rPr>
      </w:pPr>
      <w:r>
        <w:rPr>
          <w:rFonts w:ascii="Arial" w:cs="Arial" w:eastAsia="Arial" w:hAnsi="Arial"/>
          <w:sz w:val="18"/>
          <w:szCs w:val="18"/>
          <w:color w:val="0D0E10"/>
        </w:rPr>
        <w:t>Members of management, including our CEO, may attend portions of our Compensation Committee’s meetings; however, our CEO is not present during discussions and decisions regarding his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Role of Compensation Consultant</w:t>
      </w:r>
    </w:p>
    <w:p>
      <w:pPr>
        <w:spacing w:after="0" w:line="102"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0D0E10"/>
        </w:rPr>
        <w:t>During fiscal year 2024, our Compensation Committee retained Compensia as its independent compensation consultant due to Compensia’s extensive analytical and compensation expertise with technology companies. In this capacity, Compensia has advised our Compensation Committee on compensation matters, including executive officer and employee director compensation design and structure. In fiscal year 2024, Compensia assisted with, among other things:</w:t>
      </w:r>
    </w:p>
    <w:p>
      <w:pPr>
        <w:spacing w:after="0" w:line="126"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8"/>
          <w:szCs w:val="18"/>
          <w:color w:val="0D0E10"/>
        </w:rPr>
      </w:pPr>
      <w:r>
        <w:rPr>
          <w:rFonts w:ascii="Arial" w:cs="Arial" w:eastAsia="Arial" w:hAnsi="Arial"/>
          <w:sz w:val="18"/>
          <w:szCs w:val="18"/>
          <w:color w:val="0D0E10"/>
        </w:rPr>
        <w:t>developing a group of peer companies to use as a reference in making executive compensation decisions;</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38"/>
        </w:numPr>
        <w:rPr>
          <w:rFonts w:ascii="Arial" w:cs="Arial" w:eastAsia="Arial" w:hAnsi="Arial"/>
          <w:sz w:val="18"/>
          <w:szCs w:val="18"/>
          <w:color w:val="0D0E10"/>
        </w:rPr>
      </w:pPr>
      <w:r>
        <w:rPr>
          <w:rFonts w:ascii="Arial" w:cs="Arial" w:eastAsia="Arial" w:hAnsi="Arial"/>
          <w:sz w:val="18"/>
          <w:szCs w:val="18"/>
          <w:color w:val="0D0E10"/>
        </w:rPr>
        <w:t>conducting an executive competitive market pay analysis, including for our named executive officers;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38"/>
        </w:numPr>
        <w:rPr>
          <w:rFonts w:ascii="Arial" w:cs="Arial" w:eastAsia="Arial" w:hAnsi="Arial"/>
          <w:sz w:val="18"/>
          <w:szCs w:val="18"/>
          <w:color w:val="0D0E10"/>
        </w:rPr>
      </w:pPr>
      <w:r>
        <w:rPr>
          <w:rFonts w:ascii="Arial" w:cs="Arial" w:eastAsia="Arial" w:hAnsi="Arial"/>
          <w:sz w:val="18"/>
          <w:szCs w:val="18"/>
          <w:color w:val="0D0E10"/>
        </w:rPr>
        <w:t>analyzing the equity utilization and reserve practices of our peer companies;</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44</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49" w:name="page50"/>
    <w:bookmarkEnd w:id="49"/>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hanging="288"/>
        <w:spacing w:after="0"/>
        <w:tabs>
          <w:tab w:leader="none" w:pos="620" w:val="left"/>
        </w:tabs>
        <w:numPr>
          <w:ilvl w:val="0"/>
          <w:numId w:val="39"/>
        </w:numPr>
        <w:rPr>
          <w:rFonts w:ascii="Arial" w:cs="Arial" w:eastAsia="Arial" w:hAnsi="Arial"/>
          <w:sz w:val="18"/>
          <w:szCs w:val="18"/>
          <w:color w:val="0D0E10"/>
        </w:rPr>
      </w:pPr>
      <w:r>
        <w:rPr>
          <w:rFonts w:ascii="Arial" w:cs="Arial" w:eastAsia="Arial" w:hAnsi="Arial"/>
          <w:sz w:val="18"/>
          <w:szCs w:val="18"/>
          <w:color w:val="0D0E10"/>
        </w:rPr>
        <w:t>conducting a risk assessment of our executive compensation policies and practices; and</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39"/>
        </w:numPr>
        <w:rPr>
          <w:rFonts w:ascii="Arial" w:cs="Arial" w:eastAsia="Arial" w:hAnsi="Arial"/>
          <w:sz w:val="18"/>
          <w:szCs w:val="18"/>
          <w:color w:val="0D0E10"/>
        </w:rPr>
      </w:pPr>
      <w:r>
        <w:rPr>
          <w:rFonts w:ascii="Arial" w:cs="Arial" w:eastAsia="Arial" w:hAnsi="Arial"/>
          <w:sz w:val="18"/>
          <w:szCs w:val="18"/>
          <w:color w:val="0D0E10"/>
        </w:rPr>
        <w:t>advising our Compensation Committee on market and industry trends and developments.</w:t>
      </w:r>
    </w:p>
    <w:p>
      <w:pPr>
        <w:spacing w:after="0" w:line="198" w:lineRule="exact"/>
        <w:rPr>
          <w:sz w:val="20"/>
          <w:szCs w:val="20"/>
          <w:color w:val="auto"/>
        </w:rPr>
      </w:pPr>
    </w:p>
    <w:p>
      <w:pPr>
        <w:ind w:right="100"/>
        <w:spacing w:after="0" w:line="302" w:lineRule="auto"/>
        <w:rPr>
          <w:sz w:val="20"/>
          <w:szCs w:val="20"/>
          <w:color w:val="auto"/>
        </w:rPr>
      </w:pPr>
      <w:r>
        <w:rPr>
          <w:rFonts w:ascii="Arial" w:cs="Arial" w:eastAsia="Arial" w:hAnsi="Arial"/>
          <w:sz w:val="18"/>
          <w:szCs w:val="18"/>
          <w:color w:val="0D0E10"/>
        </w:rPr>
        <w:t>Our Compensation Committee has the sole authority to retain compensation consultants to assist in its evaluation of executive compensation. Compensia makes recommendations to our Compensation Committee but has no authority to make compensation decisions on behalf of our Compensation Committee or the Company. Compensia reports to our Compensation Committee and has direct access to the chairperson and the other members of our Compensation Committee. Beyond data and advice related to executive, equity, and director compensation matters, Compensia did not provide other services to our Company in fiscal year 2024.</w:t>
      </w:r>
    </w:p>
    <w:p>
      <w:pPr>
        <w:spacing w:after="0" w:line="129"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0D0E10"/>
        </w:rPr>
        <w:t>Our Compensation Committee has examined whether the work of Compensia as our compensation consultant raised any conflict of interest, taking into account relevant factors in accordance with applicable SEC rules. Based on its analysis, our Compensation Committee determined that the work of Compensia and the individual compensation advisors employed by Compensia does not raise any conflict of interest pursuant to the independence factors and guidance provided in the Dodd-Frank Act, SEC rules, and NYSE and LTSE listing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Use of Competitive Market Data</w:t>
      </w:r>
    </w:p>
    <w:p>
      <w:pPr>
        <w:spacing w:after="0" w:line="102"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0D0E10"/>
        </w:rPr>
        <w:t>Our Compensation Committee believes that it is important when making compensation decisions to be informed regarding current practices of comparable public companies with which we compete for top talent. To this end, our Compensation Committee works annually with Compensia to review and revise the list of our peer group companies to be used in connection with assessing compensation practices and pay levels. Our Compensation Committee believes that the competitive market data provided by Compensia, along with other factors, is an important reference point when setting compensation for our executive officers, including our named executive officers, because competition for executive talent is very intense in our industry and the retention of our talented leadership team is critical to our success.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Fiscal Year 2024 Compensation Peer Group</w:t>
      </w:r>
    </w:p>
    <w:p>
      <w:pPr>
        <w:spacing w:after="0" w:line="102" w:lineRule="exact"/>
        <w:rPr>
          <w:sz w:val="20"/>
          <w:szCs w:val="20"/>
          <w:color w:val="auto"/>
        </w:rPr>
      </w:pPr>
    </w:p>
    <w:p>
      <w:pPr>
        <w:ind w:right="360"/>
        <w:spacing w:after="0" w:line="318" w:lineRule="auto"/>
        <w:rPr>
          <w:sz w:val="20"/>
          <w:szCs w:val="20"/>
          <w:color w:val="auto"/>
        </w:rPr>
      </w:pPr>
      <w:r>
        <w:rPr>
          <w:rFonts w:ascii="Arial" w:cs="Arial" w:eastAsia="Arial" w:hAnsi="Arial"/>
          <w:sz w:val="18"/>
          <w:szCs w:val="18"/>
          <w:color w:val="0D0E10"/>
        </w:rPr>
        <w:t>In December 2022, Compensia proposed, and our Compensation Committee approved, a group of companies that would be appropriate peers for fiscal year 2024 compensation decisions, based on the following criteria:</w:t>
      </w:r>
    </w:p>
    <w:p>
      <w:pPr>
        <w:spacing w:after="0" w:line="113" w:lineRule="exact"/>
        <w:rPr>
          <w:sz w:val="20"/>
          <w:szCs w:val="20"/>
          <w:color w:val="auto"/>
        </w:rPr>
      </w:pPr>
    </w:p>
    <w:p>
      <w:pPr>
        <w:ind w:left="620" w:hanging="288"/>
        <w:spacing w:after="0"/>
        <w:tabs>
          <w:tab w:leader="none" w:pos="620" w:val="left"/>
        </w:tabs>
        <w:numPr>
          <w:ilvl w:val="0"/>
          <w:numId w:val="40"/>
        </w:numPr>
        <w:rPr>
          <w:rFonts w:ascii="Arial" w:cs="Arial" w:eastAsia="Arial" w:hAnsi="Arial"/>
          <w:sz w:val="18"/>
          <w:szCs w:val="18"/>
          <w:color w:val="0D0E10"/>
        </w:rPr>
      </w:pPr>
      <w:r>
        <w:rPr>
          <w:rFonts w:ascii="Arial" w:cs="Arial" w:eastAsia="Arial" w:hAnsi="Arial"/>
          <w:sz w:val="18"/>
          <w:szCs w:val="18"/>
          <w:color w:val="0D0E10"/>
        </w:rPr>
        <w:t>Industry: software-related companies with a focus on companies providing software as a service (SAAS).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0"/>
        </w:numPr>
        <w:rPr>
          <w:rFonts w:ascii="Arial" w:cs="Arial" w:eastAsia="Arial" w:hAnsi="Arial"/>
          <w:sz w:val="18"/>
          <w:szCs w:val="18"/>
          <w:color w:val="0D0E10"/>
        </w:rPr>
      </w:pPr>
      <w:r>
        <w:rPr>
          <w:rFonts w:ascii="Arial" w:cs="Arial" w:eastAsia="Arial" w:hAnsi="Arial"/>
          <w:sz w:val="18"/>
          <w:szCs w:val="18"/>
          <w:color w:val="0D0E10"/>
        </w:rPr>
        <w:t>Market capitalization: approximately 0.3x to 3x of our market capitalization.</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40"/>
        </w:numPr>
        <w:rPr>
          <w:rFonts w:ascii="Arial" w:cs="Arial" w:eastAsia="Arial" w:hAnsi="Arial"/>
          <w:sz w:val="18"/>
          <w:szCs w:val="18"/>
          <w:color w:val="0D0E10"/>
        </w:rPr>
      </w:pPr>
      <w:r>
        <w:rPr>
          <w:rFonts w:ascii="Arial" w:cs="Arial" w:eastAsia="Arial" w:hAnsi="Arial"/>
          <w:sz w:val="18"/>
          <w:szCs w:val="18"/>
          <w:color w:val="0D0E10"/>
        </w:rPr>
        <w:t>Revenues: approximately 0.5x to 2.5x of our revenues over the trailing four quarters.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D0E10"/>
        </w:rPr>
        <w:t>At the time, our trailing four quarter revenue was $422 million, and our 30-day average market capitalization was approximately $3.6 billion.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0D0E10"/>
        </w:rPr>
        <w:t>Using the above criteria collectively, the following 19 companies were identified as appropriately sized for our peer group by our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0D0E10"/>
        </w:rPr>
        <w:t>Compensation Committee for the purpose of informing executive pay decisions for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40" w:type="dxa"/>
            <w:vAlign w:val="bottom"/>
          </w:tcPr>
          <w:p>
            <w:pPr>
              <w:ind w:left="100"/>
              <w:spacing w:after="0"/>
              <w:rPr>
                <w:sz w:val="20"/>
                <w:szCs w:val="20"/>
                <w:color w:val="auto"/>
              </w:rPr>
            </w:pPr>
            <w:r>
              <w:rPr>
                <w:rFonts w:ascii="Arial" w:cs="Arial" w:eastAsia="Arial" w:hAnsi="Arial"/>
                <w:sz w:val="16"/>
                <w:szCs w:val="16"/>
                <w:b w:val="1"/>
                <w:bCs w:val="1"/>
                <w:color w:val="F06A6A"/>
              </w:rPr>
              <w:t>Alteryx</w:t>
            </w:r>
          </w:p>
        </w:tc>
        <w:tc>
          <w:tcPr>
            <w:tcW w:w="2200" w:type="dxa"/>
            <w:vAlign w:val="bottom"/>
          </w:tcPr>
          <w:p>
            <w:pPr>
              <w:ind w:left="200"/>
              <w:spacing w:after="0"/>
              <w:rPr>
                <w:sz w:val="20"/>
                <w:szCs w:val="20"/>
                <w:color w:val="auto"/>
              </w:rPr>
            </w:pPr>
            <w:r>
              <w:rPr>
                <w:rFonts w:ascii="Arial" w:cs="Arial" w:eastAsia="Arial" w:hAnsi="Arial"/>
                <w:sz w:val="16"/>
                <w:szCs w:val="16"/>
                <w:b w:val="1"/>
                <w:bCs w:val="1"/>
                <w:color w:val="F06A6A"/>
              </w:rPr>
              <w:t>AppFolio</w:t>
            </w:r>
          </w:p>
        </w:tc>
        <w:tc>
          <w:tcPr>
            <w:tcW w:w="2060" w:type="dxa"/>
            <w:vAlign w:val="bottom"/>
          </w:tcPr>
          <w:p>
            <w:pPr>
              <w:ind w:left="240"/>
              <w:spacing w:after="0"/>
              <w:rPr>
                <w:sz w:val="20"/>
                <w:szCs w:val="20"/>
                <w:color w:val="auto"/>
              </w:rPr>
            </w:pPr>
            <w:r>
              <w:rPr>
                <w:rFonts w:ascii="Arial" w:cs="Arial" w:eastAsia="Arial" w:hAnsi="Arial"/>
                <w:sz w:val="16"/>
                <w:szCs w:val="16"/>
                <w:b w:val="1"/>
                <w:bCs w:val="1"/>
                <w:color w:val="F06A6A"/>
              </w:rPr>
              <w:t>Bill.com Holdings</w:t>
            </w:r>
          </w:p>
        </w:tc>
        <w:tc>
          <w:tcPr>
            <w:tcW w:w="1960" w:type="dxa"/>
            <w:vAlign w:val="bottom"/>
          </w:tcPr>
          <w:p>
            <w:pPr>
              <w:ind w:left="440"/>
              <w:spacing w:after="0"/>
              <w:rPr>
                <w:sz w:val="20"/>
                <w:szCs w:val="20"/>
                <w:color w:val="auto"/>
              </w:rPr>
            </w:pPr>
            <w:r>
              <w:rPr>
                <w:rFonts w:ascii="Arial" w:cs="Arial" w:eastAsia="Arial" w:hAnsi="Arial"/>
                <w:sz w:val="16"/>
                <w:szCs w:val="16"/>
                <w:b w:val="1"/>
                <w:bCs w:val="1"/>
                <w:color w:val="F06A6A"/>
              </w:rPr>
              <w:t>Braze</w:t>
            </w:r>
          </w:p>
        </w:tc>
        <w:tc>
          <w:tcPr>
            <w:tcW w:w="2860" w:type="dxa"/>
            <w:vAlign w:val="bottom"/>
          </w:tcPr>
          <w:p>
            <w:pPr>
              <w:ind w:left="720"/>
              <w:spacing w:after="0"/>
              <w:rPr>
                <w:sz w:val="20"/>
                <w:szCs w:val="20"/>
                <w:color w:val="auto"/>
              </w:rPr>
            </w:pPr>
            <w:r>
              <w:rPr>
                <w:rFonts w:ascii="Arial" w:cs="Arial" w:eastAsia="Arial" w:hAnsi="Arial"/>
                <w:sz w:val="16"/>
                <w:szCs w:val="16"/>
                <w:b w:val="1"/>
                <w:bCs w:val="1"/>
                <w:color w:val="F06A6A"/>
              </w:rPr>
              <w:t>Confluent</w:t>
            </w:r>
          </w:p>
        </w:tc>
      </w:tr>
      <w:tr>
        <w:trPr>
          <w:trHeight w:val="34"/>
        </w:trPr>
        <w:tc>
          <w:tcPr>
            <w:tcW w:w="2140" w:type="dxa"/>
            <w:vAlign w:val="bottom"/>
            <w:tcBorders>
              <w:bottom w:val="single" w:sz="8" w:color="A5A4A3"/>
            </w:tcBorders>
          </w:tcPr>
          <w:p>
            <w:pPr>
              <w:spacing w:after="0"/>
              <w:rPr>
                <w:sz w:val="3"/>
                <w:szCs w:val="3"/>
                <w:color w:val="auto"/>
              </w:rPr>
            </w:pPr>
          </w:p>
        </w:tc>
        <w:tc>
          <w:tcPr>
            <w:tcW w:w="2200" w:type="dxa"/>
            <w:vAlign w:val="bottom"/>
            <w:tcBorders>
              <w:bottom w:val="single" w:sz="8" w:color="A5A4A3"/>
            </w:tcBorders>
          </w:tcPr>
          <w:p>
            <w:pPr>
              <w:spacing w:after="0"/>
              <w:rPr>
                <w:sz w:val="3"/>
                <w:szCs w:val="3"/>
                <w:color w:val="auto"/>
              </w:rPr>
            </w:pPr>
          </w:p>
        </w:tc>
        <w:tc>
          <w:tcPr>
            <w:tcW w:w="2060" w:type="dxa"/>
            <w:vAlign w:val="bottom"/>
            <w:tcBorders>
              <w:bottom w:val="single" w:sz="8" w:color="A5A4A3"/>
            </w:tcBorders>
          </w:tcPr>
          <w:p>
            <w:pPr>
              <w:spacing w:after="0"/>
              <w:rPr>
                <w:sz w:val="3"/>
                <w:szCs w:val="3"/>
                <w:color w:val="auto"/>
              </w:rPr>
            </w:pPr>
          </w:p>
        </w:tc>
        <w:tc>
          <w:tcPr>
            <w:tcW w:w="1960" w:type="dxa"/>
            <w:vAlign w:val="bottom"/>
            <w:tcBorders>
              <w:bottom w:val="single" w:sz="8" w:color="A5A4A3"/>
            </w:tcBorders>
          </w:tcPr>
          <w:p>
            <w:pPr>
              <w:spacing w:after="0"/>
              <w:rPr>
                <w:sz w:val="3"/>
                <w:szCs w:val="3"/>
                <w:color w:val="auto"/>
              </w:rPr>
            </w:pPr>
          </w:p>
        </w:tc>
        <w:tc>
          <w:tcPr>
            <w:tcW w:w="2860" w:type="dxa"/>
            <w:vAlign w:val="bottom"/>
            <w:tcBorders>
              <w:bottom w:val="single" w:sz="8" w:color="A5A4A3"/>
            </w:tcBorders>
          </w:tcPr>
          <w:p>
            <w:pPr>
              <w:spacing w:after="0"/>
              <w:rPr>
                <w:sz w:val="3"/>
                <w:szCs w:val="3"/>
                <w:color w:val="auto"/>
              </w:rPr>
            </w:pPr>
          </w:p>
        </w:tc>
      </w:tr>
      <w:tr>
        <w:trPr>
          <w:trHeight w:val="229"/>
        </w:trPr>
        <w:tc>
          <w:tcPr>
            <w:tcW w:w="2140" w:type="dxa"/>
            <w:vAlign w:val="bottom"/>
          </w:tcPr>
          <w:p>
            <w:pPr>
              <w:ind w:left="100"/>
              <w:spacing w:after="0"/>
              <w:rPr>
                <w:sz w:val="20"/>
                <w:szCs w:val="20"/>
                <w:color w:val="auto"/>
              </w:rPr>
            </w:pPr>
            <w:r>
              <w:rPr>
                <w:rFonts w:ascii="Arial" w:cs="Arial" w:eastAsia="Arial" w:hAnsi="Arial"/>
                <w:sz w:val="16"/>
                <w:szCs w:val="16"/>
                <w:b w:val="1"/>
                <w:bCs w:val="1"/>
                <w:color w:val="F06A6A"/>
              </w:rPr>
              <w:t>Coupa Software</w:t>
            </w:r>
          </w:p>
        </w:tc>
        <w:tc>
          <w:tcPr>
            <w:tcW w:w="2200" w:type="dxa"/>
            <w:vAlign w:val="bottom"/>
          </w:tcPr>
          <w:p>
            <w:pPr>
              <w:ind w:left="200"/>
              <w:spacing w:after="0"/>
              <w:rPr>
                <w:sz w:val="20"/>
                <w:szCs w:val="20"/>
                <w:color w:val="auto"/>
              </w:rPr>
            </w:pPr>
            <w:r>
              <w:rPr>
                <w:rFonts w:ascii="Arial" w:cs="Arial" w:eastAsia="Arial" w:hAnsi="Arial"/>
                <w:sz w:val="16"/>
                <w:szCs w:val="16"/>
                <w:b w:val="1"/>
                <w:bCs w:val="1"/>
                <w:color w:val="F06A6A"/>
              </w:rPr>
              <w:t>DigitalOcean Holdings</w:t>
            </w:r>
          </w:p>
        </w:tc>
        <w:tc>
          <w:tcPr>
            <w:tcW w:w="2060" w:type="dxa"/>
            <w:vAlign w:val="bottom"/>
          </w:tcPr>
          <w:p>
            <w:pPr>
              <w:ind w:left="240"/>
              <w:spacing w:after="0"/>
              <w:rPr>
                <w:sz w:val="20"/>
                <w:szCs w:val="20"/>
                <w:color w:val="auto"/>
              </w:rPr>
            </w:pPr>
            <w:r>
              <w:rPr>
                <w:rFonts w:ascii="Arial" w:cs="Arial" w:eastAsia="Arial" w:hAnsi="Arial"/>
                <w:sz w:val="16"/>
                <w:szCs w:val="16"/>
                <w:b w:val="1"/>
                <w:bCs w:val="1"/>
                <w:color w:val="F06A6A"/>
              </w:rPr>
              <w:t>Elastic N.V.</w:t>
            </w:r>
          </w:p>
        </w:tc>
        <w:tc>
          <w:tcPr>
            <w:tcW w:w="1960" w:type="dxa"/>
            <w:vAlign w:val="bottom"/>
          </w:tcPr>
          <w:p>
            <w:pPr>
              <w:ind w:left="440"/>
              <w:spacing w:after="0"/>
              <w:rPr>
                <w:sz w:val="20"/>
                <w:szCs w:val="20"/>
                <w:color w:val="auto"/>
              </w:rPr>
            </w:pPr>
            <w:r>
              <w:rPr>
                <w:rFonts w:ascii="Arial" w:cs="Arial" w:eastAsia="Arial" w:hAnsi="Arial"/>
                <w:sz w:val="16"/>
                <w:szCs w:val="16"/>
                <w:b w:val="1"/>
                <w:bCs w:val="1"/>
                <w:color w:val="F06A6A"/>
              </w:rPr>
              <w:t>Fastly**</w:t>
            </w:r>
          </w:p>
        </w:tc>
        <w:tc>
          <w:tcPr>
            <w:tcW w:w="2860" w:type="dxa"/>
            <w:vAlign w:val="bottom"/>
          </w:tcPr>
          <w:p>
            <w:pPr>
              <w:ind w:left="720"/>
              <w:spacing w:after="0"/>
              <w:rPr>
                <w:sz w:val="20"/>
                <w:szCs w:val="20"/>
                <w:color w:val="auto"/>
              </w:rPr>
            </w:pPr>
            <w:r>
              <w:rPr>
                <w:rFonts w:ascii="Arial" w:cs="Arial" w:eastAsia="Arial" w:hAnsi="Arial"/>
                <w:sz w:val="16"/>
                <w:szCs w:val="16"/>
                <w:b w:val="1"/>
                <w:bCs w:val="1"/>
                <w:color w:val="F06A6A"/>
              </w:rPr>
              <w:t>Five9</w:t>
            </w:r>
          </w:p>
        </w:tc>
      </w:tr>
      <w:tr>
        <w:trPr>
          <w:trHeight w:val="35"/>
        </w:trPr>
        <w:tc>
          <w:tcPr>
            <w:tcW w:w="2140" w:type="dxa"/>
            <w:vAlign w:val="bottom"/>
            <w:tcBorders>
              <w:bottom w:val="single" w:sz="8" w:color="A5A4A3"/>
            </w:tcBorders>
          </w:tcPr>
          <w:p>
            <w:pPr>
              <w:spacing w:after="0"/>
              <w:rPr>
                <w:sz w:val="3"/>
                <w:szCs w:val="3"/>
                <w:color w:val="auto"/>
              </w:rPr>
            </w:pPr>
          </w:p>
        </w:tc>
        <w:tc>
          <w:tcPr>
            <w:tcW w:w="2200" w:type="dxa"/>
            <w:vAlign w:val="bottom"/>
            <w:tcBorders>
              <w:bottom w:val="single" w:sz="8" w:color="A5A4A3"/>
            </w:tcBorders>
          </w:tcPr>
          <w:p>
            <w:pPr>
              <w:spacing w:after="0"/>
              <w:rPr>
                <w:sz w:val="3"/>
                <w:szCs w:val="3"/>
                <w:color w:val="auto"/>
              </w:rPr>
            </w:pPr>
          </w:p>
        </w:tc>
        <w:tc>
          <w:tcPr>
            <w:tcW w:w="2060" w:type="dxa"/>
            <w:vAlign w:val="bottom"/>
            <w:tcBorders>
              <w:bottom w:val="single" w:sz="8" w:color="A5A4A3"/>
            </w:tcBorders>
          </w:tcPr>
          <w:p>
            <w:pPr>
              <w:spacing w:after="0"/>
              <w:rPr>
                <w:sz w:val="3"/>
                <w:szCs w:val="3"/>
                <w:color w:val="auto"/>
              </w:rPr>
            </w:pPr>
          </w:p>
        </w:tc>
        <w:tc>
          <w:tcPr>
            <w:tcW w:w="1960" w:type="dxa"/>
            <w:vAlign w:val="bottom"/>
            <w:tcBorders>
              <w:bottom w:val="single" w:sz="8" w:color="A5A4A3"/>
            </w:tcBorders>
          </w:tcPr>
          <w:p>
            <w:pPr>
              <w:spacing w:after="0"/>
              <w:rPr>
                <w:sz w:val="3"/>
                <w:szCs w:val="3"/>
                <w:color w:val="auto"/>
              </w:rPr>
            </w:pPr>
          </w:p>
        </w:tc>
        <w:tc>
          <w:tcPr>
            <w:tcW w:w="2860" w:type="dxa"/>
            <w:vAlign w:val="bottom"/>
            <w:tcBorders>
              <w:bottom w:val="single" w:sz="8" w:color="A5A4A3"/>
            </w:tcBorders>
          </w:tcPr>
          <w:p>
            <w:pPr>
              <w:spacing w:after="0"/>
              <w:rPr>
                <w:sz w:val="3"/>
                <w:szCs w:val="3"/>
                <w:color w:val="auto"/>
              </w:rPr>
            </w:pPr>
          </w:p>
        </w:tc>
      </w:tr>
      <w:tr>
        <w:trPr>
          <w:trHeight w:val="229"/>
        </w:trPr>
        <w:tc>
          <w:tcPr>
            <w:tcW w:w="2140" w:type="dxa"/>
            <w:vAlign w:val="bottom"/>
          </w:tcPr>
          <w:p>
            <w:pPr>
              <w:ind w:left="100"/>
              <w:spacing w:after="0"/>
              <w:rPr>
                <w:sz w:val="20"/>
                <w:szCs w:val="20"/>
                <w:color w:val="auto"/>
              </w:rPr>
            </w:pPr>
            <w:r>
              <w:rPr>
                <w:rFonts w:ascii="Arial" w:cs="Arial" w:eastAsia="Arial" w:hAnsi="Arial"/>
                <w:sz w:val="16"/>
                <w:szCs w:val="16"/>
                <w:b w:val="1"/>
                <w:bCs w:val="1"/>
                <w:color w:val="F06A6A"/>
              </w:rPr>
              <w:t>Freshworks**</w:t>
            </w:r>
          </w:p>
        </w:tc>
        <w:tc>
          <w:tcPr>
            <w:tcW w:w="2200" w:type="dxa"/>
            <w:vAlign w:val="bottom"/>
          </w:tcPr>
          <w:p>
            <w:pPr>
              <w:ind w:left="200"/>
              <w:spacing w:after="0"/>
              <w:rPr>
                <w:sz w:val="20"/>
                <w:szCs w:val="20"/>
                <w:color w:val="auto"/>
              </w:rPr>
            </w:pPr>
            <w:r>
              <w:rPr>
                <w:rFonts w:ascii="Arial" w:cs="Arial" w:eastAsia="Arial" w:hAnsi="Arial"/>
                <w:sz w:val="16"/>
                <w:szCs w:val="16"/>
                <w:b w:val="1"/>
                <w:bCs w:val="1"/>
                <w:color w:val="F06A6A"/>
              </w:rPr>
              <w:t>GitLab</w:t>
            </w:r>
          </w:p>
        </w:tc>
        <w:tc>
          <w:tcPr>
            <w:tcW w:w="2060" w:type="dxa"/>
            <w:vAlign w:val="bottom"/>
          </w:tcPr>
          <w:p>
            <w:pPr>
              <w:ind w:left="240"/>
              <w:spacing w:after="0"/>
              <w:rPr>
                <w:sz w:val="20"/>
                <w:szCs w:val="20"/>
                <w:color w:val="auto"/>
              </w:rPr>
            </w:pPr>
            <w:r>
              <w:rPr>
                <w:rFonts w:ascii="Arial" w:cs="Arial" w:eastAsia="Arial" w:hAnsi="Arial"/>
                <w:sz w:val="16"/>
                <w:szCs w:val="16"/>
                <w:b w:val="1"/>
                <w:bCs w:val="1"/>
                <w:color w:val="F06A6A"/>
              </w:rPr>
              <w:t>HashiCorp</w:t>
            </w:r>
          </w:p>
        </w:tc>
        <w:tc>
          <w:tcPr>
            <w:tcW w:w="1960" w:type="dxa"/>
            <w:vAlign w:val="bottom"/>
          </w:tcPr>
          <w:p>
            <w:pPr>
              <w:ind w:left="440"/>
              <w:spacing w:after="0"/>
              <w:rPr>
                <w:sz w:val="20"/>
                <w:szCs w:val="20"/>
                <w:color w:val="auto"/>
              </w:rPr>
            </w:pPr>
            <w:r>
              <w:rPr>
                <w:rFonts w:ascii="Arial" w:cs="Arial" w:eastAsia="Arial" w:hAnsi="Arial"/>
                <w:sz w:val="16"/>
                <w:szCs w:val="16"/>
                <w:b w:val="1"/>
                <w:bCs w:val="1"/>
                <w:color w:val="F06A6A"/>
              </w:rPr>
              <w:t>PagerDuty</w:t>
            </w:r>
          </w:p>
        </w:tc>
        <w:tc>
          <w:tcPr>
            <w:tcW w:w="2860" w:type="dxa"/>
            <w:vAlign w:val="bottom"/>
          </w:tcPr>
          <w:p>
            <w:pPr>
              <w:ind w:left="720"/>
              <w:spacing w:after="0"/>
              <w:rPr>
                <w:sz w:val="20"/>
                <w:szCs w:val="20"/>
                <w:color w:val="auto"/>
              </w:rPr>
            </w:pPr>
            <w:r>
              <w:rPr>
                <w:rFonts w:ascii="Arial" w:cs="Arial" w:eastAsia="Arial" w:hAnsi="Arial"/>
                <w:sz w:val="16"/>
                <w:szCs w:val="16"/>
                <w:b w:val="1"/>
                <w:bCs w:val="1"/>
                <w:color w:val="F06A6A"/>
              </w:rPr>
              <w:t>Procore Technologies</w:t>
            </w:r>
          </w:p>
        </w:tc>
      </w:tr>
      <w:tr>
        <w:trPr>
          <w:trHeight w:val="35"/>
        </w:trPr>
        <w:tc>
          <w:tcPr>
            <w:tcW w:w="2140" w:type="dxa"/>
            <w:vAlign w:val="bottom"/>
            <w:tcBorders>
              <w:bottom w:val="single" w:sz="8" w:color="A5A4A3"/>
            </w:tcBorders>
          </w:tcPr>
          <w:p>
            <w:pPr>
              <w:spacing w:after="0"/>
              <w:rPr>
                <w:sz w:val="3"/>
                <w:szCs w:val="3"/>
                <w:color w:val="auto"/>
              </w:rPr>
            </w:pPr>
          </w:p>
        </w:tc>
        <w:tc>
          <w:tcPr>
            <w:tcW w:w="2200" w:type="dxa"/>
            <w:vAlign w:val="bottom"/>
            <w:tcBorders>
              <w:bottom w:val="single" w:sz="8" w:color="A5A4A3"/>
            </w:tcBorders>
          </w:tcPr>
          <w:p>
            <w:pPr>
              <w:spacing w:after="0"/>
              <w:rPr>
                <w:sz w:val="3"/>
                <w:szCs w:val="3"/>
                <w:color w:val="auto"/>
              </w:rPr>
            </w:pPr>
          </w:p>
        </w:tc>
        <w:tc>
          <w:tcPr>
            <w:tcW w:w="2060" w:type="dxa"/>
            <w:vAlign w:val="bottom"/>
            <w:tcBorders>
              <w:bottom w:val="single" w:sz="8" w:color="A5A4A3"/>
            </w:tcBorders>
          </w:tcPr>
          <w:p>
            <w:pPr>
              <w:spacing w:after="0"/>
              <w:rPr>
                <w:sz w:val="3"/>
                <w:szCs w:val="3"/>
                <w:color w:val="auto"/>
              </w:rPr>
            </w:pPr>
          </w:p>
        </w:tc>
        <w:tc>
          <w:tcPr>
            <w:tcW w:w="1960" w:type="dxa"/>
            <w:vAlign w:val="bottom"/>
            <w:tcBorders>
              <w:bottom w:val="single" w:sz="8" w:color="A5A4A3"/>
            </w:tcBorders>
          </w:tcPr>
          <w:p>
            <w:pPr>
              <w:spacing w:after="0"/>
              <w:rPr>
                <w:sz w:val="3"/>
                <w:szCs w:val="3"/>
                <w:color w:val="auto"/>
              </w:rPr>
            </w:pPr>
          </w:p>
        </w:tc>
        <w:tc>
          <w:tcPr>
            <w:tcW w:w="2860" w:type="dxa"/>
            <w:vAlign w:val="bottom"/>
            <w:tcBorders>
              <w:bottom w:val="single" w:sz="8" w:color="A5A4A3"/>
            </w:tcBorders>
          </w:tcPr>
          <w:p>
            <w:pPr>
              <w:spacing w:after="0"/>
              <w:rPr>
                <w:sz w:val="3"/>
                <w:szCs w:val="3"/>
                <w:color w:val="auto"/>
              </w:rPr>
            </w:pPr>
          </w:p>
        </w:tc>
      </w:tr>
      <w:tr>
        <w:trPr>
          <w:trHeight w:val="229"/>
        </w:trPr>
        <w:tc>
          <w:tcPr>
            <w:tcW w:w="2140" w:type="dxa"/>
            <w:vAlign w:val="bottom"/>
          </w:tcPr>
          <w:p>
            <w:pPr>
              <w:ind w:left="100"/>
              <w:spacing w:after="0"/>
              <w:rPr>
                <w:sz w:val="20"/>
                <w:szCs w:val="20"/>
                <w:color w:val="auto"/>
              </w:rPr>
            </w:pPr>
            <w:r>
              <w:rPr>
                <w:rFonts w:ascii="Arial" w:cs="Arial" w:eastAsia="Arial" w:hAnsi="Arial"/>
                <w:sz w:val="16"/>
                <w:szCs w:val="16"/>
                <w:b w:val="1"/>
                <w:bCs w:val="1"/>
                <w:color w:val="F06A6A"/>
              </w:rPr>
              <w:t>SailPoint Technologies*</w:t>
            </w:r>
          </w:p>
        </w:tc>
        <w:tc>
          <w:tcPr>
            <w:tcW w:w="2200" w:type="dxa"/>
            <w:vAlign w:val="bottom"/>
          </w:tcPr>
          <w:p>
            <w:pPr>
              <w:ind w:left="200"/>
              <w:spacing w:after="0"/>
              <w:rPr>
                <w:sz w:val="20"/>
                <w:szCs w:val="20"/>
                <w:color w:val="auto"/>
              </w:rPr>
            </w:pPr>
            <w:r>
              <w:rPr>
                <w:rFonts w:ascii="Arial" w:cs="Arial" w:eastAsia="Arial" w:hAnsi="Arial"/>
                <w:sz w:val="16"/>
                <w:szCs w:val="16"/>
                <w:b w:val="1"/>
                <w:bCs w:val="1"/>
                <w:color w:val="F06A6A"/>
              </w:rPr>
              <w:t>Smartsheet</w:t>
            </w:r>
          </w:p>
        </w:tc>
        <w:tc>
          <w:tcPr>
            <w:tcW w:w="2060" w:type="dxa"/>
            <w:vAlign w:val="bottom"/>
          </w:tcPr>
          <w:p>
            <w:pPr>
              <w:ind w:left="240"/>
              <w:spacing w:after="0"/>
              <w:rPr>
                <w:sz w:val="20"/>
                <w:szCs w:val="20"/>
                <w:color w:val="auto"/>
              </w:rPr>
            </w:pPr>
            <w:r>
              <w:rPr>
                <w:rFonts w:ascii="Arial" w:cs="Arial" w:eastAsia="Arial" w:hAnsi="Arial"/>
                <w:sz w:val="16"/>
                <w:szCs w:val="16"/>
                <w:b w:val="1"/>
                <w:bCs w:val="1"/>
                <w:color w:val="F06A6A"/>
              </w:rPr>
              <w:t>Sprout Social</w:t>
            </w:r>
          </w:p>
        </w:tc>
        <w:tc>
          <w:tcPr>
            <w:tcW w:w="1960" w:type="dxa"/>
            <w:vAlign w:val="bottom"/>
          </w:tcPr>
          <w:p>
            <w:pPr>
              <w:ind w:left="440"/>
              <w:spacing w:after="0"/>
              <w:rPr>
                <w:sz w:val="20"/>
                <w:szCs w:val="20"/>
                <w:color w:val="auto"/>
              </w:rPr>
            </w:pPr>
            <w:r>
              <w:rPr>
                <w:rFonts w:ascii="Arial" w:cs="Arial" w:eastAsia="Arial" w:hAnsi="Arial"/>
                <w:sz w:val="16"/>
                <w:szCs w:val="16"/>
                <w:b w:val="1"/>
                <w:bCs w:val="1"/>
                <w:color w:val="F06A6A"/>
              </w:rPr>
              <w:t>Workiva**</w:t>
            </w:r>
          </w:p>
        </w:tc>
        <w:tc>
          <w:tcPr>
            <w:tcW w:w="2860" w:type="dxa"/>
            <w:vAlign w:val="bottom"/>
          </w:tcPr>
          <w:p>
            <w:pPr>
              <w:spacing w:after="0"/>
              <w:rPr>
                <w:sz w:val="19"/>
                <w:szCs w:val="19"/>
                <w:color w:val="auto"/>
              </w:rPr>
            </w:pPr>
          </w:p>
        </w:tc>
      </w:tr>
      <w:tr>
        <w:trPr>
          <w:trHeight w:val="34"/>
        </w:trPr>
        <w:tc>
          <w:tcPr>
            <w:tcW w:w="2140" w:type="dxa"/>
            <w:vAlign w:val="bottom"/>
            <w:tcBorders>
              <w:bottom w:val="single" w:sz="8" w:color="A5A4A3"/>
            </w:tcBorders>
          </w:tcPr>
          <w:p>
            <w:pPr>
              <w:spacing w:after="0"/>
              <w:rPr>
                <w:sz w:val="3"/>
                <w:szCs w:val="3"/>
                <w:color w:val="auto"/>
              </w:rPr>
            </w:pPr>
          </w:p>
        </w:tc>
        <w:tc>
          <w:tcPr>
            <w:tcW w:w="2200" w:type="dxa"/>
            <w:vAlign w:val="bottom"/>
            <w:tcBorders>
              <w:bottom w:val="single" w:sz="8" w:color="A5A4A3"/>
            </w:tcBorders>
          </w:tcPr>
          <w:p>
            <w:pPr>
              <w:spacing w:after="0"/>
              <w:rPr>
                <w:sz w:val="3"/>
                <w:szCs w:val="3"/>
                <w:color w:val="auto"/>
              </w:rPr>
            </w:pPr>
          </w:p>
        </w:tc>
        <w:tc>
          <w:tcPr>
            <w:tcW w:w="2060" w:type="dxa"/>
            <w:vAlign w:val="bottom"/>
            <w:tcBorders>
              <w:bottom w:val="single" w:sz="8" w:color="A5A4A3"/>
            </w:tcBorders>
          </w:tcPr>
          <w:p>
            <w:pPr>
              <w:spacing w:after="0"/>
              <w:rPr>
                <w:sz w:val="3"/>
                <w:szCs w:val="3"/>
                <w:color w:val="auto"/>
              </w:rPr>
            </w:pPr>
          </w:p>
        </w:tc>
        <w:tc>
          <w:tcPr>
            <w:tcW w:w="1960" w:type="dxa"/>
            <w:vAlign w:val="bottom"/>
            <w:tcBorders>
              <w:bottom w:val="single" w:sz="8" w:color="A5A4A3"/>
            </w:tcBorders>
          </w:tcPr>
          <w:p>
            <w:pPr>
              <w:spacing w:after="0"/>
              <w:rPr>
                <w:sz w:val="3"/>
                <w:szCs w:val="3"/>
                <w:color w:val="auto"/>
              </w:rPr>
            </w:pPr>
          </w:p>
        </w:tc>
        <w:tc>
          <w:tcPr>
            <w:tcW w:w="2860" w:type="dxa"/>
            <w:vAlign w:val="bottom"/>
            <w:tcBorders>
              <w:bottom w:val="single" w:sz="8" w:color="A5A4A3"/>
            </w:tcBorders>
          </w:tcPr>
          <w:p>
            <w:pPr>
              <w:spacing w:after="0"/>
              <w:rPr>
                <w:sz w:val="3"/>
                <w:szCs w:val="3"/>
                <w:color w:val="auto"/>
              </w:rPr>
            </w:pPr>
          </w:p>
        </w:tc>
      </w:tr>
    </w:tbl>
    <w:p>
      <w:pPr>
        <w:spacing w:after="0" w:line="190" w:lineRule="exact"/>
        <w:rPr>
          <w:sz w:val="20"/>
          <w:szCs w:val="20"/>
          <w:color w:val="auto"/>
        </w:rPr>
      </w:pPr>
    </w:p>
    <w:p>
      <w:pPr>
        <w:jc w:val="both"/>
        <w:ind w:right="40"/>
        <w:spacing w:after="0" w:line="335" w:lineRule="auto"/>
        <w:rPr>
          <w:sz w:val="20"/>
          <w:szCs w:val="20"/>
          <w:color w:val="auto"/>
        </w:rPr>
      </w:pPr>
      <w:r>
        <w:rPr>
          <w:rFonts w:ascii="Arial" w:cs="Arial" w:eastAsia="Arial" w:hAnsi="Arial"/>
          <w:sz w:val="13"/>
          <w:szCs w:val="13"/>
          <w:color w:val="0D0E10"/>
        </w:rPr>
        <w:t>*SailPoint Technologies was acquired in August 2022 and Coupa was acquired in February 2023. Peer group data used in executive pay decisions included compensation information from these companies disclosed prior to the completion of such acquisitions.</w:t>
      </w:r>
    </w:p>
    <w:p>
      <w:pPr>
        <w:spacing w:after="0" w:line="1" w:lineRule="exact"/>
        <w:rPr>
          <w:sz w:val="20"/>
          <w:szCs w:val="20"/>
          <w:color w:val="auto"/>
        </w:rPr>
      </w:pPr>
    </w:p>
    <w:p>
      <w:pPr>
        <w:ind w:right="200" w:firstLine="8"/>
        <w:spacing w:after="0" w:line="346" w:lineRule="auto"/>
        <w:tabs>
          <w:tab w:leader="none" w:pos="143" w:val="left"/>
        </w:tabs>
        <w:numPr>
          <w:ilvl w:val="0"/>
          <w:numId w:val="41"/>
        </w:numPr>
        <w:rPr>
          <w:rFonts w:ascii="Arial" w:cs="Arial" w:eastAsia="Arial" w:hAnsi="Arial"/>
          <w:sz w:val="13"/>
          <w:szCs w:val="13"/>
          <w:color w:val="0D0E10"/>
        </w:rPr>
      </w:pPr>
      <w:r>
        <w:rPr>
          <w:rFonts w:ascii="Arial" w:cs="Arial" w:eastAsia="Arial" w:hAnsi="Arial"/>
          <w:sz w:val="13"/>
          <w:szCs w:val="13"/>
          <w:color w:val="0D0E10"/>
        </w:rPr>
        <w:t>Fastly, Freshworks, and Workiva did not provide data to the Radford Global Technology executive compensation survey for the relevant period and were therefore not included in data collected from that survey for fiscal year 2024.</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45</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0" w:name="page51"/>
    <w:bookmarkEnd w:id="50"/>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Factors Used in Determining Executive Compensation</w:t>
      </w:r>
    </w:p>
    <w:p>
      <w:pPr>
        <w:spacing w:after="0" w:line="115" w:lineRule="exact"/>
        <w:rPr>
          <w:sz w:val="20"/>
          <w:szCs w:val="20"/>
          <w:color w:val="auto"/>
        </w:rPr>
      </w:pPr>
    </w:p>
    <w:p>
      <w:pPr>
        <w:ind w:right="240"/>
        <w:spacing w:after="0" w:line="302" w:lineRule="auto"/>
        <w:rPr>
          <w:sz w:val="20"/>
          <w:szCs w:val="20"/>
          <w:color w:val="auto"/>
        </w:rPr>
      </w:pPr>
      <w:r>
        <w:rPr>
          <w:rFonts w:ascii="Arial" w:cs="Arial" w:eastAsia="Arial" w:hAnsi="Arial"/>
          <w:sz w:val="18"/>
          <w:szCs w:val="18"/>
          <w:color w:val="0D0E10"/>
        </w:rPr>
        <w:t>Our Compensation Committee sets the compensation of our executive officers at levels it determines to be competitive and appropriate for each executive officer, relying on the professional experience and judgment of Compensation Committee members. Pay decisions are not made by use of a formulaic approach or benchmark; rather, our Compensation Committee believes executive pay decisions require consideration of a multitude of relevant factors which may vary from year to year. In making executive compensation decisions, our Compensation Committee generally takes into consideration the following factors:</w:t>
      </w:r>
    </w:p>
    <w:p>
      <w:pPr>
        <w:spacing w:after="0" w:line="129" w:lineRule="exact"/>
        <w:rPr>
          <w:sz w:val="20"/>
          <w:szCs w:val="20"/>
          <w:color w:val="auto"/>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company performance and existing business needs;</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Asana's culture and values;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each named executive officer's individual performance, scope of job function and criticality of their skill set;</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the Compensation Committee's independent judgment;</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the need to attract new talent and retain existing talent in a highly competitive industry;</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each named executive officer's current outstanding equity holdings, equity ownership and total compensation;</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our CEO's recommendations (including his request to not personally receive compensation);</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aggregate compensation cost and impact on stockholder dilution;</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internal pay equity;</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market data provided by Compensia;</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survey data from Radford; and</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2"/>
        </w:numPr>
        <w:rPr>
          <w:rFonts w:ascii="Arial" w:cs="Arial" w:eastAsia="Arial" w:hAnsi="Arial"/>
          <w:sz w:val="18"/>
          <w:szCs w:val="18"/>
          <w:color w:val="0D0E10"/>
        </w:rPr>
      </w:pPr>
      <w:r>
        <w:rPr>
          <w:rFonts w:ascii="Arial" w:cs="Arial" w:eastAsia="Arial" w:hAnsi="Arial"/>
          <w:sz w:val="18"/>
          <w:szCs w:val="18"/>
          <w:color w:val="0D0E10"/>
        </w:rPr>
        <w:t>recommendations from Compensia, the Compensation Committee’s compensation consultant.</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F06A6A"/>
        </w:rPr>
        <w:t>FISCAL YEAR 2024 EXECUTIVE COMPENSATION PROGRAM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Base Salary</w:t>
      </w:r>
    </w:p>
    <w:p>
      <w:pPr>
        <w:spacing w:after="0" w:line="115"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0D0E10"/>
        </w:rPr>
        <w:t>The annual base salaries of our named executive officers for fiscal year 2024 are listed in the table below. Because of our focus on compensation that emphasizes long-term decision-making and our corresponding choice not to use short-term incentives, we reference competitive target total cash compensation levels (the sum of base salary and short-term incentive opportunities) available at the companies in our compensation peer group when reviewing our base salary levels.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shd w:val="clear" w:color="auto" w:fill="EEEBEA"/>
          </w:tcPr>
          <w:p>
            <w:pPr>
              <w:spacing w:after="0"/>
              <w:rPr>
                <w:sz w:val="18"/>
                <w:szCs w:val="18"/>
                <w:color w:val="auto"/>
              </w:rPr>
            </w:pPr>
          </w:p>
        </w:tc>
        <w:tc>
          <w:tcPr>
            <w:tcW w:w="1820" w:type="dxa"/>
            <w:vAlign w:val="bottom"/>
            <w:shd w:val="clear" w:color="auto" w:fill="EEEBEA"/>
          </w:tcPr>
          <w:p>
            <w:pPr>
              <w:spacing w:after="0"/>
              <w:rPr>
                <w:sz w:val="18"/>
                <w:szCs w:val="18"/>
                <w:color w:val="auto"/>
              </w:rPr>
            </w:pPr>
          </w:p>
        </w:tc>
        <w:tc>
          <w:tcPr>
            <w:tcW w:w="1840" w:type="dxa"/>
            <w:vAlign w:val="bottom"/>
            <w:shd w:val="clear" w:color="auto" w:fill="EEEBEA"/>
          </w:tcPr>
          <w:p>
            <w:pPr>
              <w:spacing w:after="0"/>
              <w:rPr>
                <w:sz w:val="18"/>
                <w:szCs w:val="18"/>
                <w:color w:val="auto"/>
              </w:rPr>
            </w:pPr>
          </w:p>
        </w:tc>
        <w:tc>
          <w:tcPr>
            <w:tcW w:w="294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Percentage Increase in Base Salary</w:t>
            </w:r>
          </w:p>
        </w:tc>
        <w:tc>
          <w:tcPr>
            <w:tcW w:w="0" w:type="dxa"/>
            <w:vAlign w:val="bottom"/>
          </w:tcPr>
          <w:p>
            <w:pPr>
              <w:spacing w:after="0"/>
              <w:rPr>
                <w:sz w:val="1"/>
                <w:szCs w:val="1"/>
                <w:color w:val="auto"/>
              </w:rPr>
            </w:pPr>
          </w:p>
        </w:tc>
      </w:tr>
      <w:tr>
        <w:trPr>
          <w:trHeight w:val="216"/>
        </w:trPr>
        <w:tc>
          <w:tcPr>
            <w:tcW w:w="4640" w:type="dxa"/>
            <w:vAlign w:val="bottom"/>
            <w:shd w:val="clear" w:color="auto" w:fill="EEEBEA"/>
          </w:tcPr>
          <w:p>
            <w:pPr>
              <w:spacing w:after="0"/>
              <w:rPr>
                <w:sz w:val="18"/>
                <w:szCs w:val="18"/>
                <w:color w:val="auto"/>
              </w:rPr>
            </w:pPr>
          </w:p>
        </w:tc>
        <w:tc>
          <w:tcPr>
            <w:tcW w:w="18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Fiscal Year 2023 Base</w:t>
            </w:r>
          </w:p>
        </w:tc>
        <w:tc>
          <w:tcPr>
            <w:tcW w:w="18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Fiscal Year 2024 Base</w:t>
            </w:r>
          </w:p>
        </w:tc>
        <w:tc>
          <w:tcPr>
            <w:tcW w:w="2940" w:type="dxa"/>
            <w:vAlign w:val="bottom"/>
            <w:shd w:val="clear" w:color="auto" w:fill="EEEBEA"/>
          </w:tcPr>
          <w:p>
            <w:pPr>
              <w:ind w:left="80"/>
              <w:spacing w:after="0"/>
              <w:rPr>
                <w:sz w:val="20"/>
                <w:szCs w:val="20"/>
                <w:color w:val="auto"/>
              </w:rPr>
            </w:pPr>
            <w:r>
              <w:rPr>
                <w:rFonts w:ascii="Arial" w:cs="Arial" w:eastAsia="Arial" w:hAnsi="Arial"/>
                <w:sz w:val="16"/>
                <w:szCs w:val="16"/>
                <w:b w:val="1"/>
                <w:bCs w:val="1"/>
                <w:color w:val="F06A6A"/>
              </w:rPr>
              <w:t>from Fiscal Year 2023 to Fiscal Year</w:t>
            </w:r>
          </w:p>
        </w:tc>
        <w:tc>
          <w:tcPr>
            <w:tcW w:w="0" w:type="dxa"/>
            <w:vAlign w:val="bottom"/>
          </w:tcPr>
          <w:p>
            <w:pPr>
              <w:spacing w:after="0"/>
              <w:rPr>
                <w:sz w:val="1"/>
                <w:szCs w:val="1"/>
                <w:color w:val="auto"/>
              </w:rPr>
            </w:pPr>
          </w:p>
        </w:tc>
      </w:tr>
      <w:tr>
        <w:trPr>
          <w:trHeight w:val="223"/>
        </w:trPr>
        <w:tc>
          <w:tcPr>
            <w:tcW w:w="464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Named Executive Officer</w:t>
            </w:r>
          </w:p>
        </w:tc>
        <w:tc>
          <w:tcPr>
            <w:tcW w:w="18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Salary</w:t>
            </w:r>
          </w:p>
        </w:tc>
        <w:tc>
          <w:tcPr>
            <w:tcW w:w="18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Salary</w:t>
            </w:r>
          </w:p>
        </w:tc>
        <w:tc>
          <w:tcPr>
            <w:tcW w:w="29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2024</w:t>
            </w:r>
          </w:p>
        </w:tc>
        <w:tc>
          <w:tcPr>
            <w:tcW w:w="0" w:type="dxa"/>
            <w:vAlign w:val="bottom"/>
          </w:tcPr>
          <w:p>
            <w:pPr>
              <w:spacing w:after="0"/>
              <w:rPr>
                <w:sz w:val="1"/>
                <w:szCs w:val="1"/>
                <w:color w:val="auto"/>
              </w:rPr>
            </w:pPr>
          </w:p>
        </w:tc>
      </w:tr>
      <w:tr>
        <w:trPr>
          <w:trHeight w:val="129"/>
        </w:trPr>
        <w:tc>
          <w:tcPr>
            <w:tcW w:w="4640" w:type="dxa"/>
            <w:vAlign w:val="bottom"/>
            <w:tcBorders>
              <w:bottom w:val="single" w:sz="8" w:color="A5A4A3"/>
            </w:tcBorders>
            <w:shd w:val="clear" w:color="auto" w:fill="EEEBEA"/>
          </w:tcPr>
          <w:p>
            <w:pPr>
              <w:spacing w:after="0"/>
              <w:rPr>
                <w:sz w:val="11"/>
                <w:szCs w:val="11"/>
                <w:color w:val="auto"/>
              </w:rPr>
            </w:pPr>
          </w:p>
        </w:tc>
        <w:tc>
          <w:tcPr>
            <w:tcW w:w="1820" w:type="dxa"/>
            <w:vAlign w:val="bottom"/>
            <w:tcBorders>
              <w:bottom w:val="single" w:sz="8" w:color="A5A4A3"/>
            </w:tcBorders>
            <w:shd w:val="clear" w:color="auto" w:fill="EEEBEA"/>
          </w:tcPr>
          <w:p>
            <w:pPr>
              <w:spacing w:after="0"/>
              <w:rPr>
                <w:sz w:val="11"/>
                <w:szCs w:val="11"/>
                <w:color w:val="auto"/>
              </w:rPr>
            </w:pPr>
          </w:p>
        </w:tc>
        <w:tc>
          <w:tcPr>
            <w:tcW w:w="1840" w:type="dxa"/>
            <w:vAlign w:val="bottom"/>
            <w:tcBorders>
              <w:bottom w:val="single" w:sz="8" w:color="A5A4A3"/>
            </w:tcBorders>
            <w:shd w:val="clear" w:color="auto" w:fill="EEEBEA"/>
          </w:tcPr>
          <w:p>
            <w:pPr>
              <w:spacing w:after="0"/>
              <w:rPr>
                <w:sz w:val="11"/>
                <w:szCs w:val="11"/>
                <w:color w:val="auto"/>
              </w:rPr>
            </w:pPr>
          </w:p>
        </w:tc>
        <w:tc>
          <w:tcPr>
            <w:tcW w:w="2940" w:type="dxa"/>
            <w:vAlign w:val="bottom"/>
            <w:tcBorders>
              <w:bottom w:val="single" w:sz="8" w:color="A5A4A3"/>
            </w:tcBorders>
            <w:shd w:val="clear" w:color="auto" w:fill="EEEBEA"/>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rPr>
              <w:t>$1</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0D0E10"/>
              </w:rPr>
              <w:t>$1</w:t>
            </w:r>
          </w:p>
        </w:tc>
        <w:tc>
          <w:tcPr>
            <w:tcW w:w="294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105"/>
        </w:trPr>
        <w:tc>
          <w:tcPr>
            <w:tcW w:w="464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President &amp; Chief Executive Officer</w:t>
            </w:r>
          </w:p>
        </w:tc>
        <w:tc>
          <w:tcPr>
            <w:tcW w:w="182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640" w:type="dxa"/>
            <w:vAlign w:val="bottom"/>
            <w:tcBorders>
              <w:bottom w:val="single" w:sz="8" w:color="A5A4A3"/>
            </w:tcBorders>
          </w:tcPr>
          <w:p>
            <w:pPr>
              <w:spacing w:after="0"/>
              <w:rPr>
                <w:sz w:val="2"/>
                <w:szCs w:val="2"/>
                <w:color w:val="auto"/>
              </w:rPr>
            </w:pPr>
          </w:p>
        </w:tc>
        <w:tc>
          <w:tcPr>
            <w:tcW w:w="1820" w:type="dxa"/>
            <w:vAlign w:val="bottom"/>
            <w:tcBorders>
              <w:bottom w:val="single" w:sz="8" w:color="A5A4A3"/>
            </w:tcBorders>
          </w:tcPr>
          <w:p>
            <w:pPr>
              <w:spacing w:after="0"/>
              <w:rPr>
                <w:sz w:val="2"/>
                <w:szCs w:val="2"/>
                <w:color w:val="auto"/>
              </w:rPr>
            </w:pPr>
          </w:p>
        </w:tc>
        <w:tc>
          <w:tcPr>
            <w:tcW w:w="1840" w:type="dxa"/>
            <w:vAlign w:val="bottom"/>
            <w:tcBorders>
              <w:bottom w:val="single" w:sz="8" w:color="A5A4A3"/>
            </w:tcBorders>
          </w:tcPr>
          <w:p>
            <w:pPr>
              <w:spacing w:after="0"/>
              <w:rPr>
                <w:sz w:val="2"/>
                <w:szCs w:val="2"/>
                <w:color w:val="auto"/>
              </w:rPr>
            </w:pPr>
          </w:p>
        </w:tc>
        <w:tc>
          <w:tcPr>
            <w:tcW w:w="294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100"/>
              <w:spacing w:after="0"/>
              <w:rPr>
                <w:sz w:val="20"/>
                <w:szCs w:val="20"/>
                <w:color w:val="auto"/>
              </w:rPr>
            </w:pPr>
            <w:r>
              <w:rPr>
                <w:rFonts w:ascii="Arial" w:cs="Arial" w:eastAsia="Arial" w:hAnsi="Arial"/>
                <w:sz w:val="16"/>
                <w:szCs w:val="16"/>
                <w:color w:val="0D0E10"/>
              </w:rPr>
              <w:t>Tim Wan</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w w:val="98"/>
              </w:rPr>
              <w:t>$710,000</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0D0E10"/>
                <w:w w:val="98"/>
              </w:rPr>
              <w:t>$710,000</w:t>
            </w:r>
          </w:p>
        </w:tc>
        <w:tc>
          <w:tcPr>
            <w:tcW w:w="294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105"/>
        </w:trPr>
        <w:tc>
          <w:tcPr>
            <w:tcW w:w="464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Chief Financial Officer</w:t>
            </w:r>
          </w:p>
        </w:tc>
        <w:tc>
          <w:tcPr>
            <w:tcW w:w="182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640" w:type="dxa"/>
            <w:vAlign w:val="bottom"/>
            <w:tcBorders>
              <w:bottom w:val="single" w:sz="8" w:color="A5A4A3"/>
            </w:tcBorders>
          </w:tcPr>
          <w:p>
            <w:pPr>
              <w:spacing w:after="0"/>
              <w:rPr>
                <w:sz w:val="2"/>
                <w:szCs w:val="2"/>
                <w:color w:val="auto"/>
              </w:rPr>
            </w:pPr>
          </w:p>
        </w:tc>
        <w:tc>
          <w:tcPr>
            <w:tcW w:w="1820" w:type="dxa"/>
            <w:vAlign w:val="bottom"/>
            <w:tcBorders>
              <w:bottom w:val="single" w:sz="8" w:color="A5A4A3"/>
            </w:tcBorders>
          </w:tcPr>
          <w:p>
            <w:pPr>
              <w:spacing w:after="0"/>
              <w:rPr>
                <w:sz w:val="2"/>
                <w:szCs w:val="2"/>
                <w:color w:val="auto"/>
              </w:rPr>
            </w:pPr>
          </w:p>
        </w:tc>
        <w:tc>
          <w:tcPr>
            <w:tcW w:w="1840" w:type="dxa"/>
            <w:vAlign w:val="bottom"/>
            <w:tcBorders>
              <w:bottom w:val="single" w:sz="8" w:color="A5A4A3"/>
            </w:tcBorders>
          </w:tcPr>
          <w:p>
            <w:pPr>
              <w:spacing w:after="0"/>
              <w:rPr>
                <w:sz w:val="2"/>
                <w:szCs w:val="2"/>
                <w:color w:val="auto"/>
              </w:rPr>
            </w:pPr>
          </w:p>
        </w:tc>
        <w:tc>
          <w:tcPr>
            <w:tcW w:w="294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100"/>
              <w:spacing w:after="0"/>
              <w:rPr>
                <w:sz w:val="20"/>
                <w:szCs w:val="20"/>
                <w:color w:val="auto"/>
              </w:rPr>
            </w:pPr>
            <w:r>
              <w:rPr>
                <w:rFonts w:ascii="Arial" w:cs="Arial" w:eastAsia="Arial" w:hAnsi="Arial"/>
                <w:sz w:val="16"/>
                <w:szCs w:val="16"/>
                <w:color w:val="0D0E10"/>
              </w:rPr>
              <w:t>Eleanor Lacey</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w w:val="98"/>
              </w:rPr>
              <w:t>$525,000</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0D0E10"/>
                <w:w w:val="98"/>
              </w:rPr>
              <w:t>$525,000</w:t>
            </w:r>
          </w:p>
        </w:tc>
        <w:tc>
          <w:tcPr>
            <w:tcW w:w="294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105"/>
        </w:trPr>
        <w:tc>
          <w:tcPr>
            <w:tcW w:w="464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General Counsel and Corporate Secretary</w:t>
            </w:r>
          </w:p>
        </w:tc>
        <w:tc>
          <w:tcPr>
            <w:tcW w:w="182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640" w:type="dxa"/>
            <w:vAlign w:val="bottom"/>
            <w:tcBorders>
              <w:bottom w:val="single" w:sz="8" w:color="A5A4A3"/>
            </w:tcBorders>
          </w:tcPr>
          <w:p>
            <w:pPr>
              <w:spacing w:after="0"/>
              <w:rPr>
                <w:sz w:val="2"/>
                <w:szCs w:val="2"/>
                <w:color w:val="auto"/>
              </w:rPr>
            </w:pPr>
          </w:p>
        </w:tc>
        <w:tc>
          <w:tcPr>
            <w:tcW w:w="1820" w:type="dxa"/>
            <w:vAlign w:val="bottom"/>
            <w:tcBorders>
              <w:bottom w:val="single" w:sz="8" w:color="A5A4A3"/>
            </w:tcBorders>
          </w:tcPr>
          <w:p>
            <w:pPr>
              <w:spacing w:after="0"/>
              <w:rPr>
                <w:sz w:val="2"/>
                <w:szCs w:val="2"/>
                <w:color w:val="auto"/>
              </w:rPr>
            </w:pPr>
          </w:p>
        </w:tc>
        <w:tc>
          <w:tcPr>
            <w:tcW w:w="1840" w:type="dxa"/>
            <w:vAlign w:val="bottom"/>
            <w:tcBorders>
              <w:bottom w:val="single" w:sz="8" w:color="A5A4A3"/>
            </w:tcBorders>
          </w:tcPr>
          <w:p>
            <w:pPr>
              <w:spacing w:after="0"/>
              <w:rPr>
                <w:sz w:val="2"/>
                <w:szCs w:val="2"/>
                <w:color w:val="auto"/>
              </w:rPr>
            </w:pPr>
          </w:p>
        </w:tc>
        <w:tc>
          <w:tcPr>
            <w:tcW w:w="294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100"/>
              <w:spacing w:after="0"/>
              <w:rPr>
                <w:sz w:val="20"/>
                <w:szCs w:val="20"/>
                <w:color w:val="auto"/>
              </w:rPr>
            </w:pPr>
            <w:r>
              <w:rPr>
                <w:rFonts w:ascii="Arial" w:cs="Arial" w:eastAsia="Arial" w:hAnsi="Arial"/>
                <w:sz w:val="16"/>
                <w:szCs w:val="16"/>
                <w:color w:val="0D0E10"/>
              </w:rPr>
              <w:t>Anne Raimondi</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w w:val="98"/>
              </w:rPr>
              <w:t>$750,000</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0D0E10"/>
                <w:w w:val="98"/>
              </w:rPr>
              <w:t>$750,000</w:t>
            </w:r>
          </w:p>
        </w:tc>
        <w:tc>
          <w:tcPr>
            <w:tcW w:w="294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105"/>
        </w:trPr>
        <w:tc>
          <w:tcPr>
            <w:tcW w:w="464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Chief Operating Officer</w:t>
            </w:r>
          </w:p>
        </w:tc>
        <w:tc>
          <w:tcPr>
            <w:tcW w:w="182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640" w:type="dxa"/>
            <w:vAlign w:val="bottom"/>
            <w:tcBorders>
              <w:bottom w:val="single" w:sz="8" w:color="A5A4A3"/>
            </w:tcBorders>
          </w:tcPr>
          <w:p>
            <w:pPr>
              <w:spacing w:after="0"/>
              <w:rPr>
                <w:sz w:val="2"/>
                <w:szCs w:val="2"/>
                <w:color w:val="auto"/>
              </w:rPr>
            </w:pPr>
          </w:p>
        </w:tc>
        <w:tc>
          <w:tcPr>
            <w:tcW w:w="1820" w:type="dxa"/>
            <w:vAlign w:val="bottom"/>
            <w:tcBorders>
              <w:bottom w:val="single" w:sz="8" w:color="A5A4A3"/>
            </w:tcBorders>
          </w:tcPr>
          <w:p>
            <w:pPr>
              <w:spacing w:after="0"/>
              <w:rPr>
                <w:sz w:val="2"/>
                <w:szCs w:val="2"/>
                <w:color w:val="auto"/>
              </w:rPr>
            </w:pPr>
          </w:p>
        </w:tc>
        <w:tc>
          <w:tcPr>
            <w:tcW w:w="1840" w:type="dxa"/>
            <w:vAlign w:val="bottom"/>
            <w:tcBorders>
              <w:bottom w:val="single" w:sz="8" w:color="A5A4A3"/>
            </w:tcBorders>
          </w:tcPr>
          <w:p>
            <w:pPr>
              <w:spacing w:after="0"/>
              <w:rPr>
                <w:sz w:val="2"/>
                <w:szCs w:val="2"/>
                <w:color w:val="auto"/>
              </w:rPr>
            </w:pPr>
          </w:p>
        </w:tc>
        <w:tc>
          <w:tcPr>
            <w:tcW w:w="294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931"/>
        </w:trPr>
        <w:tc>
          <w:tcPr>
            <w:tcW w:w="4640" w:type="dxa"/>
            <w:vAlign w:val="bottom"/>
          </w:tcPr>
          <w:p>
            <w:pPr>
              <w:ind w:left="20"/>
              <w:spacing w:after="0"/>
              <w:rPr>
                <w:sz w:val="20"/>
                <w:szCs w:val="20"/>
                <w:color w:val="auto"/>
              </w:rPr>
            </w:pPr>
            <w:r>
              <w:rPr>
                <w:rFonts w:ascii="Arial" w:cs="Arial" w:eastAsia="Arial" w:hAnsi="Arial"/>
                <w:sz w:val="14"/>
                <w:szCs w:val="14"/>
                <w:color w:val="0D0E10"/>
              </w:rPr>
              <w:t>Asana</w:t>
            </w:r>
          </w:p>
        </w:tc>
        <w:tc>
          <w:tcPr>
            <w:tcW w:w="1820" w:type="dxa"/>
            <w:vAlign w:val="bottom"/>
          </w:tcPr>
          <w:p>
            <w:pPr>
              <w:jc w:val="right"/>
              <w:ind w:right="679"/>
              <w:spacing w:after="0"/>
              <w:rPr>
                <w:sz w:val="20"/>
                <w:szCs w:val="20"/>
                <w:color w:val="auto"/>
              </w:rPr>
            </w:pPr>
            <w:r>
              <w:rPr>
                <w:rFonts w:ascii="Arial" w:cs="Arial" w:eastAsia="Arial" w:hAnsi="Arial"/>
                <w:sz w:val="16"/>
                <w:szCs w:val="16"/>
                <w:b w:val="1"/>
                <w:bCs w:val="1"/>
                <w:color w:val="F06A6A"/>
              </w:rPr>
              <w:t>46</w:t>
            </w:r>
          </w:p>
        </w:tc>
        <w:tc>
          <w:tcPr>
            <w:tcW w:w="1840" w:type="dxa"/>
            <w:vAlign w:val="bottom"/>
          </w:tcPr>
          <w:p>
            <w:pPr>
              <w:spacing w:after="0"/>
              <w:rPr>
                <w:sz w:val="24"/>
                <w:szCs w:val="24"/>
                <w:color w:val="auto"/>
              </w:rPr>
            </w:pPr>
          </w:p>
        </w:tc>
        <w:tc>
          <w:tcPr>
            <w:tcW w:w="2940" w:type="dxa"/>
            <w:vAlign w:val="bottom"/>
          </w:tcPr>
          <w:p>
            <w:pPr>
              <w:ind w:left="1500"/>
              <w:spacing w:after="0"/>
              <w:rPr>
                <w:sz w:val="20"/>
                <w:szCs w:val="20"/>
                <w:color w:val="auto"/>
              </w:rPr>
            </w:pPr>
            <w:r>
              <w:rPr>
                <w:rFonts w:ascii="Arial" w:cs="Arial" w:eastAsia="Arial" w:hAnsi="Arial"/>
                <w:sz w:val="14"/>
                <w:szCs w:val="14"/>
                <w:color w:val="0D0E10"/>
              </w:rPr>
              <w:t>2024 Proxy Statement</w:t>
            </w:r>
          </w:p>
        </w:tc>
        <w:tc>
          <w:tcPr>
            <w:tcW w:w="0" w:type="dxa"/>
            <w:vAlign w:val="bottom"/>
          </w:tcPr>
          <w:p>
            <w:pPr>
              <w:spacing w:after="0"/>
              <w:rPr>
                <w:sz w:val="1"/>
                <w:szCs w:val="1"/>
                <w:color w:val="auto"/>
              </w:rPr>
            </w:pPr>
          </w:p>
        </w:tc>
      </w:tr>
      <w:tr>
        <w:trPr>
          <w:trHeight w:val="203"/>
        </w:trPr>
        <w:tc>
          <w:tcPr>
            <w:tcW w:w="4640" w:type="dxa"/>
            <w:vAlign w:val="bottom"/>
            <w:tcBorders>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29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1" w:name="page52"/>
    <w:bookmarkEnd w:id="51"/>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Equity Awards</w:t>
      </w:r>
    </w:p>
    <w:p>
      <w:pPr>
        <w:spacing w:after="0" w:line="115" w:lineRule="exact"/>
        <w:rPr>
          <w:sz w:val="20"/>
          <w:szCs w:val="20"/>
          <w:color w:val="auto"/>
        </w:rPr>
      </w:pPr>
    </w:p>
    <w:p>
      <w:pPr>
        <w:jc w:val="both"/>
        <w:ind w:right="120"/>
        <w:spacing w:after="0" w:line="304" w:lineRule="auto"/>
        <w:rPr>
          <w:sz w:val="20"/>
          <w:szCs w:val="20"/>
          <w:color w:val="auto"/>
        </w:rPr>
      </w:pPr>
      <w:r>
        <w:rPr>
          <w:rFonts w:ascii="Arial" w:cs="Arial" w:eastAsia="Arial" w:hAnsi="Arial"/>
          <w:sz w:val="18"/>
          <w:szCs w:val="18"/>
          <w:color w:val="0D0E10"/>
        </w:rPr>
        <w:t>Since our direct listing, we have granted equity compensation to our executive officers primarily in the form of RSU awards under our 2020 Equity Incentive Plan, and all equity awards granted to our named executive officers in fiscal year 2024 consisted of RSU awards. Our RSU awards are designed to encourage retention, promote long-term decision-making, minimize dilution to stockholders by utilizing fewer shares than equivalently valued stock options, and are designed to provide competitive market value for our equity awards.</w:t>
      </w:r>
    </w:p>
    <w:p>
      <w:pPr>
        <w:spacing w:after="0" w:line="126" w:lineRule="exact"/>
        <w:rPr>
          <w:sz w:val="20"/>
          <w:szCs w:val="20"/>
          <w:color w:val="auto"/>
        </w:rPr>
      </w:pPr>
    </w:p>
    <w:p>
      <w:pPr>
        <w:jc w:val="both"/>
        <w:ind w:right="580"/>
        <w:spacing w:after="0" w:line="333" w:lineRule="auto"/>
        <w:rPr>
          <w:sz w:val="20"/>
          <w:szCs w:val="20"/>
          <w:color w:val="auto"/>
        </w:rPr>
      </w:pPr>
      <w:r>
        <w:rPr>
          <w:rFonts w:ascii="Arial" w:cs="Arial" w:eastAsia="Arial" w:hAnsi="Arial"/>
          <w:sz w:val="17"/>
          <w:szCs w:val="17"/>
          <w:color w:val="0D0E10"/>
        </w:rPr>
        <w:t>The equity awards granted to each of our named executive officers during fiscal year 2024 are set forth in the table below. The shares subject to each annual RSU award granted to executive officers vest over four years in quarterly installments, with the first installment beginning on June 20, 2023, subject to the named executive officer’s continuous service through each applicable vesting date.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vMerge w:val="restart"/>
            <w:shd w:val="clear" w:color="auto" w:fill="EEEBEA"/>
          </w:tcPr>
          <w:p>
            <w:pPr>
              <w:ind w:left="100"/>
              <w:spacing w:after="0"/>
              <w:rPr>
                <w:sz w:val="20"/>
                <w:szCs w:val="20"/>
                <w:color w:val="auto"/>
              </w:rPr>
            </w:pPr>
            <w:r>
              <w:rPr>
                <w:rFonts w:ascii="Arial" w:cs="Arial" w:eastAsia="Arial" w:hAnsi="Arial"/>
                <w:sz w:val="16"/>
                <w:szCs w:val="16"/>
                <w:b w:val="1"/>
                <w:bCs w:val="1"/>
                <w:color w:val="F06A6A"/>
              </w:rPr>
              <w:t>Named Executive Officer</w:t>
            </w:r>
          </w:p>
        </w:tc>
        <w:tc>
          <w:tcPr>
            <w:tcW w:w="2340" w:type="dxa"/>
            <w:vAlign w:val="bottom"/>
            <w:vMerge w:val="restart"/>
            <w:shd w:val="clear" w:color="auto" w:fill="EEEBEA"/>
          </w:tcPr>
          <w:p>
            <w:pPr>
              <w:jc w:val="center"/>
              <w:ind w:right="19"/>
              <w:spacing w:after="0"/>
              <w:rPr>
                <w:sz w:val="20"/>
                <w:szCs w:val="20"/>
                <w:color w:val="auto"/>
              </w:rPr>
            </w:pPr>
            <w:r>
              <w:rPr>
                <w:rFonts w:ascii="Arial" w:cs="Arial" w:eastAsia="Arial" w:hAnsi="Arial"/>
                <w:sz w:val="16"/>
                <w:szCs w:val="16"/>
                <w:b w:val="1"/>
                <w:bCs w:val="1"/>
                <w:color w:val="F06A6A"/>
                <w:w w:val="99"/>
              </w:rPr>
              <w:t>Type of Grant</w:t>
            </w:r>
          </w:p>
        </w:tc>
        <w:tc>
          <w:tcPr>
            <w:tcW w:w="1900" w:type="dxa"/>
            <w:vAlign w:val="bottom"/>
            <w:shd w:val="clear" w:color="auto" w:fill="EEEBEA"/>
          </w:tcPr>
          <w:p>
            <w:pPr>
              <w:ind w:left="700"/>
              <w:spacing w:after="0"/>
              <w:rPr>
                <w:sz w:val="20"/>
                <w:szCs w:val="20"/>
                <w:color w:val="auto"/>
              </w:rPr>
            </w:pPr>
            <w:r>
              <w:rPr>
                <w:rFonts w:ascii="Arial" w:cs="Arial" w:eastAsia="Arial" w:hAnsi="Arial"/>
                <w:sz w:val="16"/>
                <w:szCs w:val="16"/>
                <w:b w:val="1"/>
                <w:bCs w:val="1"/>
                <w:color w:val="F06A6A"/>
              </w:rPr>
              <w:t>Shares</w:t>
            </w:r>
          </w:p>
        </w:tc>
        <w:tc>
          <w:tcPr>
            <w:tcW w:w="4100" w:type="dxa"/>
            <w:vAlign w:val="bottom"/>
            <w:vMerge w:val="restart"/>
            <w:shd w:val="clear" w:color="auto" w:fill="EEEBEA"/>
          </w:tcPr>
          <w:p>
            <w:pPr>
              <w:jc w:val="center"/>
              <w:ind w:left="39"/>
              <w:spacing w:after="0"/>
              <w:rPr>
                <w:sz w:val="20"/>
                <w:szCs w:val="20"/>
                <w:color w:val="auto"/>
              </w:rPr>
            </w:pPr>
            <w:r>
              <w:rPr>
                <w:rFonts w:ascii="Arial" w:cs="Arial" w:eastAsia="Arial" w:hAnsi="Arial"/>
                <w:sz w:val="16"/>
                <w:szCs w:val="16"/>
                <w:b w:val="1"/>
                <w:bCs w:val="1"/>
                <w:color w:val="F06A6A"/>
              </w:rPr>
              <w:t>Vesting Schedule</w:t>
            </w:r>
          </w:p>
        </w:tc>
        <w:tc>
          <w:tcPr>
            <w:tcW w:w="0" w:type="dxa"/>
            <w:vAlign w:val="bottom"/>
          </w:tcPr>
          <w:p>
            <w:pPr>
              <w:spacing w:after="0"/>
              <w:rPr>
                <w:sz w:val="1"/>
                <w:szCs w:val="1"/>
                <w:color w:val="auto"/>
              </w:rPr>
            </w:pPr>
          </w:p>
        </w:tc>
      </w:tr>
      <w:tr>
        <w:trPr>
          <w:trHeight w:val="223"/>
        </w:trPr>
        <w:tc>
          <w:tcPr>
            <w:tcW w:w="2800" w:type="dxa"/>
            <w:vAlign w:val="bottom"/>
            <w:vMerge w:val="continue"/>
            <w:shd w:val="clear" w:color="auto" w:fill="EEEBEA"/>
          </w:tcPr>
          <w:p>
            <w:pPr>
              <w:spacing w:after="0"/>
              <w:rPr>
                <w:sz w:val="19"/>
                <w:szCs w:val="19"/>
                <w:color w:val="auto"/>
              </w:rPr>
            </w:pPr>
          </w:p>
        </w:tc>
        <w:tc>
          <w:tcPr>
            <w:tcW w:w="2340" w:type="dxa"/>
            <w:vAlign w:val="bottom"/>
            <w:vMerge w:val="continue"/>
            <w:shd w:val="clear" w:color="auto" w:fill="EEEBEA"/>
          </w:tcPr>
          <w:p>
            <w:pPr>
              <w:spacing w:after="0"/>
              <w:rPr>
                <w:sz w:val="19"/>
                <w:szCs w:val="19"/>
                <w:color w:val="auto"/>
              </w:rPr>
            </w:pPr>
          </w:p>
        </w:tc>
        <w:tc>
          <w:tcPr>
            <w:tcW w:w="19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1"/>
              </w:rPr>
              <w:t>(#)</w:t>
            </w:r>
          </w:p>
        </w:tc>
        <w:tc>
          <w:tcPr>
            <w:tcW w:w="4100" w:type="dxa"/>
            <w:vAlign w:val="bottom"/>
            <w:vMerge w:val="continue"/>
            <w:shd w:val="clear" w:color="auto" w:fill="EEEBEA"/>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800" w:type="dxa"/>
            <w:vAlign w:val="bottom"/>
            <w:tcBorders>
              <w:bottom w:val="single" w:sz="8" w:color="A5A4A3"/>
            </w:tcBorders>
            <w:shd w:val="clear" w:color="auto" w:fill="EEEBEA"/>
          </w:tcPr>
          <w:p>
            <w:pPr>
              <w:spacing w:after="0"/>
              <w:rPr>
                <w:sz w:val="10"/>
                <w:szCs w:val="10"/>
                <w:color w:val="auto"/>
              </w:rPr>
            </w:pPr>
          </w:p>
        </w:tc>
        <w:tc>
          <w:tcPr>
            <w:tcW w:w="2340" w:type="dxa"/>
            <w:vAlign w:val="bottom"/>
            <w:tcBorders>
              <w:bottom w:val="single" w:sz="8" w:color="A5A4A3"/>
            </w:tcBorders>
            <w:shd w:val="clear" w:color="auto" w:fill="EEEBEA"/>
          </w:tcPr>
          <w:p>
            <w:pPr>
              <w:spacing w:after="0"/>
              <w:rPr>
                <w:sz w:val="10"/>
                <w:szCs w:val="10"/>
                <w:color w:val="auto"/>
              </w:rPr>
            </w:pPr>
          </w:p>
        </w:tc>
        <w:tc>
          <w:tcPr>
            <w:tcW w:w="1900" w:type="dxa"/>
            <w:vAlign w:val="bottom"/>
            <w:tcBorders>
              <w:bottom w:val="single" w:sz="8" w:color="A5A4A3"/>
            </w:tcBorders>
            <w:shd w:val="clear" w:color="auto" w:fill="EEEBEA"/>
          </w:tcPr>
          <w:p>
            <w:pPr>
              <w:spacing w:after="0"/>
              <w:rPr>
                <w:sz w:val="10"/>
                <w:szCs w:val="10"/>
                <w:color w:val="auto"/>
              </w:rPr>
            </w:pPr>
          </w:p>
        </w:tc>
        <w:tc>
          <w:tcPr>
            <w:tcW w:w="4100" w:type="dxa"/>
            <w:vAlign w:val="bottom"/>
            <w:tcBorders>
              <w:bottom w:val="single" w:sz="8" w:color="A5A4A3"/>
            </w:tcBorders>
            <w:shd w:val="clear" w:color="auto" w:fill="EEEBEA"/>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80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2340" w:type="dxa"/>
            <w:vAlign w:val="bottom"/>
          </w:tcPr>
          <w:p>
            <w:pPr>
              <w:jc w:val="center"/>
              <w:ind w:right="19"/>
              <w:spacing w:after="0"/>
              <w:rPr>
                <w:sz w:val="20"/>
                <w:szCs w:val="20"/>
                <w:color w:val="auto"/>
              </w:rPr>
            </w:pPr>
            <w:r>
              <w:rPr>
                <w:rFonts w:ascii="Arial" w:cs="Arial" w:eastAsia="Arial" w:hAnsi="Arial"/>
                <w:sz w:val="16"/>
                <w:szCs w:val="16"/>
                <w:color w:val="0D0E10"/>
                <w:w w:val="99"/>
              </w:rPr>
              <w:t>—</w:t>
            </w:r>
          </w:p>
        </w:tc>
        <w:tc>
          <w:tcPr>
            <w:tcW w:w="1900" w:type="dxa"/>
            <w:vAlign w:val="bottom"/>
          </w:tcPr>
          <w:p>
            <w:pPr>
              <w:jc w:val="center"/>
              <w:spacing w:after="0"/>
              <w:rPr>
                <w:sz w:val="20"/>
                <w:szCs w:val="20"/>
                <w:color w:val="auto"/>
              </w:rPr>
            </w:pPr>
            <w:r>
              <w:rPr>
                <w:rFonts w:ascii="Arial" w:cs="Arial" w:eastAsia="Arial" w:hAnsi="Arial"/>
                <w:sz w:val="16"/>
                <w:szCs w:val="16"/>
                <w:color w:val="0D0E10"/>
              </w:rPr>
              <w:t>—</w:t>
            </w:r>
          </w:p>
        </w:tc>
        <w:tc>
          <w:tcPr>
            <w:tcW w:w="4100" w:type="dxa"/>
            <w:vAlign w:val="bottom"/>
          </w:tcPr>
          <w:p>
            <w:pPr>
              <w:jc w:val="center"/>
              <w:ind w:left="59"/>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29"/>
        </w:trPr>
        <w:tc>
          <w:tcPr>
            <w:tcW w:w="2800" w:type="dxa"/>
            <w:vAlign w:val="bottom"/>
            <w:tcBorders>
              <w:bottom w:val="single" w:sz="8" w:color="A5A4A3"/>
            </w:tcBorders>
          </w:tcPr>
          <w:p>
            <w:pPr>
              <w:spacing w:after="0"/>
              <w:rPr>
                <w:sz w:val="2"/>
                <w:szCs w:val="2"/>
                <w:color w:val="auto"/>
              </w:rPr>
            </w:pPr>
          </w:p>
        </w:tc>
        <w:tc>
          <w:tcPr>
            <w:tcW w:w="2340" w:type="dxa"/>
            <w:vAlign w:val="bottom"/>
            <w:tcBorders>
              <w:bottom w:val="single" w:sz="8" w:color="A5A4A3"/>
            </w:tcBorders>
          </w:tcPr>
          <w:p>
            <w:pPr>
              <w:spacing w:after="0"/>
              <w:rPr>
                <w:sz w:val="2"/>
                <w:szCs w:val="2"/>
                <w:color w:val="auto"/>
              </w:rPr>
            </w:pPr>
          </w:p>
        </w:tc>
        <w:tc>
          <w:tcPr>
            <w:tcW w:w="1900" w:type="dxa"/>
            <w:vAlign w:val="bottom"/>
            <w:tcBorders>
              <w:bottom w:val="single" w:sz="8" w:color="A5A4A3"/>
            </w:tcBorders>
          </w:tcPr>
          <w:p>
            <w:pPr>
              <w:spacing w:after="0"/>
              <w:rPr>
                <w:sz w:val="2"/>
                <w:szCs w:val="2"/>
                <w:color w:val="auto"/>
              </w:rPr>
            </w:pPr>
          </w:p>
        </w:tc>
        <w:tc>
          <w:tcPr>
            <w:tcW w:w="410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00" w:type="dxa"/>
            <w:vAlign w:val="bottom"/>
          </w:tcPr>
          <w:p>
            <w:pPr>
              <w:ind w:left="100"/>
              <w:spacing w:after="0"/>
              <w:rPr>
                <w:sz w:val="20"/>
                <w:szCs w:val="20"/>
                <w:color w:val="auto"/>
              </w:rPr>
            </w:pPr>
            <w:r>
              <w:rPr>
                <w:rFonts w:ascii="Arial" w:cs="Arial" w:eastAsia="Arial" w:hAnsi="Arial"/>
                <w:sz w:val="16"/>
                <w:szCs w:val="16"/>
                <w:color w:val="0D0E10"/>
              </w:rPr>
              <w:t>Tim Wan</w:t>
            </w:r>
          </w:p>
        </w:tc>
        <w:tc>
          <w:tcPr>
            <w:tcW w:w="2340" w:type="dxa"/>
            <w:vAlign w:val="bottom"/>
          </w:tcPr>
          <w:p>
            <w:pPr>
              <w:jc w:val="center"/>
              <w:spacing w:after="0"/>
              <w:rPr>
                <w:sz w:val="20"/>
                <w:szCs w:val="20"/>
                <w:color w:val="auto"/>
              </w:rPr>
            </w:pPr>
            <w:r>
              <w:rPr>
                <w:rFonts w:ascii="Arial" w:cs="Arial" w:eastAsia="Arial" w:hAnsi="Arial"/>
                <w:sz w:val="16"/>
                <w:szCs w:val="16"/>
                <w:color w:val="0D0E10"/>
              </w:rPr>
              <w:t>RSUs</w:t>
            </w:r>
          </w:p>
        </w:tc>
        <w:tc>
          <w:tcPr>
            <w:tcW w:w="1900" w:type="dxa"/>
            <w:vAlign w:val="bottom"/>
          </w:tcPr>
          <w:p>
            <w:pPr>
              <w:jc w:val="center"/>
              <w:spacing w:after="0"/>
              <w:rPr>
                <w:sz w:val="20"/>
                <w:szCs w:val="20"/>
                <w:color w:val="auto"/>
              </w:rPr>
            </w:pPr>
            <w:r>
              <w:rPr>
                <w:rFonts w:ascii="Arial" w:cs="Arial" w:eastAsia="Arial" w:hAnsi="Arial"/>
                <w:sz w:val="16"/>
                <w:szCs w:val="16"/>
                <w:color w:val="0D0E10"/>
              </w:rPr>
              <w:t>198,171</w:t>
            </w:r>
          </w:p>
        </w:tc>
        <w:tc>
          <w:tcPr>
            <w:tcW w:w="4100" w:type="dxa"/>
            <w:vAlign w:val="bottom"/>
          </w:tcPr>
          <w:p>
            <w:pPr>
              <w:jc w:val="center"/>
              <w:ind w:left="39"/>
              <w:spacing w:after="0"/>
              <w:rPr>
                <w:sz w:val="20"/>
                <w:szCs w:val="20"/>
                <w:color w:val="auto"/>
              </w:rPr>
            </w:pPr>
            <w:r>
              <w:rPr>
                <w:rFonts w:ascii="Arial" w:cs="Arial" w:eastAsia="Arial" w:hAnsi="Arial"/>
                <w:sz w:val="16"/>
                <w:szCs w:val="16"/>
                <w:color w:val="0D0E10"/>
              </w:rPr>
              <w:t>1/16 per quarter beginning June 20, 2023</w:t>
            </w:r>
          </w:p>
        </w:tc>
        <w:tc>
          <w:tcPr>
            <w:tcW w:w="0" w:type="dxa"/>
            <w:vAlign w:val="bottom"/>
          </w:tcPr>
          <w:p>
            <w:pPr>
              <w:spacing w:after="0"/>
              <w:rPr>
                <w:sz w:val="1"/>
                <w:szCs w:val="1"/>
                <w:color w:val="auto"/>
              </w:rPr>
            </w:pPr>
          </w:p>
        </w:tc>
      </w:tr>
      <w:tr>
        <w:trPr>
          <w:trHeight w:val="29"/>
        </w:trPr>
        <w:tc>
          <w:tcPr>
            <w:tcW w:w="2800" w:type="dxa"/>
            <w:vAlign w:val="bottom"/>
            <w:tcBorders>
              <w:bottom w:val="single" w:sz="8" w:color="A5A4A3"/>
            </w:tcBorders>
          </w:tcPr>
          <w:p>
            <w:pPr>
              <w:spacing w:after="0"/>
              <w:rPr>
                <w:sz w:val="2"/>
                <w:szCs w:val="2"/>
                <w:color w:val="auto"/>
              </w:rPr>
            </w:pPr>
          </w:p>
        </w:tc>
        <w:tc>
          <w:tcPr>
            <w:tcW w:w="2340" w:type="dxa"/>
            <w:vAlign w:val="bottom"/>
            <w:tcBorders>
              <w:bottom w:val="single" w:sz="8" w:color="A5A4A3"/>
            </w:tcBorders>
          </w:tcPr>
          <w:p>
            <w:pPr>
              <w:spacing w:after="0"/>
              <w:rPr>
                <w:sz w:val="2"/>
                <w:szCs w:val="2"/>
                <w:color w:val="auto"/>
              </w:rPr>
            </w:pPr>
          </w:p>
        </w:tc>
        <w:tc>
          <w:tcPr>
            <w:tcW w:w="1900" w:type="dxa"/>
            <w:vAlign w:val="bottom"/>
            <w:tcBorders>
              <w:bottom w:val="single" w:sz="8" w:color="A5A4A3"/>
            </w:tcBorders>
          </w:tcPr>
          <w:p>
            <w:pPr>
              <w:spacing w:after="0"/>
              <w:rPr>
                <w:sz w:val="2"/>
                <w:szCs w:val="2"/>
                <w:color w:val="auto"/>
              </w:rPr>
            </w:pPr>
          </w:p>
        </w:tc>
        <w:tc>
          <w:tcPr>
            <w:tcW w:w="410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00" w:type="dxa"/>
            <w:vAlign w:val="bottom"/>
          </w:tcPr>
          <w:p>
            <w:pPr>
              <w:ind w:left="100"/>
              <w:spacing w:after="0"/>
              <w:rPr>
                <w:sz w:val="20"/>
                <w:szCs w:val="20"/>
                <w:color w:val="auto"/>
              </w:rPr>
            </w:pPr>
            <w:r>
              <w:rPr>
                <w:rFonts w:ascii="Arial" w:cs="Arial" w:eastAsia="Arial" w:hAnsi="Arial"/>
                <w:sz w:val="16"/>
                <w:szCs w:val="16"/>
                <w:color w:val="0D0E10"/>
              </w:rPr>
              <w:t>Eleanor Lacey</w:t>
            </w:r>
          </w:p>
        </w:tc>
        <w:tc>
          <w:tcPr>
            <w:tcW w:w="2340" w:type="dxa"/>
            <w:vAlign w:val="bottom"/>
          </w:tcPr>
          <w:p>
            <w:pPr>
              <w:jc w:val="center"/>
              <w:spacing w:after="0"/>
              <w:rPr>
                <w:sz w:val="20"/>
                <w:szCs w:val="20"/>
                <w:color w:val="auto"/>
              </w:rPr>
            </w:pPr>
            <w:r>
              <w:rPr>
                <w:rFonts w:ascii="Arial" w:cs="Arial" w:eastAsia="Arial" w:hAnsi="Arial"/>
                <w:sz w:val="16"/>
                <w:szCs w:val="16"/>
                <w:color w:val="0D0E10"/>
              </w:rPr>
              <w:t>RSUs</w:t>
            </w:r>
          </w:p>
        </w:tc>
        <w:tc>
          <w:tcPr>
            <w:tcW w:w="1900" w:type="dxa"/>
            <w:vAlign w:val="bottom"/>
          </w:tcPr>
          <w:p>
            <w:pPr>
              <w:jc w:val="center"/>
              <w:spacing w:after="0"/>
              <w:rPr>
                <w:sz w:val="20"/>
                <w:szCs w:val="20"/>
                <w:color w:val="auto"/>
              </w:rPr>
            </w:pPr>
            <w:r>
              <w:rPr>
                <w:rFonts w:ascii="Arial" w:cs="Arial" w:eastAsia="Arial" w:hAnsi="Arial"/>
                <w:sz w:val="16"/>
                <w:szCs w:val="16"/>
                <w:color w:val="0D0E10"/>
              </w:rPr>
              <w:t>81,301</w:t>
            </w:r>
          </w:p>
        </w:tc>
        <w:tc>
          <w:tcPr>
            <w:tcW w:w="4100" w:type="dxa"/>
            <w:vAlign w:val="bottom"/>
          </w:tcPr>
          <w:p>
            <w:pPr>
              <w:jc w:val="center"/>
              <w:ind w:left="39"/>
              <w:spacing w:after="0"/>
              <w:rPr>
                <w:sz w:val="20"/>
                <w:szCs w:val="20"/>
                <w:color w:val="auto"/>
              </w:rPr>
            </w:pPr>
            <w:r>
              <w:rPr>
                <w:rFonts w:ascii="Arial" w:cs="Arial" w:eastAsia="Arial" w:hAnsi="Arial"/>
                <w:sz w:val="16"/>
                <w:szCs w:val="16"/>
                <w:color w:val="0D0E10"/>
              </w:rPr>
              <w:t>1/16 per quarter beginning June 20, 2023</w:t>
            </w:r>
          </w:p>
        </w:tc>
        <w:tc>
          <w:tcPr>
            <w:tcW w:w="0" w:type="dxa"/>
            <w:vAlign w:val="bottom"/>
          </w:tcPr>
          <w:p>
            <w:pPr>
              <w:spacing w:after="0"/>
              <w:rPr>
                <w:sz w:val="1"/>
                <w:szCs w:val="1"/>
                <w:color w:val="auto"/>
              </w:rPr>
            </w:pPr>
          </w:p>
        </w:tc>
      </w:tr>
      <w:tr>
        <w:trPr>
          <w:trHeight w:val="29"/>
        </w:trPr>
        <w:tc>
          <w:tcPr>
            <w:tcW w:w="2800" w:type="dxa"/>
            <w:vAlign w:val="bottom"/>
            <w:tcBorders>
              <w:bottom w:val="single" w:sz="8" w:color="A5A4A3"/>
            </w:tcBorders>
          </w:tcPr>
          <w:p>
            <w:pPr>
              <w:spacing w:after="0"/>
              <w:rPr>
                <w:sz w:val="2"/>
                <w:szCs w:val="2"/>
                <w:color w:val="auto"/>
              </w:rPr>
            </w:pPr>
          </w:p>
        </w:tc>
        <w:tc>
          <w:tcPr>
            <w:tcW w:w="2340" w:type="dxa"/>
            <w:vAlign w:val="bottom"/>
            <w:tcBorders>
              <w:bottom w:val="single" w:sz="8" w:color="A5A4A3"/>
            </w:tcBorders>
          </w:tcPr>
          <w:p>
            <w:pPr>
              <w:spacing w:after="0"/>
              <w:rPr>
                <w:sz w:val="2"/>
                <w:szCs w:val="2"/>
                <w:color w:val="auto"/>
              </w:rPr>
            </w:pPr>
          </w:p>
        </w:tc>
        <w:tc>
          <w:tcPr>
            <w:tcW w:w="1900" w:type="dxa"/>
            <w:vAlign w:val="bottom"/>
            <w:tcBorders>
              <w:bottom w:val="single" w:sz="8" w:color="A5A4A3"/>
            </w:tcBorders>
          </w:tcPr>
          <w:p>
            <w:pPr>
              <w:spacing w:after="0"/>
              <w:rPr>
                <w:sz w:val="2"/>
                <w:szCs w:val="2"/>
                <w:color w:val="auto"/>
              </w:rPr>
            </w:pPr>
          </w:p>
        </w:tc>
        <w:tc>
          <w:tcPr>
            <w:tcW w:w="410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00" w:type="dxa"/>
            <w:vAlign w:val="bottom"/>
          </w:tcPr>
          <w:p>
            <w:pPr>
              <w:ind w:left="100"/>
              <w:spacing w:after="0"/>
              <w:rPr>
                <w:sz w:val="20"/>
                <w:szCs w:val="20"/>
                <w:color w:val="auto"/>
              </w:rPr>
            </w:pPr>
            <w:r>
              <w:rPr>
                <w:rFonts w:ascii="Arial" w:cs="Arial" w:eastAsia="Arial" w:hAnsi="Arial"/>
                <w:sz w:val="16"/>
                <w:szCs w:val="16"/>
                <w:color w:val="0D0E10"/>
              </w:rPr>
              <w:t>Anne Raimondi</w:t>
            </w:r>
          </w:p>
        </w:tc>
        <w:tc>
          <w:tcPr>
            <w:tcW w:w="2340" w:type="dxa"/>
            <w:vAlign w:val="bottom"/>
          </w:tcPr>
          <w:p>
            <w:pPr>
              <w:jc w:val="center"/>
              <w:spacing w:after="0"/>
              <w:rPr>
                <w:sz w:val="20"/>
                <w:szCs w:val="20"/>
                <w:color w:val="auto"/>
              </w:rPr>
            </w:pPr>
            <w:r>
              <w:rPr>
                <w:rFonts w:ascii="Arial" w:cs="Arial" w:eastAsia="Arial" w:hAnsi="Arial"/>
                <w:sz w:val="16"/>
                <w:szCs w:val="16"/>
                <w:color w:val="0D0E10"/>
              </w:rPr>
              <w:t>RSUs</w:t>
            </w:r>
          </w:p>
        </w:tc>
        <w:tc>
          <w:tcPr>
            <w:tcW w:w="1900" w:type="dxa"/>
            <w:vAlign w:val="bottom"/>
          </w:tcPr>
          <w:p>
            <w:pPr>
              <w:jc w:val="center"/>
              <w:spacing w:after="0"/>
              <w:rPr>
                <w:sz w:val="20"/>
                <w:szCs w:val="20"/>
                <w:color w:val="auto"/>
              </w:rPr>
            </w:pPr>
            <w:r>
              <w:rPr>
                <w:rFonts w:ascii="Arial" w:cs="Arial" w:eastAsia="Arial" w:hAnsi="Arial"/>
                <w:sz w:val="16"/>
                <w:szCs w:val="16"/>
                <w:color w:val="0D0E10"/>
              </w:rPr>
              <w:t>198,171</w:t>
            </w:r>
          </w:p>
        </w:tc>
        <w:tc>
          <w:tcPr>
            <w:tcW w:w="4100" w:type="dxa"/>
            <w:vAlign w:val="bottom"/>
          </w:tcPr>
          <w:p>
            <w:pPr>
              <w:jc w:val="center"/>
              <w:ind w:left="39"/>
              <w:spacing w:after="0"/>
              <w:rPr>
                <w:sz w:val="20"/>
                <w:szCs w:val="20"/>
                <w:color w:val="auto"/>
              </w:rPr>
            </w:pPr>
            <w:r>
              <w:rPr>
                <w:rFonts w:ascii="Arial" w:cs="Arial" w:eastAsia="Arial" w:hAnsi="Arial"/>
                <w:sz w:val="16"/>
                <w:szCs w:val="16"/>
                <w:color w:val="0D0E10"/>
              </w:rPr>
              <w:t>1/16 per quarter beginning June 20, 2023</w:t>
            </w:r>
          </w:p>
        </w:tc>
        <w:tc>
          <w:tcPr>
            <w:tcW w:w="0" w:type="dxa"/>
            <w:vAlign w:val="bottom"/>
          </w:tcPr>
          <w:p>
            <w:pPr>
              <w:spacing w:after="0"/>
              <w:rPr>
                <w:sz w:val="1"/>
                <w:szCs w:val="1"/>
                <w:color w:val="auto"/>
              </w:rPr>
            </w:pPr>
          </w:p>
        </w:tc>
      </w:tr>
      <w:tr>
        <w:trPr>
          <w:trHeight w:val="29"/>
        </w:trPr>
        <w:tc>
          <w:tcPr>
            <w:tcW w:w="2800" w:type="dxa"/>
            <w:vAlign w:val="bottom"/>
            <w:tcBorders>
              <w:bottom w:val="single" w:sz="8" w:color="A5A4A3"/>
            </w:tcBorders>
          </w:tcPr>
          <w:p>
            <w:pPr>
              <w:spacing w:after="0"/>
              <w:rPr>
                <w:sz w:val="2"/>
                <w:szCs w:val="2"/>
                <w:color w:val="auto"/>
              </w:rPr>
            </w:pPr>
          </w:p>
        </w:tc>
        <w:tc>
          <w:tcPr>
            <w:tcW w:w="2340" w:type="dxa"/>
            <w:vAlign w:val="bottom"/>
            <w:tcBorders>
              <w:bottom w:val="single" w:sz="8" w:color="A5A4A3"/>
            </w:tcBorders>
          </w:tcPr>
          <w:p>
            <w:pPr>
              <w:spacing w:after="0"/>
              <w:rPr>
                <w:sz w:val="2"/>
                <w:szCs w:val="2"/>
                <w:color w:val="auto"/>
              </w:rPr>
            </w:pPr>
          </w:p>
        </w:tc>
        <w:tc>
          <w:tcPr>
            <w:tcW w:w="1900" w:type="dxa"/>
            <w:vAlign w:val="bottom"/>
            <w:tcBorders>
              <w:bottom w:val="single" w:sz="8" w:color="A5A4A3"/>
            </w:tcBorders>
          </w:tcPr>
          <w:p>
            <w:pPr>
              <w:spacing w:after="0"/>
              <w:rPr>
                <w:sz w:val="2"/>
                <w:szCs w:val="2"/>
                <w:color w:val="auto"/>
              </w:rPr>
            </w:pPr>
          </w:p>
        </w:tc>
        <w:tc>
          <w:tcPr>
            <w:tcW w:w="410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color w:val="0D0E10"/>
        </w:rPr>
        <w:t>The number of shares issuable under each of the RSU awards in the table above was determined by dividing the target grant value of the award by the average closing price of our Class A common stock on the NYSE over a specific trading period prior to the grant date in order to reduce the impact of daily volatility on compensation decisions. The grant date fair value of the RSU awards reported in the “Summary Compensation Table for Fiscal Year 2024” and the “Grants of Plan-Based Awards Table for Fiscal Year 2024” below is required to be reported calculated based on our stock price on the grant date, and as a result, such amount may be higher or lower than the target grant value.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F06A6A"/>
        </w:rPr>
        <w:t>OTHER FEATURES OF OUR EXECUTIVE COMPENSATION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Offer Letters and Employment Agreements</w:t>
      </w:r>
    </w:p>
    <w:p>
      <w:pPr>
        <w:spacing w:after="0" w:line="115" w:lineRule="exact"/>
        <w:rPr>
          <w:sz w:val="20"/>
          <w:szCs w:val="20"/>
          <w:color w:val="auto"/>
        </w:rPr>
      </w:pPr>
    </w:p>
    <w:p>
      <w:pPr>
        <w:jc w:val="both"/>
        <w:ind w:right="140"/>
        <w:spacing w:after="0" w:line="315" w:lineRule="auto"/>
        <w:rPr>
          <w:sz w:val="20"/>
          <w:szCs w:val="20"/>
          <w:color w:val="auto"/>
        </w:rPr>
      </w:pPr>
      <w:r>
        <w:rPr>
          <w:rFonts w:ascii="Arial" w:cs="Arial" w:eastAsia="Arial" w:hAnsi="Arial"/>
          <w:sz w:val="18"/>
          <w:szCs w:val="18"/>
          <w:color w:val="0D0E10"/>
        </w:rPr>
        <w:t>We have entered into employee offer letters with our named executive officers. Each of these provides for at-will employment and sets forth the named executive officer’s annual base salary. In addition, each of our named executive officers has executed our standard confidential information and invention assignment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Severance and Change in Control Benefits</w:t>
      </w:r>
    </w:p>
    <w:p>
      <w:pPr>
        <w:spacing w:after="0" w:line="129"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0D0E10"/>
        </w:rPr>
        <w:t>Each of our named executive officers participates in our Executive Severance and Change in Control Benefit Plan, or the Executive Severance Plan. The terms of the Executive Severance Plan are described under the subsection entitled “Employment, Severance, and Change in Control Arrangements—Executive Severance Plan.”</w:t>
      </w:r>
    </w:p>
    <w:p>
      <w:pPr>
        <w:spacing w:after="0" w:line="121"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0D0E10"/>
        </w:rPr>
        <w:t>Given the nature of the technology industry and the range of strategic initiatives we may explore, our Compensation Committee believes the Executive Severance Plan is an essential element of our compensation program and assists us in recruiting, retaining and developing key management talent. Our Compensation Committee also believes the “double-trigger” severance payments and benefits are important from a retention perspective to provide assurance to our executive officers who might be terminated following a change in control of the Company and that the amounts are reasonable and maintain the competitiveness of our executive compensation program. Further, our Compensation Committee believes this structure serves to mitigate the distraction and loss of key executive officers that may occur in connection with a potential</w:t>
      </w: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47</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2" w:name="page53"/>
    <w:bookmarkEnd w:id="52"/>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0D0E10"/>
        </w:rPr>
        <w:t>or actual change in control. Such payments protect the interests of our stockholders by enhancing executive focus during potential change in control activity, retaining executive officers despite the uncertainty that generally exists while a transaction is under consideration and encouraging the executive officers responsible for negotiating potential transactions to do so with independence and objectivity.</w:t>
      </w:r>
    </w:p>
    <w:p>
      <w:pPr>
        <w:spacing w:after="0" w:line="121" w:lineRule="exact"/>
        <w:rPr>
          <w:sz w:val="20"/>
          <w:szCs w:val="20"/>
          <w:color w:val="auto"/>
        </w:rPr>
      </w:pPr>
    </w:p>
    <w:p>
      <w:pPr>
        <w:ind w:right="420"/>
        <w:spacing w:after="0" w:line="334" w:lineRule="auto"/>
        <w:rPr>
          <w:sz w:val="20"/>
          <w:szCs w:val="20"/>
          <w:color w:val="auto"/>
        </w:rPr>
      </w:pPr>
      <w:r>
        <w:rPr>
          <w:rFonts w:ascii="Arial" w:cs="Arial" w:eastAsia="Arial" w:hAnsi="Arial"/>
          <w:sz w:val="18"/>
          <w:szCs w:val="18"/>
          <w:color w:val="0D0E10"/>
        </w:rPr>
        <w:t>We do not have any agreements with our named executive officers guaranteeing any tax gross-up payments on severance or change in control payments or benefits.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401(k) Plan, ESPP, Other Employee Benefits</w:t>
      </w:r>
    </w:p>
    <w:p>
      <w:pPr>
        <w:spacing w:after="0" w:line="129"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0D0E10"/>
        </w:rPr>
        <w:t>We maintain a Section 401(k) retirement savings plan, or the 401(k) Plan, that provides eligible U.S. employees, including our named executive officers, with an opportunity to save for retirement on a tax-advantaged basis. Eligible employees are able to defer compensation up to certain limits provided in the Code and in IRS notices. Currently, we do not make matching contributions or discretionary contributions to the 401(k) Plan accounts of participating employees. The 401(k) Plan is intended to be qualified under Section 401(a) of the Code, with the related trust intended to be tax exempt under Section 501(a) of the Code. As a tax-qualified retirement plan, any contributions and earnings on those amounts are generally not taxable to a participating employee until withdrawn or distributed from the 401(k) Plan.</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0D0E10"/>
        </w:rPr>
        <w:t>We also offer our employees, including our named executive officers (other than Mr. Moskovitz who is not eligible due to his ownership in the Company), the opportunity to purchase shares of our common stock at a discount under our 2020 Employee Stock Purchase Plan, or ESPP. Pursuant to the ESPP, all eligible employees, including the eligible named executive officers, may allocate up to 15% of the participant’s earnings (as defined in the ESPP) for that year to purchase our Class A common stock at up to a 15% discount to the market price, subject to specified limits (including a maximum purchase of $25,000 per year as provided in the ESPP).</w:t>
      </w:r>
    </w:p>
    <w:p>
      <w:pPr>
        <w:spacing w:after="0" w:line="132"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0D0E10"/>
        </w:rPr>
        <w:t>In addition, we provide other employee benefits to our named executive officers on the same basis as our other full-time employees in the U.S. These benefits include, but are not limited to, medical, dental, vision, life, disability, and accidental death and dismemberment insurance plans.</w:t>
      </w:r>
    </w:p>
    <w:p>
      <w:pPr>
        <w:spacing w:after="0" w:line="121" w:lineRule="exact"/>
        <w:rPr>
          <w:sz w:val="20"/>
          <w:szCs w:val="20"/>
          <w:color w:val="auto"/>
        </w:rPr>
      </w:pPr>
    </w:p>
    <w:p>
      <w:pPr>
        <w:jc w:val="both"/>
        <w:ind w:right="240"/>
        <w:spacing w:after="0" w:line="308" w:lineRule="auto"/>
        <w:rPr>
          <w:sz w:val="20"/>
          <w:szCs w:val="20"/>
          <w:color w:val="auto"/>
        </w:rPr>
      </w:pPr>
      <w:r>
        <w:rPr>
          <w:rFonts w:ascii="Arial" w:cs="Arial" w:eastAsia="Arial" w:hAnsi="Arial"/>
          <w:sz w:val="18"/>
          <w:szCs w:val="18"/>
          <w:color w:val="0D0E10"/>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Perquisites and Other Personal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D0E10"/>
        </w:rPr>
        <w:t>We do not provide any material perquisites or other personal benefits to our executive officers, including our named executive officers.</w:t>
      </w:r>
    </w:p>
    <w:p>
      <w:pPr>
        <w:spacing w:after="0" w:line="212" w:lineRule="exact"/>
        <w:rPr>
          <w:sz w:val="20"/>
          <w:szCs w:val="20"/>
          <w:color w:val="auto"/>
        </w:rPr>
      </w:pPr>
    </w:p>
    <w:p>
      <w:pPr>
        <w:ind w:right="180"/>
        <w:spacing w:after="0" w:line="318" w:lineRule="auto"/>
        <w:rPr>
          <w:sz w:val="20"/>
          <w:szCs w:val="20"/>
          <w:color w:val="auto"/>
        </w:rPr>
      </w:pPr>
      <w:r>
        <w:rPr>
          <w:rFonts w:ascii="Arial" w:cs="Arial" w:eastAsia="Arial" w:hAnsi="Arial"/>
          <w:sz w:val="18"/>
          <w:szCs w:val="18"/>
          <w:color w:val="0D0E10"/>
        </w:rPr>
        <w:t>Any practices and policies with respect to perquisites or other personal benefits to our executive officers are subject to review and approval by our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Pension Benefits</w:t>
      </w:r>
    </w:p>
    <w:p>
      <w:pPr>
        <w:spacing w:after="0" w:line="115" w:lineRule="exact"/>
        <w:rPr>
          <w:sz w:val="20"/>
          <w:szCs w:val="20"/>
          <w:color w:val="auto"/>
        </w:rPr>
      </w:pPr>
    </w:p>
    <w:p>
      <w:pPr>
        <w:ind w:right="280"/>
        <w:spacing w:after="0" w:line="334" w:lineRule="auto"/>
        <w:rPr>
          <w:sz w:val="20"/>
          <w:szCs w:val="20"/>
          <w:color w:val="auto"/>
        </w:rPr>
      </w:pPr>
      <w:r>
        <w:rPr>
          <w:rFonts w:ascii="Arial" w:cs="Arial" w:eastAsia="Arial" w:hAnsi="Arial"/>
          <w:sz w:val="18"/>
          <w:szCs w:val="18"/>
          <w:color w:val="0D0E10"/>
        </w:rPr>
        <w:t>Other than with respect to our 401(k) Plan, our U.S. employees, including our named executive officers, do not participate in any plan that provides for retirement payments and benefits, or payments and benefits that will be provided primarily following retirement.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F06A6A"/>
        </w:rPr>
        <w:t>TAX AND ACCOUNTING IMPLICATIONS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Accounting for Stock-Based Compensation</w:t>
      </w:r>
    </w:p>
    <w:p>
      <w:pPr>
        <w:spacing w:after="0" w:line="115"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0D0E10"/>
        </w:rPr>
        <w:t>Under Financial Accounting Standard Board ASC Topic 718, or ASC 718, we are required to estimate and record an expense for each award of equity compensation over the vesting period of the award. We record share-based compensation</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48</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3" w:name="page54"/>
    <w:bookmarkEnd w:id="53"/>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200"/>
        <w:spacing w:after="0" w:line="334" w:lineRule="auto"/>
        <w:rPr>
          <w:sz w:val="20"/>
          <w:szCs w:val="20"/>
          <w:color w:val="auto"/>
        </w:rPr>
      </w:pPr>
      <w:r>
        <w:rPr>
          <w:rFonts w:ascii="Arial" w:cs="Arial" w:eastAsia="Arial" w:hAnsi="Arial"/>
          <w:sz w:val="18"/>
          <w:szCs w:val="18"/>
          <w:color w:val="0D0E10"/>
        </w:rPr>
        <w:t>expense on an ongoing basis according to ASC 718. The accounting impact of our compensation programs is one of many factors that our Compensation Committee considers in determining the structure and size of our executive compensation programs.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Deductibility of Executive Compensation</w:t>
      </w:r>
    </w:p>
    <w:p>
      <w:pPr>
        <w:spacing w:after="0" w:line="129"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color w:val="0D0E10"/>
        </w:rPr>
        <w:t>Under Section 162(m) of the Code, or Section 162(m), compensation paid to each of our “covered employees” that exceeds $1 million per taxable year is generally non-deductible. Although our Compensation Committee will continue to consider tax implications as one factor in determining executive compensation, our Compensation Committee also looks at other factors in making its decisions and retains the flexibility to provide compensation for our named executive officers in a manner consistent with the goals of our executive compensation program and the best interests of the Company and its stockholders, which may include providing for compensation that is not deductible by the Company due to the deduction limit under Section 162(m).</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F06A6A"/>
        </w:rPr>
        <w:t>OTHER COMPENSATION POLICIES AND PRACTICES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Stock Ownership Policy</w:t>
      </w:r>
    </w:p>
    <w:p>
      <w:pPr>
        <w:spacing w:after="0" w:line="115" w:lineRule="exact"/>
        <w:rPr>
          <w:sz w:val="20"/>
          <w:szCs w:val="20"/>
          <w:color w:val="auto"/>
        </w:rPr>
      </w:pPr>
    </w:p>
    <w:p>
      <w:pPr>
        <w:ind w:right="120"/>
        <w:spacing w:after="0" w:line="304" w:lineRule="auto"/>
        <w:rPr>
          <w:sz w:val="20"/>
          <w:szCs w:val="20"/>
          <w:color w:val="auto"/>
        </w:rPr>
      </w:pPr>
      <w:r>
        <w:rPr>
          <w:rFonts w:ascii="Arial" w:cs="Arial" w:eastAsia="Arial" w:hAnsi="Arial"/>
          <w:sz w:val="18"/>
          <w:szCs w:val="18"/>
          <w:color w:val="0D0E10"/>
        </w:rPr>
        <w:t>In May 2023, to further align the interests of our management team with those of our stockholders, our Board of Directors adopted a stock ownership policy applicable to our executive officers and other senior employees. The policy requires that, by the later of February 28, 2029 or the fifth fiscal year of the covered individual's hiring or promotion into a covered role, the covered individual own at least a number of shares of common stock equal to:</w:t>
      </w:r>
    </w:p>
    <w:p>
      <w:pPr>
        <w:spacing w:after="0" w:line="126" w:lineRule="exact"/>
        <w:rPr>
          <w:sz w:val="20"/>
          <w:szCs w:val="20"/>
          <w:color w:val="auto"/>
        </w:rPr>
      </w:pPr>
    </w:p>
    <w:p>
      <w:pPr>
        <w:ind w:left="620" w:hanging="288"/>
        <w:spacing w:after="0"/>
        <w:tabs>
          <w:tab w:leader="none" w:pos="620" w:val="left"/>
        </w:tabs>
        <w:numPr>
          <w:ilvl w:val="0"/>
          <w:numId w:val="43"/>
        </w:numPr>
        <w:rPr>
          <w:rFonts w:ascii="Arial" w:cs="Arial" w:eastAsia="Arial" w:hAnsi="Arial"/>
          <w:sz w:val="18"/>
          <w:szCs w:val="18"/>
          <w:color w:val="0D0E10"/>
        </w:rPr>
      </w:pPr>
      <w:r>
        <w:rPr>
          <w:rFonts w:ascii="Arial" w:cs="Arial" w:eastAsia="Arial" w:hAnsi="Arial"/>
          <w:sz w:val="18"/>
          <w:szCs w:val="18"/>
          <w:color w:val="0D0E10"/>
        </w:rPr>
        <w:t>CEO: five times annual base salary;</w:t>
      </w:r>
    </w:p>
    <w:p>
      <w:pPr>
        <w:spacing w:after="0" w:line="103" w:lineRule="exact"/>
        <w:rPr>
          <w:rFonts w:ascii="Arial" w:cs="Arial" w:eastAsia="Arial" w:hAnsi="Arial"/>
          <w:sz w:val="18"/>
          <w:szCs w:val="18"/>
          <w:color w:val="0D0E10"/>
        </w:rPr>
      </w:pPr>
    </w:p>
    <w:p>
      <w:pPr>
        <w:ind w:left="660" w:right="160" w:hanging="328"/>
        <w:spacing w:after="0" w:line="318" w:lineRule="auto"/>
        <w:tabs>
          <w:tab w:leader="none" w:pos="615" w:val="left"/>
        </w:tabs>
        <w:numPr>
          <w:ilvl w:val="0"/>
          <w:numId w:val="43"/>
        </w:numPr>
        <w:rPr>
          <w:rFonts w:ascii="Arial" w:cs="Arial" w:eastAsia="Arial" w:hAnsi="Arial"/>
          <w:sz w:val="18"/>
          <w:szCs w:val="18"/>
          <w:color w:val="0D0E10"/>
        </w:rPr>
      </w:pPr>
      <w:r>
        <w:rPr>
          <w:rFonts w:ascii="Arial" w:cs="Arial" w:eastAsia="Arial" w:hAnsi="Arial"/>
          <w:sz w:val="18"/>
          <w:szCs w:val="18"/>
          <w:color w:val="0D0E10"/>
        </w:rPr>
        <w:t>other executive officers: three times annual base salary for Level 12 employees, including each of our named executive officers and all of our Section 16 officers (excluding our CEO); and</w:t>
      </w:r>
    </w:p>
    <w:p>
      <w:pPr>
        <w:spacing w:after="0" w:line="4" w:lineRule="exact"/>
        <w:rPr>
          <w:rFonts w:ascii="Arial" w:cs="Arial" w:eastAsia="Arial" w:hAnsi="Arial"/>
          <w:sz w:val="18"/>
          <w:szCs w:val="18"/>
          <w:color w:val="0D0E10"/>
        </w:rPr>
      </w:pPr>
    </w:p>
    <w:p>
      <w:pPr>
        <w:ind w:left="620" w:hanging="288"/>
        <w:spacing w:after="0"/>
        <w:tabs>
          <w:tab w:leader="none" w:pos="620" w:val="left"/>
        </w:tabs>
        <w:numPr>
          <w:ilvl w:val="0"/>
          <w:numId w:val="43"/>
        </w:numPr>
        <w:rPr>
          <w:rFonts w:ascii="Arial" w:cs="Arial" w:eastAsia="Arial" w:hAnsi="Arial"/>
          <w:sz w:val="18"/>
          <w:szCs w:val="18"/>
          <w:color w:val="0D0E10"/>
        </w:rPr>
      </w:pPr>
      <w:r>
        <w:rPr>
          <w:rFonts w:ascii="Arial" w:cs="Arial" w:eastAsia="Arial" w:hAnsi="Arial"/>
          <w:sz w:val="18"/>
          <w:szCs w:val="18"/>
          <w:color w:val="0D0E10"/>
        </w:rPr>
        <w:t>other employees: two times annual base salary and one time annual base salary for Level 11 and Level 10 employees,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Policy Prohibiting Hedging and Pledging of Our Equity Securities</w:t>
      </w:r>
    </w:p>
    <w:p>
      <w:pPr>
        <w:spacing w:after="0" w:line="115" w:lineRule="exact"/>
        <w:rPr>
          <w:sz w:val="20"/>
          <w:szCs w:val="20"/>
          <w:color w:val="auto"/>
        </w:rPr>
      </w:pPr>
    </w:p>
    <w:p>
      <w:pPr>
        <w:spacing w:after="0" w:line="308" w:lineRule="auto"/>
        <w:rPr>
          <w:sz w:val="20"/>
          <w:szCs w:val="20"/>
          <w:color w:val="auto"/>
        </w:rPr>
      </w:pPr>
      <w:r>
        <w:rPr>
          <w:rFonts w:ascii="Arial" w:cs="Arial" w:eastAsia="Arial" w:hAnsi="Arial"/>
          <w:sz w:val="18"/>
          <w:szCs w:val="18"/>
          <w:color w:val="0D0E10"/>
        </w:rPr>
        <w:t>Our insider trading policy prohibits our employees, including our executive officers and the non-employee members of our Board of Directors, from engaging in short sales, hedging of stock ownership positions, and transactions involving derivative securities relating to our common stock; pledging our securities as collateral for loans; and holding Company securities in margin accounts.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Rule 10b5-1 Trading Plans</w:t>
      </w:r>
    </w:p>
    <w:p>
      <w:pPr>
        <w:spacing w:after="0" w:line="115" w:lineRule="exact"/>
        <w:rPr>
          <w:sz w:val="20"/>
          <w:szCs w:val="20"/>
          <w:color w:val="auto"/>
        </w:rPr>
      </w:pPr>
    </w:p>
    <w:p>
      <w:pPr>
        <w:ind w:right="80"/>
        <w:spacing w:after="0" w:line="304" w:lineRule="auto"/>
        <w:rPr>
          <w:sz w:val="20"/>
          <w:szCs w:val="20"/>
          <w:color w:val="auto"/>
        </w:rPr>
      </w:pPr>
      <w:r>
        <w:rPr>
          <w:rFonts w:ascii="Arial" w:cs="Arial" w:eastAsia="Arial" w:hAnsi="Arial"/>
          <w:sz w:val="18"/>
          <w:szCs w:val="18"/>
          <w:color w:val="0D0E10"/>
        </w:rPr>
        <w:t>Our executive officers and directors may conduct purchase or sale transactions under a trading plan established pursuant to Rule 10b5-1 under the Exchange Act. Through a Rule 10b5-1 trading plan, the executive officer or director contracts with a broker to buy or sell shares of our common stock on a periodic basis pursuant to a set of pre-arranged instructions inclusive of a mandatory cooling off period. The broker then executes the trades pursuant to the terms of the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Clawback Policy</w:t>
      </w:r>
    </w:p>
    <w:p>
      <w:pPr>
        <w:spacing w:after="0" w:line="115"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0D0E10"/>
        </w:rPr>
        <w:t>In May 2023, our Compensation Committee adopted a Clawback Policy applicable to all of our current and former executive officers as defined under Rule 16a-1(f) under Section 16 of the Exchange Act, including our named executive officers. Under this policy, our Compensation Committee is obligated to recover erroneously awarded incentive-based compensation, if any, in the event we are required to prepare an accounting restatement due to material noncompliance with any financial reporting requirement under the securities laws. This policy is intended to satisfy the requirements of Section 954 of the Dodd-Frank Wall Street Reform and Consumer Protection Act and any related rules or regulations promulgated by the SEC or the NYSE.</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49</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4" w:name="page55"/>
    <w:bookmarkEnd w:id="54"/>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F06A6A"/>
        </w:rPr>
        <w:t>Compensation Risk Assessment</w:t>
      </w:r>
    </w:p>
    <w:p>
      <w:pPr>
        <w:spacing w:after="0" w:line="115" w:lineRule="exact"/>
        <w:rPr>
          <w:sz w:val="20"/>
          <w:szCs w:val="20"/>
          <w:color w:val="auto"/>
        </w:rPr>
      </w:pPr>
    </w:p>
    <w:p>
      <w:pPr>
        <w:spacing w:after="0" w:line="302" w:lineRule="auto"/>
        <w:rPr>
          <w:sz w:val="20"/>
          <w:szCs w:val="20"/>
          <w:color w:val="auto"/>
        </w:rPr>
      </w:pPr>
      <w:r>
        <w:rPr>
          <w:rFonts w:ascii="Arial" w:cs="Arial" w:eastAsia="Arial" w:hAnsi="Arial"/>
          <w:sz w:val="18"/>
          <w:szCs w:val="18"/>
          <w:color w:val="0D0E10"/>
        </w:rPr>
        <w:t>Our Compensation Committee reviews our compensation program, including compensation levels, designs, practices and policies, to understand if there are any areas that are likely to promote excessive risk-taking or create risks that could have a material adverse effect on the Company. Based on the review, we believe that, through a combination of risk-mitigating features and incentives guided by relevant market practices, our compensation programs, policies and practices do not create risks that are reasonably likely to have a material adverse effect on the Company. The following features are noted as strong mitigating features:</w:t>
      </w:r>
    </w:p>
    <w:p>
      <w:pPr>
        <w:spacing w:after="0" w:line="129" w:lineRule="exact"/>
        <w:rPr>
          <w:sz w:val="20"/>
          <w:szCs w:val="20"/>
          <w:color w:val="auto"/>
        </w:rPr>
      </w:pPr>
    </w:p>
    <w:p>
      <w:pPr>
        <w:ind w:left="620" w:hanging="288"/>
        <w:spacing w:after="0"/>
        <w:tabs>
          <w:tab w:leader="none" w:pos="620" w:val="left"/>
        </w:tabs>
        <w:numPr>
          <w:ilvl w:val="0"/>
          <w:numId w:val="44"/>
        </w:numPr>
        <w:rPr>
          <w:rFonts w:ascii="Arial" w:cs="Arial" w:eastAsia="Arial" w:hAnsi="Arial"/>
          <w:sz w:val="18"/>
          <w:szCs w:val="18"/>
          <w:color w:val="0D0E10"/>
        </w:rPr>
      </w:pPr>
      <w:r>
        <w:rPr>
          <w:rFonts w:ascii="Arial" w:cs="Arial" w:eastAsia="Arial" w:hAnsi="Arial"/>
          <w:sz w:val="18"/>
          <w:szCs w:val="18"/>
          <w:color w:val="0D0E10"/>
        </w:rPr>
        <w:t>we provide a balance of fixed and performance-based compensation;</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44"/>
        </w:numPr>
        <w:rPr>
          <w:rFonts w:ascii="Arial" w:cs="Arial" w:eastAsia="Arial" w:hAnsi="Arial"/>
          <w:sz w:val="18"/>
          <w:szCs w:val="18"/>
          <w:color w:val="0D0E10"/>
        </w:rPr>
      </w:pPr>
      <w:r>
        <w:rPr>
          <w:rFonts w:ascii="Arial" w:cs="Arial" w:eastAsia="Arial" w:hAnsi="Arial"/>
          <w:sz w:val="18"/>
          <w:szCs w:val="18"/>
          <w:color w:val="0D0E10"/>
        </w:rPr>
        <w:t>our long-term incentive awards vest over time, generally over four years;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4"/>
        </w:numPr>
        <w:rPr>
          <w:rFonts w:ascii="Arial" w:cs="Arial" w:eastAsia="Arial" w:hAnsi="Arial"/>
          <w:sz w:val="18"/>
          <w:szCs w:val="18"/>
          <w:color w:val="0D0E10"/>
        </w:rPr>
      </w:pPr>
      <w:r>
        <w:rPr>
          <w:rFonts w:ascii="Arial" w:cs="Arial" w:eastAsia="Arial" w:hAnsi="Arial"/>
          <w:sz w:val="18"/>
          <w:szCs w:val="18"/>
          <w:color w:val="0D0E10"/>
        </w:rPr>
        <w:t>our executives, including our executive officers, are subject to meaningful stock ownership guidelines;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4"/>
        </w:numPr>
        <w:rPr>
          <w:rFonts w:ascii="Arial" w:cs="Arial" w:eastAsia="Arial" w:hAnsi="Arial"/>
          <w:sz w:val="18"/>
          <w:szCs w:val="18"/>
          <w:color w:val="0D0E10"/>
        </w:rPr>
      </w:pPr>
      <w:r>
        <w:rPr>
          <w:rFonts w:ascii="Arial" w:cs="Arial" w:eastAsia="Arial" w:hAnsi="Arial"/>
          <w:sz w:val="18"/>
          <w:szCs w:val="18"/>
          <w:color w:val="0D0E10"/>
        </w:rPr>
        <w:t>we have a prohibition on hedging and pledging of our common stock;</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44"/>
        </w:numPr>
        <w:rPr>
          <w:rFonts w:ascii="Arial" w:cs="Arial" w:eastAsia="Arial" w:hAnsi="Arial"/>
          <w:sz w:val="18"/>
          <w:szCs w:val="18"/>
          <w:color w:val="0D0E10"/>
        </w:rPr>
      </w:pPr>
      <w:r>
        <w:rPr>
          <w:rFonts w:ascii="Arial" w:cs="Arial" w:eastAsia="Arial" w:hAnsi="Arial"/>
          <w:sz w:val="18"/>
          <w:szCs w:val="18"/>
          <w:color w:val="0D0E10"/>
        </w:rPr>
        <w:t>we have an independent Compensation Committee; and</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44"/>
        </w:numPr>
        <w:rPr>
          <w:rFonts w:ascii="Arial" w:cs="Arial" w:eastAsia="Arial" w:hAnsi="Arial"/>
          <w:sz w:val="18"/>
          <w:szCs w:val="18"/>
          <w:color w:val="0D0E10"/>
        </w:rPr>
      </w:pPr>
      <w:r>
        <w:rPr>
          <w:rFonts w:ascii="Arial" w:cs="Arial" w:eastAsia="Arial" w:hAnsi="Arial"/>
          <w:sz w:val="18"/>
          <w:szCs w:val="18"/>
          <w:color w:val="0D0E10"/>
        </w:rPr>
        <w:t>our Compensation Committee engages an independent compensation consultant.</w:t>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F06A6A"/>
        </w:rPr>
        <w:t>STOCKHOLDER ENGAGEMENT AND ADVISORY VOTE ON EXECUTIVE COMPENSATION</w:t>
      </w:r>
    </w:p>
    <w:p>
      <w:pPr>
        <w:spacing w:after="0" w:line="95"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color w:val="0D0E10"/>
        </w:rPr>
        <w:t>We value the input of our stockholders on our compensation programs. We hold an advisory vote on executive compensation on an annual basis. We also regularly communicate with our stockholders to better understand their opinions on governance issues, including compensation. Specific to our 2023 Say on Pay results, 99% of the votes cast were voted “FOR” approval of our executive compensation proposal (excluding broker non-votes). Our Compensation Committee considered the result of this vote, believes that it affirms our stockholders’ support for our approach to executive compensation and concluded that no specific changes to our executive compensation policies were warranted as a result of the vote.</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50</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5" w:name="page56"/>
    <w:bookmarkEnd w:id="55"/>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Summary Compensation Table for Fiscal Year 2024</w:t>
      </w:r>
    </w:p>
    <w:p>
      <w:pPr>
        <w:spacing w:after="0" w:line="195" w:lineRule="exact"/>
        <w:rPr>
          <w:sz w:val="20"/>
          <w:szCs w:val="20"/>
          <w:color w:val="auto"/>
        </w:rPr>
      </w:pPr>
    </w:p>
    <w:p>
      <w:pPr>
        <w:jc w:val="both"/>
        <w:ind w:right="420"/>
        <w:spacing w:after="0" w:line="308" w:lineRule="auto"/>
        <w:rPr>
          <w:sz w:val="20"/>
          <w:szCs w:val="20"/>
          <w:color w:val="auto"/>
        </w:rPr>
      </w:pPr>
      <w:r>
        <w:rPr>
          <w:rFonts w:ascii="Arial" w:cs="Arial" w:eastAsia="Arial" w:hAnsi="Arial"/>
          <w:sz w:val="18"/>
          <w:szCs w:val="18"/>
          <w:color w:val="0D0E10"/>
        </w:rPr>
        <w:t>The following table presents all of the compensation, rounded to the nearest whole dollar, awarded to or earned by or paid to our named executive officers during the fiscal years ended January 31, 2024, January 31, 2023, and January 31, 2022, with respect to each named executive officer’s service in their respective roles.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60" w:type="dxa"/>
            <w:vAlign w:val="bottom"/>
            <w:vMerge w:val="restart"/>
            <w:shd w:val="clear" w:color="auto" w:fill="EEEBEA"/>
          </w:tcPr>
          <w:p>
            <w:pPr>
              <w:ind w:left="100"/>
              <w:spacing w:after="0"/>
              <w:rPr>
                <w:sz w:val="20"/>
                <w:szCs w:val="20"/>
                <w:color w:val="auto"/>
              </w:rPr>
            </w:pPr>
            <w:r>
              <w:rPr>
                <w:rFonts w:ascii="Arial" w:cs="Arial" w:eastAsia="Arial" w:hAnsi="Arial"/>
                <w:sz w:val="16"/>
                <w:szCs w:val="16"/>
                <w:b w:val="1"/>
                <w:bCs w:val="1"/>
                <w:color w:val="F06A6A"/>
              </w:rPr>
              <w:t>Name and</w:t>
            </w:r>
          </w:p>
        </w:tc>
        <w:tc>
          <w:tcPr>
            <w:tcW w:w="2120" w:type="dxa"/>
            <w:vAlign w:val="bottom"/>
            <w:shd w:val="clear" w:color="auto" w:fill="EEEBEA"/>
          </w:tcPr>
          <w:p>
            <w:pPr>
              <w:spacing w:after="0"/>
              <w:rPr>
                <w:sz w:val="14"/>
                <w:szCs w:val="14"/>
                <w:color w:val="auto"/>
              </w:rPr>
            </w:pPr>
          </w:p>
        </w:tc>
        <w:tc>
          <w:tcPr>
            <w:tcW w:w="1820" w:type="dxa"/>
            <w:vAlign w:val="bottom"/>
            <w:vMerge w:val="restart"/>
            <w:shd w:val="clear" w:color="auto" w:fill="EEEBEA"/>
          </w:tcPr>
          <w:p>
            <w:pPr>
              <w:ind w:left="720"/>
              <w:spacing w:after="0"/>
              <w:rPr>
                <w:sz w:val="20"/>
                <w:szCs w:val="20"/>
                <w:color w:val="auto"/>
              </w:rPr>
            </w:pPr>
            <w:r>
              <w:rPr>
                <w:rFonts w:ascii="Arial" w:cs="Arial" w:eastAsia="Arial" w:hAnsi="Arial"/>
                <w:sz w:val="16"/>
                <w:szCs w:val="16"/>
                <w:b w:val="1"/>
                <w:bCs w:val="1"/>
                <w:color w:val="F06A6A"/>
              </w:rPr>
              <w:t>Salary</w:t>
            </w:r>
          </w:p>
        </w:tc>
        <w:tc>
          <w:tcPr>
            <w:tcW w:w="600" w:type="dxa"/>
            <w:vAlign w:val="bottom"/>
            <w:shd w:val="clear" w:color="auto" w:fill="EEEBEA"/>
          </w:tcPr>
          <w:p>
            <w:pPr>
              <w:spacing w:after="0"/>
              <w:rPr>
                <w:sz w:val="14"/>
                <w:szCs w:val="14"/>
                <w:color w:val="auto"/>
              </w:rPr>
            </w:pPr>
          </w:p>
        </w:tc>
        <w:tc>
          <w:tcPr>
            <w:tcW w:w="1060" w:type="dxa"/>
            <w:vAlign w:val="bottom"/>
            <w:vMerge w:val="restart"/>
            <w:shd w:val="clear" w:color="auto" w:fill="EEEBEA"/>
          </w:tcPr>
          <w:p>
            <w:pPr>
              <w:spacing w:after="0"/>
              <w:rPr>
                <w:sz w:val="20"/>
                <w:szCs w:val="20"/>
                <w:color w:val="auto"/>
              </w:rPr>
            </w:pPr>
            <w:r>
              <w:rPr>
                <w:rFonts w:ascii="Arial" w:cs="Arial" w:eastAsia="Arial" w:hAnsi="Arial"/>
                <w:sz w:val="16"/>
                <w:szCs w:val="16"/>
                <w:b w:val="1"/>
                <w:bCs w:val="1"/>
                <w:color w:val="F06A6A"/>
                <w:w w:val="98"/>
                <w:shd w:val="clear" w:color="auto" w:fill="EEEBEA"/>
              </w:rPr>
              <w:t>Stock Awards</w:t>
            </w:r>
          </w:p>
        </w:tc>
        <w:tc>
          <w:tcPr>
            <w:tcW w:w="120" w:type="dxa"/>
            <w:vAlign w:val="bottom"/>
            <w:shd w:val="clear" w:color="auto" w:fill="EEEBEA"/>
          </w:tcPr>
          <w:p>
            <w:pPr>
              <w:jc w:val="right"/>
              <w:spacing w:after="0"/>
              <w:rPr>
                <w:sz w:val="20"/>
                <w:szCs w:val="20"/>
                <w:color w:val="auto"/>
              </w:rPr>
            </w:pPr>
            <w:r>
              <w:rPr>
                <w:rFonts w:ascii="Arial" w:cs="Arial" w:eastAsia="Arial" w:hAnsi="Arial"/>
                <w:sz w:val="11"/>
                <w:szCs w:val="11"/>
                <w:b w:val="1"/>
                <w:bCs w:val="1"/>
                <w:color w:val="F06A6A"/>
                <w:w w:val="74"/>
                <w:shd w:val="clear" w:color="auto" w:fill="EEEBEA"/>
              </w:rPr>
              <w:t>(1)</w:t>
            </w:r>
          </w:p>
        </w:tc>
        <w:tc>
          <w:tcPr>
            <w:tcW w:w="540" w:type="dxa"/>
            <w:vAlign w:val="bottom"/>
            <w:vMerge w:val="restart"/>
            <w:shd w:val="clear" w:color="auto" w:fill="EEEBEA"/>
          </w:tcPr>
          <w:p>
            <w:pPr>
              <w:spacing w:after="0"/>
              <w:rPr>
                <w:sz w:val="14"/>
                <w:szCs w:val="14"/>
                <w:color w:val="auto"/>
              </w:rPr>
            </w:pPr>
          </w:p>
        </w:tc>
        <w:tc>
          <w:tcPr>
            <w:tcW w:w="2120" w:type="dxa"/>
            <w:vAlign w:val="bottom"/>
            <w:vMerge w:val="restart"/>
            <w:shd w:val="clear" w:color="auto" w:fill="EEEBEA"/>
          </w:tcPr>
          <w:p>
            <w:pPr>
              <w:ind w:left="760"/>
              <w:spacing w:after="0"/>
              <w:rPr>
                <w:sz w:val="20"/>
                <w:szCs w:val="20"/>
                <w:color w:val="auto"/>
              </w:rPr>
            </w:pPr>
            <w:r>
              <w:rPr>
                <w:rFonts w:ascii="Arial" w:cs="Arial" w:eastAsia="Arial" w:hAnsi="Arial"/>
                <w:sz w:val="16"/>
                <w:szCs w:val="16"/>
                <w:b w:val="1"/>
                <w:bCs w:val="1"/>
                <w:color w:val="F06A6A"/>
              </w:rPr>
              <w:t>Total</w:t>
            </w:r>
          </w:p>
        </w:tc>
        <w:tc>
          <w:tcPr>
            <w:tcW w:w="0" w:type="dxa"/>
            <w:vAlign w:val="bottom"/>
          </w:tcPr>
          <w:p>
            <w:pPr>
              <w:spacing w:after="0"/>
              <w:rPr>
                <w:sz w:val="1"/>
                <w:szCs w:val="1"/>
                <w:color w:val="auto"/>
              </w:rPr>
            </w:pPr>
          </w:p>
        </w:tc>
      </w:tr>
      <w:tr>
        <w:trPr>
          <w:trHeight w:val="53"/>
        </w:trPr>
        <w:tc>
          <w:tcPr>
            <w:tcW w:w="2860" w:type="dxa"/>
            <w:vAlign w:val="bottom"/>
            <w:vMerge w:val="continue"/>
            <w:shd w:val="clear" w:color="auto" w:fill="EEEBEA"/>
          </w:tcPr>
          <w:p>
            <w:pPr>
              <w:spacing w:after="0"/>
              <w:rPr>
                <w:sz w:val="4"/>
                <w:szCs w:val="4"/>
                <w:color w:val="auto"/>
              </w:rPr>
            </w:pPr>
          </w:p>
        </w:tc>
        <w:tc>
          <w:tcPr>
            <w:tcW w:w="2120" w:type="dxa"/>
            <w:vAlign w:val="bottom"/>
            <w:shd w:val="clear" w:color="auto" w:fill="EEEBEA"/>
          </w:tcPr>
          <w:p>
            <w:pPr>
              <w:spacing w:after="0"/>
              <w:rPr>
                <w:sz w:val="4"/>
                <w:szCs w:val="4"/>
                <w:color w:val="auto"/>
              </w:rPr>
            </w:pPr>
          </w:p>
        </w:tc>
        <w:tc>
          <w:tcPr>
            <w:tcW w:w="1820" w:type="dxa"/>
            <w:vAlign w:val="bottom"/>
            <w:vMerge w:val="continue"/>
            <w:shd w:val="clear" w:color="auto" w:fill="EEEBEA"/>
          </w:tcPr>
          <w:p>
            <w:pPr>
              <w:spacing w:after="0"/>
              <w:rPr>
                <w:sz w:val="4"/>
                <w:szCs w:val="4"/>
                <w:color w:val="auto"/>
              </w:rPr>
            </w:pPr>
          </w:p>
        </w:tc>
        <w:tc>
          <w:tcPr>
            <w:tcW w:w="600" w:type="dxa"/>
            <w:vAlign w:val="bottom"/>
            <w:shd w:val="clear" w:color="auto" w:fill="EEEBEA"/>
          </w:tcPr>
          <w:p>
            <w:pPr>
              <w:spacing w:after="0"/>
              <w:rPr>
                <w:sz w:val="4"/>
                <w:szCs w:val="4"/>
                <w:color w:val="auto"/>
              </w:rPr>
            </w:pPr>
          </w:p>
        </w:tc>
        <w:tc>
          <w:tcPr>
            <w:tcW w:w="1060" w:type="dxa"/>
            <w:vAlign w:val="bottom"/>
            <w:vMerge w:val="continue"/>
            <w:shd w:val="clear" w:color="auto" w:fill="EEEBEA"/>
          </w:tcPr>
          <w:p>
            <w:pPr>
              <w:spacing w:after="0"/>
              <w:rPr>
                <w:sz w:val="4"/>
                <w:szCs w:val="4"/>
                <w:color w:val="auto"/>
              </w:rPr>
            </w:pPr>
          </w:p>
        </w:tc>
        <w:tc>
          <w:tcPr>
            <w:tcW w:w="120" w:type="dxa"/>
            <w:vAlign w:val="bottom"/>
            <w:shd w:val="clear" w:color="auto" w:fill="EEEBEA"/>
          </w:tcPr>
          <w:p>
            <w:pPr>
              <w:spacing w:after="0"/>
              <w:rPr>
                <w:sz w:val="4"/>
                <w:szCs w:val="4"/>
                <w:color w:val="auto"/>
              </w:rPr>
            </w:pPr>
          </w:p>
        </w:tc>
        <w:tc>
          <w:tcPr>
            <w:tcW w:w="540" w:type="dxa"/>
            <w:vAlign w:val="bottom"/>
            <w:vMerge w:val="continue"/>
            <w:shd w:val="clear" w:color="auto" w:fill="EEEBEA"/>
          </w:tcPr>
          <w:p>
            <w:pPr>
              <w:spacing w:after="0"/>
              <w:rPr>
                <w:sz w:val="4"/>
                <w:szCs w:val="4"/>
                <w:color w:val="auto"/>
              </w:rPr>
            </w:pPr>
          </w:p>
        </w:tc>
        <w:tc>
          <w:tcPr>
            <w:tcW w:w="2120" w:type="dxa"/>
            <w:vAlign w:val="bottom"/>
            <w:vMerge w:val="continue"/>
            <w:shd w:val="clear" w:color="auto" w:fill="EEEBEA"/>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Principal Position</w:t>
            </w:r>
          </w:p>
        </w:tc>
        <w:tc>
          <w:tcPr>
            <w:tcW w:w="21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Fiscal Year</w:t>
            </w:r>
          </w:p>
        </w:tc>
        <w:tc>
          <w:tcPr>
            <w:tcW w:w="1820" w:type="dxa"/>
            <w:vAlign w:val="bottom"/>
            <w:shd w:val="clear" w:color="auto" w:fill="EEEBEA"/>
          </w:tcPr>
          <w:p>
            <w:pPr>
              <w:jc w:val="center"/>
              <w:ind w:left="19"/>
              <w:spacing w:after="0"/>
              <w:rPr>
                <w:sz w:val="20"/>
                <w:szCs w:val="20"/>
                <w:color w:val="auto"/>
              </w:rPr>
            </w:pPr>
            <w:r>
              <w:rPr>
                <w:rFonts w:ascii="Arial" w:cs="Arial" w:eastAsia="Arial" w:hAnsi="Arial"/>
                <w:sz w:val="16"/>
                <w:szCs w:val="16"/>
                <w:b w:val="1"/>
                <w:bCs w:val="1"/>
                <w:color w:val="F06A6A"/>
              </w:rPr>
              <w:t>($)</w:t>
            </w:r>
          </w:p>
        </w:tc>
        <w:tc>
          <w:tcPr>
            <w:tcW w:w="600" w:type="dxa"/>
            <w:vAlign w:val="bottom"/>
            <w:shd w:val="clear" w:color="auto" w:fill="EEEBEA"/>
          </w:tcPr>
          <w:p>
            <w:pPr>
              <w:spacing w:after="0"/>
              <w:rPr>
                <w:sz w:val="19"/>
                <w:szCs w:val="19"/>
                <w:color w:val="auto"/>
              </w:rPr>
            </w:pPr>
          </w:p>
        </w:tc>
        <w:tc>
          <w:tcPr>
            <w:tcW w:w="1060" w:type="dxa"/>
            <w:vAlign w:val="bottom"/>
            <w:shd w:val="clear" w:color="auto" w:fill="EEEBEA"/>
          </w:tcPr>
          <w:p>
            <w:pPr>
              <w:jc w:val="center"/>
              <w:ind w:left="19"/>
              <w:spacing w:after="0"/>
              <w:rPr>
                <w:sz w:val="20"/>
                <w:szCs w:val="20"/>
                <w:color w:val="auto"/>
              </w:rPr>
            </w:pPr>
            <w:r>
              <w:rPr>
                <w:rFonts w:ascii="Arial" w:cs="Arial" w:eastAsia="Arial" w:hAnsi="Arial"/>
                <w:sz w:val="16"/>
                <w:szCs w:val="16"/>
                <w:b w:val="1"/>
                <w:bCs w:val="1"/>
                <w:color w:val="F06A6A"/>
              </w:rPr>
              <w:t>($)</w:t>
            </w:r>
          </w:p>
        </w:tc>
        <w:tc>
          <w:tcPr>
            <w:tcW w:w="120" w:type="dxa"/>
            <w:vAlign w:val="bottom"/>
            <w:shd w:val="clear" w:color="auto" w:fill="EEEBEA"/>
          </w:tcPr>
          <w:p>
            <w:pPr>
              <w:spacing w:after="0"/>
              <w:rPr>
                <w:sz w:val="19"/>
                <w:szCs w:val="19"/>
                <w:color w:val="auto"/>
              </w:rPr>
            </w:pPr>
          </w:p>
        </w:tc>
        <w:tc>
          <w:tcPr>
            <w:tcW w:w="540" w:type="dxa"/>
            <w:vAlign w:val="bottom"/>
            <w:shd w:val="clear" w:color="auto" w:fill="EEEBEA"/>
          </w:tcPr>
          <w:p>
            <w:pPr>
              <w:spacing w:after="0"/>
              <w:rPr>
                <w:sz w:val="19"/>
                <w:szCs w:val="19"/>
                <w:color w:val="auto"/>
              </w:rPr>
            </w:pPr>
          </w:p>
        </w:tc>
        <w:tc>
          <w:tcPr>
            <w:tcW w:w="2120" w:type="dxa"/>
            <w:vAlign w:val="bottom"/>
            <w:shd w:val="clear" w:color="auto" w:fill="EEEBEA"/>
          </w:tcPr>
          <w:p>
            <w:pPr>
              <w:jc w:val="center"/>
              <w:ind w:right="159"/>
              <w:spacing w:after="0"/>
              <w:rPr>
                <w:sz w:val="20"/>
                <w:szCs w:val="20"/>
                <w:color w:val="auto"/>
              </w:rPr>
            </w:pPr>
            <w:r>
              <w:rPr>
                <w:rFonts w:ascii="Arial" w:cs="Arial" w:eastAsia="Arial" w:hAnsi="Arial"/>
                <w:sz w:val="16"/>
                <w:szCs w:val="16"/>
                <w:b w:val="1"/>
                <w:bCs w:val="1"/>
                <w:color w:val="F06A6A"/>
              </w:rPr>
              <w:t>($)</w:t>
            </w:r>
          </w:p>
        </w:tc>
        <w:tc>
          <w:tcPr>
            <w:tcW w:w="0" w:type="dxa"/>
            <w:vAlign w:val="bottom"/>
          </w:tcPr>
          <w:p>
            <w:pPr>
              <w:spacing w:after="0"/>
              <w:rPr>
                <w:sz w:val="1"/>
                <w:szCs w:val="1"/>
                <w:color w:val="auto"/>
              </w:rPr>
            </w:pPr>
          </w:p>
        </w:tc>
      </w:tr>
      <w:tr>
        <w:trPr>
          <w:trHeight w:val="128"/>
        </w:trPr>
        <w:tc>
          <w:tcPr>
            <w:tcW w:w="2860" w:type="dxa"/>
            <w:vAlign w:val="bottom"/>
            <w:tcBorders>
              <w:bottom w:val="single" w:sz="8" w:color="A5A4A3"/>
            </w:tcBorders>
            <w:shd w:val="clear" w:color="auto" w:fill="EEEBEA"/>
          </w:tcPr>
          <w:p>
            <w:pPr>
              <w:spacing w:after="0"/>
              <w:rPr>
                <w:sz w:val="11"/>
                <w:szCs w:val="11"/>
                <w:color w:val="auto"/>
              </w:rPr>
            </w:pPr>
          </w:p>
        </w:tc>
        <w:tc>
          <w:tcPr>
            <w:tcW w:w="2120" w:type="dxa"/>
            <w:vAlign w:val="bottom"/>
            <w:tcBorders>
              <w:bottom w:val="single" w:sz="8" w:color="A5A4A3"/>
            </w:tcBorders>
            <w:shd w:val="clear" w:color="auto" w:fill="EEEBEA"/>
          </w:tcPr>
          <w:p>
            <w:pPr>
              <w:spacing w:after="0"/>
              <w:rPr>
                <w:sz w:val="11"/>
                <w:szCs w:val="11"/>
                <w:color w:val="auto"/>
              </w:rPr>
            </w:pPr>
          </w:p>
        </w:tc>
        <w:tc>
          <w:tcPr>
            <w:tcW w:w="1820" w:type="dxa"/>
            <w:vAlign w:val="bottom"/>
            <w:tcBorders>
              <w:bottom w:val="single" w:sz="8" w:color="A5A4A3"/>
            </w:tcBorders>
            <w:shd w:val="clear" w:color="auto" w:fill="EEEBEA"/>
          </w:tcPr>
          <w:p>
            <w:pPr>
              <w:spacing w:after="0"/>
              <w:rPr>
                <w:sz w:val="11"/>
                <w:szCs w:val="11"/>
                <w:color w:val="auto"/>
              </w:rPr>
            </w:pPr>
          </w:p>
        </w:tc>
        <w:tc>
          <w:tcPr>
            <w:tcW w:w="600" w:type="dxa"/>
            <w:vAlign w:val="bottom"/>
            <w:tcBorders>
              <w:bottom w:val="single" w:sz="8" w:color="A5A4A3"/>
            </w:tcBorders>
            <w:shd w:val="clear" w:color="auto" w:fill="EEEBEA"/>
          </w:tcPr>
          <w:p>
            <w:pPr>
              <w:spacing w:after="0"/>
              <w:rPr>
                <w:sz w:val="11"/>
                <w:szCs w:val="11"/>
                <w:color w:val="auto"/>
              </w:rPr>
            </w:pPr>
          </w:p>
        </w:tc>
        <w:tc>
          <w:tcPr>
            <w:tcW w:w="1060" w:type="dxa"/>
            <w:vAlign w:val="bottom"/>
            <w:tcBorders>
              <w:bottom w:val="single" w:sz="8" w:color="A5A4A3"/>
            </w:tcBorders>
            <w:shd w:val="clear" w:color="auto" w:fill="EEEBEA"/>
          </w:tcPr>
          <w:p>
            <w:pPr>
              <w:spacing w:after="0"/>
              <w:rPr>
                <w:sz w:val="11"/>
                <w:szCs w:val="11"/>
                <w:color w:val="auto"/>
              </w:rPr>
            </w:pPr>
          </w:p>
        </w:tc>
        <w:tc>
          <w:tcPr>
            <w:tcW w:w="120" w:type="dxa"/>
            <w:vAlign w:val="bottom"/>
            <w:tcBorders>
              <w:bottom w:val="single" w:sz="8" w:color="A5A4A3"/>
            </w:tcBorders>
            <w:shd w:val="clear" w:color="auto" w:fill="EEEBEA"/>
          </w:tcPr>
          <w:p>
            <w:pPr>
              <w:spacing w:after="0"/>
              <w:rPr>
                <w:sz w:val="11"/>
                <w:szCs w:val="11"/>
                <w:color w:val="auto"/>
              </w:rPr>
            </w:pPr>
          </w:p>
        </w:tc>
        <w:tc>
          <w:tcPr>
            <w:tcW w:w="540" w:type="dxa"/>
            <w:vAlign w:val="bottom"/>
            <w:tcBorders>
              <w:bottom w:val="single" w:sz="8" w:color="A5A4A3"/>
            </w:tcBorders>
            <w:shd w:val="clear" w:color="auto" w:fill="EEEBEA"/>
          </w:tcPr>
          <w:p>
            <w:pPr>
              <w:spacing w:after="0"/>
              <w:rPr>
                <w:sz w:val="11"/>
                <w:szCs w:val="11"/>
                <w:color w:val="auto"/>
              </w:rPr>
            </w:pPr>
          </w:p>
        </w:tc>
        <w:tc>
          <w:tcPr>
            <w:tcW w:w="2120" w:type="dxa"/>
            <w:vAlign w:val="bottom"/>
            <w:tcBorders>
              <w:bottom w:val="single" w:sz="8" w:color="A5A4A3"/>
            </w:tcBorders>
            <w:shd w:val="clear" w:color="auto" w:fill="EEEBEA"/>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2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0D0E10"/>
              </w:rPr>
              <w:t>2024</w:t>
            </w:r>
          </w:p>
        </w:tc>
        <w:tc>
          <w:tcPr>
            <w:tcW w:w="1820" w:type="dxa"/>
            <w:vAlign w:val="bottom"/>
          </w:tcPr>
          <w:p>
            <w:pPr>
              <w:jc w:val="center"/>
              <w:spacing w:after="0"/>
              <w:rPr>
                <w:sz w:val="20"/>
                <w:szCs w:val="20"/>
                <w:color w:val="auto"/>
              </w:rPr>
            </w:pPr>
            <w:r>
              <w:rPr>
                <w:rFonts w:ascii="Arial" w:cs="Arial" w:eastAsia="Arial" w:hAnsi="Arial"/>
                <w:sz w:val="16"/>
                <w:szCs w:val="16"/>
                <w:color w:val="0D0E10"/>
              </w:rPr>
              <w:t>1</w:t>
            </w:r>
          </w:p>
        </w:tc>
        <w:tc>
          <w:tcPr>
            <w:tcW w:w="600" w:type="dxa"/>
            <w:vAlign w:val="bottom"/>
          </w:tcPr>
          <w:p>
            <w:pPr>
              <w:spacing w:after="0"/>
              <w:rPr>
                <w:sz w:val="24"/>
                <w:szCs w:val="24"/>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6"/>
                <w:szCs w:val="16"/>
                <w:color w:val="0D0E10"/>
                <w:w w:val="99"/>
              </w:rPr>
              <w:t>—</w:t>
            </w:r>
          </w:p>
        </w:tc>
        <w:tc>
          <w:tcPr>
            <w:tcW w:w="2120" w:type="dxa"/>
            <w:vAlign w:val="bottom"/>
          </w:tcPr>
          <w:p>
            <w:pPr>
              <w:jc w:val="center"/>
              <w:ind w:right="159"/>
              <w:spacing w:after="0"/>
              <w:rPr>
                <w:sz w:val="20"/>
                <w:szCs w:val="20"/>
                <w:color w:val="auto"/>
              </w:rPr>
            </w:pPr>
            <w:r>
              <w:rPr>
                <w:rFonts w:ascii="Arial" w:cs="Arial" w:eastAsia="Arial" w:hAnsi="Arial"/>
                <w:sz w:val="16"/>
                <w:szCs w:val="16"/>
                <w:color w:val="0D0E10"/>
                <w:w w:val="89"/>
              </w:rPr>
              <w:t>1</w:t>
            </w:r>
          </w:p>
        </w:tc>
        <w:tc>
          <w:tcPr>
            <w:tcW w:w="0" w:type="dxa"/>
            <w:vAlign w:val="bottom"/>
          </w:tcPr>
          <w:p>
            <w:pPr>
              <w:spacing w:after="0"/>
              <w:rPr>
                <w:sz w:val="1"/>
                <w:szCs w:val="1"/>
                <w:color w:val="auto"/>
              </w:rPr>
            </w:pPr>
          </w:p>
        </w:tc>
      </w:tr>
      <w:tr>
        <w:trPr>
          <w:trHeight w:val="110"/>
        </w:trPr>
        <w:tc>
          <w:tcPr>
            <w:tcW w:w="2860" w:type="dxa"/>
            <w:vAlign w:val="bottom"/>
            <w:vMerge w:val="restart"/>
          </w:tcPr>
          <w:p>
            <w:pPr>
              <w:ind w:left="100"/>
              <w:spacing w:after="0"/>
              <w:rPr>
                <w:sz w:val="20"/>
                <w:szCs w:val="20"/>
                <w:color w:val="auto"/>
              </w:rPr>
            </w:pPr>
            <w:r>
              <w:rPr>
                <w:rFonts w:ascii="Arial" w:cs="Arial" w:eastAsia="Arial" w:hAnsi="Arial"/>
                <w:sz w:val="16"/>
                <w:szCs w:val="16"/>
                <w:b w:val="1"/>
                <w:bCs w:val="1"/>
                <w:color w:val="0D0E10"/>
              </w:rPr>
              <w:t>Dustin Moskovitz</w:t>
            </w: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60" w:type="dxa"/>
            <w:vAlign w:val="bottom"/>
            <w:vMerge w:val="continue"/>
          </w:tcPr>
          <w:p>
            <w:pPr>
              <w:spacing w:after="0"/>
              <w:rPr>
                <w:sz w:val="15"/>
                <w:szCs w:val="15"/>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color w:val="0D0E10"/>
              </w:rPr>
              <w:t>2023</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rPr>
              <w:t>1</w:t>
            </w:r>
          </w:p>
        </w:tc>
        <w:tc>
          <w:tcPr>
            <w:tcW w:w="600" w:type="dxa"/>
            <w:vAlign w:val="bottom"/>
          </w:tcPr>
          <w:p>
            <w:pPr>
              <w:spacing w:after="0"/>
              <w:rPr>
                <w:sz w:val="15"/>
                <w:szCs w:val="15"/>
                <w:color w:val="auto"/>
              </w:rPr>
            </w:pPr>
          </w:p>
        </w:tc>
        <w:tc>
          <w:tcPr>
            <w:tcW w:w="1720" w:type="dxa"/>
            <w:vAlign w:val="bottom"/>
            <w:gridSpan w:val="3"/>
            <w:vMerge w:val="restart"/>
          </w:tcPr>
          <w:p>
            <w:pPr>
              <w:jc w:val="center"/>
              <w:ind w:right="560"/>
              <w:spacing w:after="0"/>
              <w:rPr>
                <w:sz w:val="20"/>
                <w:szCs w:val="20"/>
                <w:color w:val="auto"/>
              </w:rPr>
            </w:pPr>
            <w:r>
              <w:rPr>
                <w:rFonts w:ascii="Arial" w:cs="Arial" w:eastAsia="Arial" w:hAnsi="Arial"/>
                <w:sz w:val="16"/>
                <w:szCs w:val="16"/>
                <w:color w:val="0D0E10"/>
                <w:w w:val="99"/>
              </w:rPr>
              <w:t>—</w:t>
            </w:r>
          </w:p>
        </w:tc>
        <w:tc>
          <w:tcPr>
            <w:tcW w:w="2120" w:type="dxa"/>
            <w:vAlign w:val="bottom"/>
            <w:vMerge w:val="restart"/>
          </w:tcPr>
          <w:p>
            <w:pPr>
              <w:jc w:val="center"/>
              <w:ind w:right="159"/>
              <w:spacing w:after="0"/>
              <w:rPr>
                <w:sz w:val="20"/>
                <w:szCs w:val="20"/>
                <w:color w:val="auto"/>
              </w:rPr>
            </w:pPr>
            <w:r>
              <w:rPr>
                <w:rFonts w:ascii="Arial" w:cs="Arial" w:eastAsia="Arial" w:hAnsi="Arial"/>
                <w:sz w:val="16"/>
                <w:szCs w:val="16"/>
                <w:color w:val="0D0E10"/>
                <w:w w:val="89"/>
              </w:rPr>
              <w:t>1</w:t>
            </w:r>
          </w:p>
        </w:tc>
        <w:tc>
          <w:tcPr>
            <w:tcW w:w="0" w:type="dxa"/>
            <w:vAlign w:val="bottom"/>
          </w:tcPr>
          <w:p>
            <w:pPr>
              <w:spacing w:after="0"/>
              <w:rPr>
                <w:sz w:val="1"/>
                <w:szCs w:val="1"/>
                <w:color w:val="auto"/>
              </w:rPr>
            </w:pPr>
          </w:p>
        </w:tc>
      </w:tr>
      <w:tr>
        <w:trPr>
          <w:trHeight w:val="118"/>
        </w:trPr>
        <w:tc>
          <w:tcPr>
            <w:tcW w:w="286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President &amp; Chief Executive Officer</w:t>
            </w:r>
          </w:p>
        </w:tc>
        <w:tc>
          <w:tcPr>
            <w:tcW w:w="212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60" w:type="dxa"/>
            <w:vAlign w:val="bottom"/>
            <w:vMerge w:val="continue"/>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0D0E10"/>
              </w:rPr>
              <w:t>2022</w:t>
            </w:r>
          </w:p>
        </w:tc>
        <w:tc>
          <w:tcPr>
            <w:tcW w:w="1820" w:type="dxa"/>
            <w:vAlign w:val="bottom"/>
          </w:tcPr>
          <w:p>
            <w:pPr>
              <w:jc w:val="center"/>
              <w:spacing w:after="0"/>
              <w:rPr>
                <w:sz w:val="20"/>
                <w:szCs w:val="20"/>
                <w:color w:val="auto"/>
              </w:rPr>
            </w:pPr>
            <w:r>
              <w:rPr>
                <w:rFonts w:ascii="Arial" w:cs="Arial" w:eastAsia="Arial" w:hAnsi="Arial"/>
                <w:sz w:val="16"/>
                <w:szCs w:val="16"/>
                <w:color w:val="0D0E10"/>
              </w:rPr>
              <w:t>1</w:t>
            </w:r>
          </w:p>
        </w:tc>
        <w:tc>
          <w:tcPr>
            <w:tcW w:w="600" w:type="dxa"/>
            <w:vAlign w:val="bottom"/>
          </w:tcPr>
          <w:p>
            <w:pPr>
              <w:spacing w:after="0"/>
              <w:rPr>
                <w:sz w:val="24"/>
                <w:szCs w:val="24"/>
                <w:color w:val="auto"/>
              </w:rPr>
            </w:pPr>
          </w:p>
        </w:tc>
        <w:tc>
          <w:tcPr>
            <w:tcW w:w="1720" w:type="dxa"/>
            <w:vAlign w:val="bottom"/>
            <w:gridSpan w:val="3"/>
          </w:tcPr>
          <w:p>
            <w:pPr>
              <w:jc w:val="center"/>
              <w:ind w:right="560"/>
              <w:spacing w:after="0"/>
              <w:rPr>
                <w:sz w:val="20"/>
                <w:szCs w:val="20"/>
                <w:color w:val="auto"/>
              </w:rPr>
            </w:pPr>
            <w:r>
              <w:rPr>
                <w:rFonts w:ascii="Arial" w:cs="Arial" w:eastAsia="Arial" w:hAnsi="Arial"/>
                <w:sz w:val="16"/>
                <w:szCs w:val="16"/>
                <w:color w:val="0D0E10"/>
                <w:w w:val="99"/>
              </w:rPr>
              <w:t>—</w:t>
            </w:r>
          </w:p>
        </w:tc>
        <w:tc>
          <w:tcPr>
            <w:tcW w:w="2120" w:type="dxa"/>
            <w:vAlign w:val="bottom"/>
          </w:tcPr>
          <w:p>
            <w:pPr>
              <w:jc w:val="center"/>
              <w:ind w:right="159"/>
              <w:spacing w:after="0"/>
              <w:rPr>
                <w:sz w:val="20"/>
                <w:szCs w:val="20"/>
                <w:color w:val="auto"/>
              </w:rPr>
            </w:pPr>
            <w:r>
              <w:rPr>
                <w:rFonts w:ascii="Arial" w:cs="Arial" w:eastAsia="Arial" w:hAnsi="Arial"/>
                <w:sz w:val="16"/>
                <w:szCs w:val="16"/>
                <w:color w:val="0D0E10"/>
                <w:w w:val="89"/>
              </w:rPr>
              <w:t>1</w:t>
            </w:r>
          </w:p>
        </w:tc>
        <w:tc>
          <w:tcPr>
            <w:tcW w:w="0" w:type="dxa"/>
            <w:vAlign w:val="bottom"/>
          </w:tcPr>
          <w:p>
            <w:pPr>
              <w:spacing w:after="0"/>
              <w:rPr>
                <w:sz w:val="1"/>
                <w:szCs w:val="1"/>
                <w:color w:val="auto"/>
              </w:rPr>
            </w:pPr>
          </w:p>
        </w:tc>
      </w:tr>
      <w:tr>
        <w:trPr>
          <w:trHeight w:val="110"/>
        </w:trPr>
        <w:tc>
          <w:tcPr>
            <w:tcW w:w="286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2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0D0E10"/>
              </w:rPr>
              <w:t>2024</w:t>
            </w:r>
          </w:p>
        </w:tc>
        <w:tc>
          <w:tcPr>
            <w:tcW w:w="1820" w:type="dxa"/>
            <w:vAlign w:val="bottom"/>
          </w:tcPr>
          <w:p>
            <w:pPr>
              <w:jc w:val="center"/>
              <w:spacing w:after="0"/>
              <w:rPr>
                <w:sz w:val="20"/>
                <w:szCs w:val="20"/>
                <w:color w:val="auto"/>
              </w:rPr>
            </w:pPr>
            <w:r>
              <w:rPr>
                <w:rFonts w:ascii="Arial" w:cs="Arial" w:eastAsia="Arial" w:hAnsi="Arial"/>
                <w:sz w:val="16"/>
                <w:szCs w:val="16"/>
                <w:color w:val="0D0E10"/>
              </w:rPr>
              <w:t>710,000</w:t>
            </w:r>
          </w:p>
        </w:tc>
        <w:tc>
          <w:tcPr>
            <w:tcW w:w="1660" w:type="dxa"/>
            <w:vAlign w:val="bottom"/>
            <w:gridSpan w:val="2"/>
          </w:tcPr>
          <w:p>
            <w:pPr>
              <w:jc w:val="center"/>
              <w:ind w:left="619"/>
              <w:spacing w:after="0"/>
              <w:rPr>
                <w:sz w:val="20"/>
                <w:szCs w:val="20"/>
                <w:color w:val="auto"/>
              </w:rPr>
            </w:pPr>
            <w:r>
              <w:rPr>
                <w:rFonts w:ascii="Arial" w:cs="Arial" w:eastAsia="Arial" w:hAnsi="Arial"/>
                <w:sz w:val="16"/>
                <w:szCs w:val="16"/>
                <w:color w:val="0D0E10"/>
              </w:rPr>
              <w:t>4,137,810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jc w:val="center"/>
              <w:ind w:right="159"/>
              <w:spacing w:after="0"/>
              <w:rPr>
                <w:sz w:val="20"/>
                <w:szCs w:val="20"/>
                <w:color w:val="auto"/>
              </w:rPr>
            </w:pPr>
            <w:r>
              <w:rPr>
                <w:rFonts w:ascii="Arial" w:cs="Arial" w:eastAsia="Arial" w:hAnsi="Arial"/>
                <w:sz w:val="16"/>
                <w:szCs w:val="16"/>
                <w:color w:val="auto"/>
              </w:rPr>
              <w:t>4,847,810</w:t>
            </w:r>
          </w:p>
        </w:tc>
        <w:tc>
          <w:tcPr>
            <w:tcW w:w="0" w:type="dxa"/>
            <w:vAlign w:val="bottom"/>
          </w:tcPr>
          <w:p>
            <w:pPr>
              <w:spacing w:after="0"/>
              <w:rPr>
                <w:sz w:val="1"/>
                <w:szCs w:val="1"/>
                <w:color w:val="auto"/>
              </w:rPr>
            </w:pPr>
          </w:p>
        </w:tc>
      </w:tr>
      <w:tr>
        <w:trPr>
          <w:trHeight w:val="110"/>
        </w:trPr>
        <w:tc>
          <w:tcPr>
            <w:tcW w:w="2860" w:type="dxa"/>
            <w:vAlign w:val="bottom"/>
            <w:vMerge w:val="restart"/>
          </w:tcPr>
          <w:p>
            <w:pPr>
              <w:ind w:left="100"/>
              <w:spacing w:after="0"/>
              <w:rPr>
                <w:sz w:val="20"/>
                <w:szCs w:val="20"/>
                <w:color w:val="auto"/>
              </w:rPr>
            </w:pPr>
            <w:r>
              <w:rPr>
                <w:rFonts w:ascii="Arial" w:cs="Arial" w:eastAsia="Arial" w:hAnsi="Arial"/>
                <w:sz w:val="16"/>
                <w:szCs w:val="16"/>
                <w:b w:val="1"/>
                <w:bCs w:val="1"/>
                <w:color w:val="0D0E10"/>
              </w:rPr>
              <w:t>Tim Wan</w:t>
            </w: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60" w:type="dxa"/>
            <w:vAlign w:val="bottom"/>
            <w:vMerge w:val="continue"/>
          </w:tcPr>
          <w:p>
            <w:pPr>
              <w:spacing w:after="0"/>
              <w:rPr>
                <w:sz w:val="15"/>
                <w:szCs w:val="15"/>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color w:val="0D0E10"/>
              </w:rPr>
              <w:t>2023</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rPr>
              <w:t>706,667</w:t>
            </w:r>
          </w:p>
        </w:tc>
        <w:tc>
          <w:tcPr>
            <w:tcW w:w="1660" w:type="dxa"/>
            <w:vAlign w:val="bottom"/>
            <w:gridSpan w:val="2"/>
            <w:vMerge w:val="restart"/>
          </w:tcPr>
          <w:p>
            <w:pPr>
              <w:jc w:val="center"/>
              <w:ind w:left="619"/>
              <w:spacing w:after="0"/>
              <w:rPr>
                <w:sz w:val="20"/>
                <w:szCs w:val="20"/>
                <w:color w:val="auto"/>
              </w:rPr>
            </w:pPr>
            <w:r>
              <w:rPr>
                <w:rFonts w:ascii="Arial" w:cs="Arial" w:eastAsia="Arial" w:hAnsi="Arial"/>
                <w:sz w:val="16"/>
                <w:szCs w:val="16"/>
                <w:color w:val="0D0E10"/>
              </w:rPr>
              <w:t>3,749,507</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vMerge w:val="restart"/>
          </w:tcPr>
          <w:p>
            <w:pPr>
              <w:jc w:val="center"/>
              <w:ind w:right="159"/>
              <w:spacing w:after="0"/>
              <w:rPr>
                <w:sz w:val="20"/>
                <w:szCs w:val="20"/>
                <w:color w:val="auto"/>
              </w:rPr>
            </w:pPr>
            <w:r>
              <w:rPr>
                <w:rFonts w:ascii="Arial" w:cs="Arial" w:eastAsia="Arial" w:hAnsi="Arial"/>
                <w:sz w:val="16"/>
                <w:szCs w:val="16"/>
                <w:color w:val="auto"/>
              </w:rPr>
              <w:t>4,456,174</w:t>
            </w:r>
          </w:p>
        </w:tc>
        <w:tc>
          <w:tcPr>
            <w:tcW w:w="0" w:type="dxa"/>
            <w:vAlign w:val="bottom"/>
          </w:tcPr>
          <w:p>
            <w:pPr>
              <w:spacing w:after="0"/>
              <w:rPr>
                <w:sz w:val="1"/>
                <w:szCs w:val="1"/>
                <w:color w:val="auto"/>
              </w:rPr>
            </w:pPr>
          </w:p>
        </w:tc>
      </w:tr>
      <w:tr>
        <w:trPr>
          <w:trHeight w:val="118"/>
        </w:trPr>
        <w:tc>
          <w:tcPr>
            <w:tcW w:w="286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Chief Financial Officer</w:t>
            </w:r>
          </w:p>
        </w:tc>
        <w:tc>
          <w:tcPr>
            <w:tcW w:w="212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60" w:type="dxa"/>
            <w:vAlign w:val="bottom"/>
            <w:vMerge w:val="continue"/>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0D0E10"/>
              </w:rPr>
              <w:t>2022</w:t>
            </w:r>
          </w:p>
        </w:tc>
        <w:tc>
          <w:tcPr>
            <w:tcW w:w="1820" w:type="dxa"/>
            <w:vAlign w:val="bottom"/>
          </w:tcPr>
          <w:p>
            <w:pPr>
              <w:jc w:val="center"/>
              <w:spacing w:after="0"/>
              <w:rPr>
                <w:sz w:val="20"/>
                <w:szCs w:val="20"/>
                <w:color w:val="auto"/>
              </w:rPr>
            </w:pPr>
            <w:r>
              <w:rPr>
                <w:rFonts w:ascii="Arial" w:cs="Arial" w:eastAsia="Arial" w:hAnsi="Arial"/>
                <w:sz w:val="16"/>
                <w:szCs w:val="16"/>
                <w:color w:val="0D0E10"/>
              </w:rPr>
              <w:t>660,083</w:t>
            </w:r>
          </w:p>
        </w:tc>
        <w:tc>
          <w:tcPr>
            <w:tcW w:w="1660" w:type="dxa"/>
            <w:vAlign w:val="bottom"/>
            <w:gridSpan w:val="2"/>
          </w:tcPr>
          <w:p>
            <w:pPr>
              <w:jc w:val="center"/>
              <w:ind w:left="619"/>
              <w:spacing w:after="0"/>
              <w:rPr>
                <w:sz w:val="20"/>
                <w:szCs w:val="20"/>
                <w:color w:val="auto"/>
              </w:rPr>
            </w:pPr>
            <w:r>
              <w:rPr>
                <w:rFonts w:ascii="Arial" w:cs="Arial" w:eastAsia="Arial" w:hAnsi="Arial"/>
                <w:sz w:val="16"/>
                <w:szCs w:val="16"/>
                <w:color w:val="0D0E10"/>
              </w:rPr>
              <w:t>3,829,170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jc w:val="center"/>
              <w:ind w:right="159"/>
              <w:spacing w:after="0"/>
              <w:rPr>
                <w:sz w:val="20"/>
                <w:szCs w:val="20"/>
                <w:color w:val="auto"/>
              </w:rPr>
            </w:pPr>
            <w:r>
              <w:rPr>
                <w:rFonts w:ascii="Arial" w:cs="Arial" w:eastAsia="Arial" w:hAnsi="Arial"/>
                <w:sz w:val="16"/>
                <w:szCs w:val="16"/>
                <w:color w:val="auto"/>
              </w:rPr>
              <w:t>4,489,253</w:t>
            </w:r>
          </w:p>
        </w:tc>
        <w:tc>
          <w:tcPr>
            <w:tcW w:w="0" w:type="dxa"/>
            <w:vAlign w:val="bottom"/>
          </w:tcPr>
          <w:p>
            <w:pPr>
              <w:spacing w:after="0"/>
              <w:rPr>
                <w:sz w:val="1"/>
                <w:szCs w:val="1"/>
                <w:color w:val="auto"/>
              </w:rPr>
            </w:pPr>
          </w:p>
        </w:tc>
      </w:tr>
      <w:tr>
        <w:trPr>
          <w:trHeight w:val="110"/>
        </w:trPr>
        <w:tc>
          <w:tcPr>
            <w:tcW w:w="286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2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0D0E10"/>
              </w:rPr>
              <w:t>2024</w:t>
            </w:r>
          </w:p>
        </w:tc>
        <w:tc>
          <w:tcPr>
            <w:tcW w:w="1820" w:type="dxa"/>
            <w:vAlign w:val="bottom"/>
          </w:tcPr>
          <w:p>
            <w:pPr>
              <w:jc w:val="center"/>
              <w:spacing w:after="0"/>
              <w:rPr>
                <w:sz w:val="20"/>
                <w:szCs w:val="20"/>
                <w:color w:val="auto"/>
              </w:rPr>
            </w:pPr>
            <w:r>
              <w:rPr>
                <w:rFonts w:ascii="Arial" w:cs="Arial" w:eastAsia="Arial" w:hAnsi="Arial"/>
                <w:sz w:val="16"/>
                <w:szCs w:val="16"/>
                <w:color w:val="0D0E10"/>
              </w:rPr>
              <w:t>525,000</w:t>
            </w:r>
          </w:p>
        </w:tc>
        <w:tc>
          <w:tcPr>
            <w:tcW w:w="1660" w:type="dxa"/>
            <w:vAlign w:val="bottom"/>
            <w:gridSpan w:val="2"/>
          </w:tcPr>
          <w:p>
            <w:pPr>
              <w:jc w:val="center"/>
              <w:ind w:left="619"/>
              <w:spacing w:after="0"/>
              <w:rPr>
                <w:sz w:val="20"/>
                <w:szCs w:val="20"/>
                <w:color w:val="auto"/>
              </w:rPr>
            </w:pPr>
            <w:r>
              <w:rPr>
                <w:rFonts w:ascii="Arial" w:cs="Arial" w:eastAsia="Arial" w:hAnsi="Arial"/>
                <w:sz w:val="16"/>
                <w:szCs w:val="16"/>
                <w:color w:val="0D0E10"/>
              </w:rPr>
              <w:t>1,697,565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jc w:val="center"/>
              <w:ind w:right="159"/>
              <w:spacing w:after="0"/>
              <w:rPr>
                <w:sz w:val="20"/>
                <w:szCs w:val="20"/>
                <w:color w:val="auto"/>
              </w:rPr>
            </w:pPr>
            <w:r>
              <w:rPr>
                <w:rFonts w:ascii="Arial" w:cs="Arial" w:eastAsia="Arial" w:hAnsi="Arial"/>
                <w:sz w:val="16"/>
                <w:szCs w:val="16"/>
                <w:color w:val="auto"/>
              </w:rPr>
              <w:t>2,222,565</w:t>
            </w:r>
          </w:p>
        </w:tc>
        <w:tc>
          <w:tcPr>
            <w:tcW w:w="0" w:type="dxa"/>
            <w:vAlign w:val="bottom"/>
          </w:tcPr>
          <w:p>
            <w:pPr>
              <w:spacing w:after="0"/>
              <w:rPr>
                <w:sz w:val="1"/>
                <w:szCs w:val="1"/>
                <w:color w:val="auto"/>
              </w:rPr>
            </w:pPr>
          </w:p>
        </w:tc>
      </w:tr>
      <w:tr>
        <w:trPr>
          <w:trHeight w:val="110"/>
        </w:trPr>
        <w:tc>
          <w:tcPr>
            <w:tcW w:w="2860" w:type="dxa"/>
            <w:vAlign w:val="bottom"/>
            <w:vMerge w:val="restart"/>
          </w:tcPr>
          <w:p>
            <w:pPr>
              <w:ind w:left="100"/>
              <w:spacing w:after="0"/>
              <w:rPr>
                <w:sz w:val="20"/>
                <w:szCs w:val="20"/>
                <w:color w:val="auto"/>
              </w:rPr>
            </w:pPr>
            <w:r>
              <w:rPr>
                <w:rFonts w:ascii="Arial" w:cs="Arial" w:eastAsia="Arial" w:hAnsi="Arial"/>
                <w:sz w:val="16"/>
                <w:szCs w:val="16"/>
                <w:b w:val="1"/>
                <w:bCs w:val="1"/>
                <w:color w:val="0D0E10"/>
              </w:rPr>
              <w:t>Eleanor Lacey</w:t>
            </w: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86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color w:val="0D0E10"/>
              </w:rPr>
              <w:t>2023</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rPr>
              <w:t>522,500</w:t>
            </w:r>
          </w:p>
        </w:tc>
        <w:tc>
          <w:tcPr>
            <w:tcW w:w="1660" w:type="dxa"/>
            <w:vAlign w:val="bottom"/>
            <w:gridSpan w:val="2"/>
            <w:vMerge w:val="restart"/>
          </w:tcPr>
          <w:p>
            <w:pPr>
              <w:jc w:val="center"/>
              <w:ind w:left="619"/>
              <w:spacing w:after="0"/>
              <w:rPr>
                <w:sz w:val="20"/>
                <w:szCs w:val="20"/>
                <w:color w:val="auto"/>
              </w:rPr>
            </w:pPr>
            <w:r>
              <w:rPr>
                <w:rFonts w:ascii="Arial" w:cs="Arial" w:eastAsia="Arial" w:hAnsi="Arial"/>
                <w:sz w:val="16"/>
                <w:szCs w:val="16"/>
                <w:color w:val="0D0E10"/>
              </w:rPr>
              <w:t>1,501,775</w:t>
            </w: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vMerge w:val="restart"/>
          </w:tcPr>
          <w:p>
            <w:pPr>
              <w:jc w:val="center"/>
              <w:ind w:right="159"/>
              <w:spacing w:after="0"/>
              <w:rPr>
                <w:sz w:val="20"/>
                <w:szCs w:val="20"/>
                <w:color w:val="auto"/>
              </w:rPr>
            </w:pPr>
            <w:r>
              <w:rPr>
                <w:rFonts w:ascii="Arial" w:cs="Arial" w:eastAsia="Arial" w:hAnsi="Arial"/>
                <w:sz w:val="16"/>
                <w:szCs w:val="16"/>
                <w:color w:val="auto"/>
              </w:rPr>
              <w:t>2,024,275</w:t>
            </w:r>
          </w:p>
        </w:tc>
        <w:tc>
          <w:tcPr>
            <w:tcW w:w="0" w:type="dxa"/>
            <w:vAlign w:val="bottom"/>
          </w:tcPr>
          <w:p>
            <w:pPr>
              <w:spacing w:after="0"/>
              <w:rPr>
                <w:sz w:val="1"/>
                <w:szCs w:val="1"/>
                <w:color w:val="auto"/>
              </w:rPr>
            </w:pPr>
          </w:p>
        </w:tc>
      </w:tr>
      <w:tr>
        <w:trPr>
          <w:trHeight w:val="203"/>
        </w:trPr>
        <w:tc>
          <w:tcPr>
            <w:tcW w:w="2860" w:type="dxa"/>
            <w:vAlign w:val="bottom"/>
          </w:tcPr>
          <w:p>
            <w:pPr>
              <w:ind w:left="100"/>
              <w:spacing w:after="0"/>
              <w:rPr>
                <w:sz w:val="20"/>
                <w:szCs w:val="20"/>
                <w:color w:val="auto"/>
              </w:rPr>
            </w:pPr>
            <w:r>
              <w:rPr>
                <w:rFonts w:ascii="Arial" w:cs="Arial" w:eastAsia="Arial" w:hAnsi="Arial"/>
                <w:sz w:val="16"/>
                <w:szCs w:val="16"/>
                <w:i w:val="1"/>
                <w:iCs w:val="1"/>
                <w:color w:val="0D0E10"/>
              </w:rPr>
              <w:t>General Counsel &amp; Corporate</w:t>
            </w:r>
          </w:p>
        </w:tc>
        <w:tc>
          <w:tcPr>
            <w:tcW w:w="212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86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Secretary</w:t>
            </w:r>
          </w:p>
        </w:tc>
        <w:tc>
          <w:tcPr>
            <w:tcW w:w="2120" w:type="dxa"/>
            <w:vAlign w:val="bottom"/>
            <w:tcBorders>
              <w:bottom w:val="single" w:sz="8" w:color="A5A4A3"/>
            </w:tcBorders>
          </w:tcPr>
          <w:p>
            <w:pPr>
              <w:spacing w:after="0"/>
              <w:rPr>
                <w:sz w:val="10"/>
                <w:szCs w:val="10"/>
                <w:color w:val="auto"/>
              </w:rPr>
            </w:pPr>
          </w:p>
        </w:tc>
        <w:tc>
          <w:tcPr>
            <w:tcW w:w="1820" w:type="dxa"/>
            <w:vAlign w:val="bottom"/>
            <w:tcBorders>
              <w:bottom w:val="single" w:sz="8" w:color="A5A4A3"/>
            </w:tcBorders>
          </w:tcPr>
          <w:p>
            <w:pPr>
              <w:spacing w:after="0"/>
              <w:rPr>
                <w:sz w:val="10"/>
                <w:szCs w:val="10"/>
                <w:color w:val="auto"/>
              </w:rPr>
            </w:pPr>
          </w:p>
        </w:tc>
        <w:tc>
          <w:tcPr>
            <w:tcW w:w="600" w:type="dxa"/>
            <w:vAlign w:val="bottom"/>
            <w:tcBorders>
              <w:bottom w:val="single" w:sz="8" w:color="A5A4A3"/>
            </w:tcBorders>
          </w:tcPr>
          <w:p>
            <w:pPr>
              <w:spacing w:after="0"/>
              <w:rPr>
                <w:sz w:val="10"/>
                <w:szCs w:val="10"/>
                <w:color w:val="auto"/>
              </w:rPr>
            </w:pPr>
          </w:p>
        </w:tc>
        <w:tc>
          <w:tcPr>
            <w:tcW w:w="1060" w:type="dxa"/>
            <w:vAlign w:val="bottom"/>
            <w:tcBorders>
              <w:bottom w:val="single" w:sz="8" w:color="A5A4A3"/>
            </w:tcBorders>
          </w:tcPr>
          <w:p>
            <w:pPr>
              <w:spacing w:after="0"/>
              <w:rPr>
                <w:sz w:val="10"/>
                <w:szCs w:val="10"/>
                <w:color w:val="auto"/>
              </w:rPr>
            </w:pPr>
          </w:p>
        </w:tc>
        <w:tc>
          <w:tcPr>
            <w:tcW w:w="120" w:type="dxa"/>
            <w:vAlign w:val="bottom"/>
            <w:tcBorders>
              <w:bottom w:val="single" w:sz="8" w:color="A5A4A3"/>
            </w:tcBorders>
          </w:tcPr>
          <w:p>
            <w:pPr>
              <w:spacing w:after="0"/>
              <w:rPr>
                <w:sz w:val="10"/>
                <w:szCs w:val="10"/>
                <w:color w:val="auto"/>
              </w:rPr>
            </w:pPr>
          </w:p>
        </w:tc>
        <w:tc>
          <w:tcPr>
            <w:tcW w:w="540" w:type="dxa"/>
            <w:vAlign w:val="bottom"/>
            <w:tcBorders>
              <w:bottom w:val="single" w:sz="8" w:color="A5A4A3"/>
            </w:tcBorders>
          </w:tcPr>
          <w:p>
            <w:pPr>
              <w:spacing w:after="0"/>
              <w:rPr>
                <w:sz w:val="10"/>
                <w:szCs w:val="10"/>
                <w:color w:val="auto"/>
              </w:rPr>
            </w:pPr>
          </w:p>
        </w:tc>
        <w:tc>
          <w:tcPr>
            <w:tcW w:w="2120" w:type="dxa"/>
            <w:vAlign w:val="bottom"/>
            <w:tcBorders>
              <w:bottom w:val="single" w:sz="8" w:color="A5A4A3"/>
            </w:tcBorders>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860" w:type="dxa"/>
            <w:vAlign w:val="bottom"/>
            <w:vMerge w:val="continue"/>
          </w:tcPr>
          <w:p>
            <w:pPr>
              <w:spacing w:after="0"/>
              <w:rPr>
                <w:sz w:val="6"/>
                <w:szCs w:val="6"/>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color w:val="0D0E10"/>
              </w:rPr>
              <w:t>2022</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rPr>
              <w:t>494,083</w:t>
            </w:r>
          </w:p>
        </w:tc>
        <w:tc>
          <w:tcPr>
            <w:tcW w:w="1660" w:type="dxa"/>
            <w:vAlign w:val="bottom"/>
            <w:gridSpan w:val="2"/>
            <w:vMerge w:val="restart"/>
          </w:tcPr>
          <w:p>
            <w:pPr>
              <w:jc w:val="center"/>
              <w:ind w:left="619"/>
              <w:spacing w:after="0"/>
              <w:rPr>
                <w:sz w:val="20"/>
                <w:szCs w:val="20"/>
                <w:color w:val="auto"/>
              </w:rPr>
            </w:pPr>
            <w:r>
              <w:rPr>
                <w:rFonts w:ascii="Arial" w:cs="Arial" w:eastAsia="Arial" w:hAnsi="Arial"/>
                <w:sz w:val="16"/>
                <w:szCs w:val="16"/>
                <w:color w:val="0D0E10"/>
              </w:rPr>
              <w:t>1,440,330</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120" w:type="dxa"/>
            <w:vAlign w:val="bottom"/>
            <w:vMerge w:val="restart"/>
          </w:tcPr>
          <w:p>
            <w:pPr>
              <w:jc w:val="center"/>
              <w:ind w:right="159"/>
              <w:spacing w:after="0"/>
              <w:rPr>
                <w:sz w:val="20"/>
                <w:szCs w:val="20"/>
                <w:color w:val="auto"/>
              </w:rPr>
            </w:pPr>
            <w:r>
              <w:rPr>
                <w:rFonts w:ascii="Arial" w:cs="Arial" w:eastAsia="Arial" w:hAnsi="Arial"/>
                <w:sz w:val="16"/>
                <w:szCs w:val="16"/>
                <w:color w:val="auto"/>
              </w:rPr>
              <w:t>1,934,413</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86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2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0D0E10"/>
              </w:rPr>
              <w:t>2024</w:t>
            </w:r>
          </w:p>
        </w:tc>
        <w:tc>
          <w:tcPr>
            <w:tcW w:w="1820" w:type="dxa"/>
            <w:vAlign w:val="bottom"/>
          </w:tcPr>
          <w:p>
            <w:pPr>
              <w:jc w:val="center"/>
              <w:spacing w:after="0"/>
              <w:rPr>
                <w:sz w:val="20"/>
                <w:szCs w:val="20"/>
                <w:color w:val="auto"/>
              </w:rPr>
            </w:pPr>
            <w:r>
              <w:rPr>
                <w:rFonts w:ascii="Arial" w:cs="Arial" w:eastAsia="Arial" w:hAnsi="Arial"/>
                <w:sz w:val="16"/>
                <w:szCs w:val="16"/>
                <w:color w:val="0D0E10"/>
              </w:rPr>
              <w:t>750,000</w:t>
            </w:r>
          </w:p>
        </w:tc>
        <w:tc>
          <w:tcPr>
            <w:tcW w:w="1660" w:type="dxa"/>
            <w:vAlign w:val="bottom"/>
            <w:gridSpan w:val="2"/>
          </w:tcPr>
          <w:p>
            <w:pPr>
              <w:jc w:val="center"/>
              <w:ind w:left="619"/>
              <w:spacing w:after="0"/>
              <w:rPr>
                <w:sz w:val="20"/>
                <w:szCs w:val="20"/>
                <w:color w:val="auto"/>
              </w:rPr>
            </w:pPr>
            <w:r>
              <w:rPr>
                <w:rFonts w:ascii="Arial" w:cs="Arial" w:eastAsia="Arial" w:hAnsi="Arial"/>
                <w:sz w:val="16"/>
                <w:szCs w:val="16"/>
                <w:color w:val="0D0E10"/>
              </w:rPr>
              <w:t>4,137,810</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jc w:val="center"/>
              <w:ind w:right="159"/>
              <w:spacing w:after="0"/>
              <w:rPr>
                <w:sz w:val="20"/>
                <w:szCs w:val="20"/>
                <w:color w:val="auto"/>
              </w:rPr>
            </w:pPr>
            <w:r>
              <w:rPr>
                <w:rFonts w:ascii="Arial" w:cs="Arial" w:eastAsia="Arial" w:hAnsi="Arial"/>
                <w:sz w:val="16"/>
                <w:szCs w:val="16"/>
                <w:color w:val="0D0E10"/>
              </w:rPr>
              <w:t>4,887,810</w:t>
            </w:r>
          </w:p>
        </w:tc>
        <w:tc>
          <w:tcPr>
            <w:tcW w:w="0" w:type="dxa"/>
            <w:vAlign w:val="bottom"/>
          </w:tcPr>
          <w:p>
            <w:pPr>
              <w:spacing w:after="0"/>
              <w:rPr>
                <w:sz w:val="1"/>
                <w:szCs w:val="1"/>
                <w:color w:val="auto"/>
              </w:rPr>
            </w:pPr>
          </w:p>
        </w:tc>
      </w:tr>
      <w:tr>
        <w:trPr>
          <w:trHeight w:val="110"/>
        </w:trPr>
        <w:tc>
          <w:tcPr>
            <w:tcW w:w="2860" w:type="dxa"/>
            <w:vAlign w:val="bottom"/>
            <w:vMerge w:val="restart"/>
          </w:tcPr>
          <w:p>
            <w:pPr>
              <w:ind w:left="100"/>
              <w:spacing w:after="0"/>
              <w:rPr>
                <w:sz w:val="20"/>
                <w:szCs w:val="20"/>
                <w:color w:val="auto"/>
              </w:rPr>
            </w:pPr>
            <w:r>
              <w:rPr>
                <w:rFonts w:ascii="Arial" w:cs="Arial" w:eastAsia="Arial" w:hAnsi="Arial"/>
                <w:sz w:val="16"/>
                <w:szCs w:val="16"/>
                <w:b w:val="1"/>
                <w:bCs w:val="1"/>
                <w:color w:val="0D0E10"/>
              </w:rPr>
              <w:t>Anne Raimondi</w:t>
            </w: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60" w:type="dxa"/>
            <w:vAlign w:val="bottom"/>
            <w:vMerge w:val="continue"/>
          </w:tcPr>
          <w:p>
            <w:pPr>
              <w:spacing w:after="0"/>
              <w:rPr>
                <w:sz w:val="15"/>
                <w:szCs w:val="15"/>
                <w:color w:val="auto"/>
              </w:rPr>
            </w:pPr>
          </w:p>
        </w:tc>
        <w:tc>
          <w:tcPr>
            <w:tcW w:w="2120" w:type="dxa"/>
            <w:vAlign w:val="bottom"/>
            <w:vMerge w:val="restart"/>
          </w:tcPr>
          <w:p>
            <w:pPr>
              <w:jc w:val="center"/>
              <w:spacing w:after="0"/>
              <w:rPr>
                <w:sz w:val="20"/>
                <w:szCs w:val="20"/>
                <w:color w:val="auto"/>
              </w:rPr>
            </w:pPr>
            <w:r>
              <w:rPr>
                <w:rFonts w:ascii="Arial" w:cs="Arial" w:eastAsia="Arial" w:hAnsi="Arial"/>
                <w:sz w:val="16"/>
                <w:szCs w:val="16"/>
                <w:color w:val="0D0E10"/>
              </w:rPr>
              <w:t>2023</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0D0E10"/>
              </w:rPr>
              <w:t>745,833</w:t>
            </w:r>
          </w:p>
        </w:tc>
        <w:tc>
          <w:tcPr>
            <w:tcW w:w="1660" w:type="dxa"/>
            <w:vAlign w:val="bottom"/>
            <w:gridSpan w:val="2"/>
            <w:vMerge w:val="restart"/>
          </w:tcPr>
          <w:p>
            <w:pPr>
              <w:jc w:val="center"/>
              <w:ind w:left="619"/>
              <w:spacing w:after="0"/>
              <w:rPr>
                <w:sz w:val="20"/>
                <w:szCs w:val="20"/>
                <w:color w:val="auto"/>
              </w:rPr>
            </w:pPr>
            <w:r>
              <w:rPr>
                <w:rFonts w:ascii="Arial" w:cs="Arial" w:eastAsia="Arial" w:hAnsi="Arial"/>
                <w:sz w:val="16"/>
                <w:szCs w:val="16"/>
                <w:color w:val="0D0E10"/>
              </w:rPr>
              <w:t>3,280,199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20" w:type="dxa"/>
            <w:vAlign w:val="bottom"/>
            <w:vMerge w:val="restart"/>
          </w:tcPr>
          <w:p>
            <w:pPr>
              <w:jc w:val="center"/>
              <w:ind w:right="159"/>
              <w:spacing w:after="0"/>
              <w:rPr>
                <w:sz w:val="20"/>
                <w:szCs w:val="20"/>
                <w:color w:val="auto"/>
              </w:rPr>
            </w:pPr>
            <w:r>
              <w:rPr>
                <w:rFonts w:ascii="Arial" w:cs="Arial" w:eastAsia="Arial" w:hAnsi="Arial"/>
                <w:sz w:val="16"/>
                <w:szCs w:val="16"/>
                <w:color w:val="0D0E10"/>
              </w:rPr>
              <w:t>4,026,032</w:t>
            </w:r>
          </w:p>
        </w:tc>
        <w:tc>
          <w:tcPr>
            <w:tcW w:w="0" w:type="dxa"/>
            <w:vAlign w:val="bottom"/>
          </w:tcPr>
          <w:p>
            <w:pPr>
              <w:spacing w:after="0"/>
              <w:rPr>
                <w:sz w:val="1"/>
                <w:szCs w:val="1"/>
                <w:color w:val="auto"/>
              </w:rPr>
            </w:pPr>
          </w:p>
        </w:tc>
      </w:tr>
      <w:tr>
        <w:trPr>
          <w:trHeight w:val="118"/>
        </w:trPr>
        <w:tc>
          <w:tcPr>
            <w:tcW w:w="2860" w:type="dxa"/>
            <w:vAlign w:val="bottom"/>
            <w:vMerge w:val="restart"/>
          </w:tcPr>
          <w:p>
            <w:pPr>
              <w:ind w:left="100"/>
              <w:spacing w:after="0"/>
              <w:rPr>
                <w:sz w:val="20"/>
                <w:szCs w:val="20"/>
                <w:color w:val="auto"/>
              </w:rPr>
            </w:pPr>
            <w:r>
              <w:rPr>
                <w:rFonts w:ascii="Arial" w:cs="Arial" w:eastAsia="Arial" w:hAnsi="Arial"/>
                <w:sz w:val="16"/>
                <w:szCs w:val="16"/>
                <w:i w:val="1"/>
                <w:iCs w:val="1"/>
                <w:color w:val="0D0E10"/>
              </w:rPr>
              <w:t>Chief Operating Officer</w:t>
            </w:r>
          </w:p>
        </w:tc>
        <w:tc>
          <w:tcPr>
            <w:tcW w:w="212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60" w:type="dxa"/>
            <w:vAlign w:val="bottom"/>
            <w:vMerge w:val="continue"/>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1820" w:type="dxa"/>
            <w:vAlign w:val="bottom"/>
            <w:tcBorders>
              <w:bottom w:val="single" w:sz="8" w:color="A5A4A3"/>
            </w:tcBorders>
          </w:tcPr>
          <w:p>
            <w:pPr>
              <w:spacing w:after="0"/>
              <w:rPr>
                <w:sz w:val="9"/>
                <w:szCs w:val="9"/>
                <w:color w:val="auto"/>
              </w:rPr>
            </w:pPr>
          </w:p>
        </w:tc>
        <w:tc>
          <w:tcPr>
            <w:tcW w:w="600" w:type="dxa"/>
            <w:vAlign w:val="bottom"/>
            <w:tcBorders>
              <w:bottom w:val="single" w:sz="8" w:color="A5A4A3"/>
            </w:tcBorders>
          </w:tcPr>
          <w:p>
            <w:pPr>
              <w:spacing w:after="0"/>
              <w:rPr>
                <w:sz w:val="9"/>
                <w:szCs w:val="9"/>
                <w:color w:val="auto"/>
              </w:rPr>
            </w:pPr>
          </w:p>
        </w:tc>
        <w:tc>
          <w:tcPr>
            <w:tcW w:w="1060" w:type="dxa"/>
            <w:vAlign w:val="bottom"/>
            <w:tcBorders>
              <w:bottom w:val="single" w:sz="8" w:color="A5A4A3"/>
            </w:tcBorders>
          </w:tcPr>
          <w:p>
            <w:pPr>
              <w:spacing w:after="0"/>
              <w:rPr>
                <w:sz w:val="9"/>
                <w:szCs w:val="9"/>
                <w:color w:val="auto"/>
              </w:rPr>
            </w:pPr>
          </w:p>
        </w:tc>
        <w:tc>
          <w:tcPr>
            <w:tcW w:w="120" w:type="dxa"/>
            <w:vAlign w:val="bottom"/>
            <w:tcBorders>
              <w:bottom w:val="single" w:sz="8" w:color="A5A4A3"/>
            </w:tcBorders>
          </w:tcPr>
          <w:p>
            <w:pPr>
              <w:spacing w:after="0"/>
              <w:rPr>
                <w:sz w:val="9"/>
                <w:szCs w:val="9"/>
                <w:color w:val="auto"/>
              </w:rPr>
            </w:pPr>
          </w:p>
        </w:tc>
        <w:tc>
          <w:tcPr>
            <w:tcW w:w="540" w:type="dxa"/>
            <w:vAlign w:val="bottom"/>
            <w:tcBorders>
              <w:bottom w:val="single" w:sz="8" w:color="A5A4A3"/>
            </w:tcBorders>
          </w:tcPr>
          <w:p>
            <w:pPr>
              <w:spacing w:after="0"/>
              <w:rPr>
                <w:sz w:val="9"/>
                <w:szCs w:val="9"/>
                <w:color w:val="auto"/>
              </w:rPr>
            </w:pPr>
          </w:p>
        </w:tc>
        <w:tc>
          <w:tcPr>
            <w:tcW w:w="2120" w:type="dxa"/>
            <w:vAlign w:val="bottom"/>
            <w:tcBorders>
              <w:bottom w:val="single" w:sz="8" w:color="A5A4A3"/>
            </w:tcBorders>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8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0D0E10"/>
              </w:rPr>
              <w:t>2022</w:t>
            </w:r>
          </w:p>
        </w:tc>
        <w:tc>
          <w:tcPr>
            <w:tcW w:w="1820" w:type="dxa"/>
            <w:vAlign w:val="bottom"/>
          </w:tcPr>
          <w:p>
            <w:pPr>
              <w:jc w:val="center"/>
              <w:spacing w:after="0"/>
              <w:rPr>
                <w:sz w:val="20"/>
                <w:szCs w:val="20"/>
                <w:color w:val="auto"/>
              </w:rPr>
            </w:pPr>
            <w:r>
              <w:rPr>
                <w:rFonts w:ascii="Arial" w:cs="Arial" w:eastAsia="Arial" w:hAnsi="Arial"/>
                <w:sz w:val="16"/>
                <w:szCs w:val="16"/>
                <w:color w:val="0D0E10"/>
              </w:rPr>
              <w:t>297,051</w:t>
            </w:r>
          </w:p>
        </w:tc>
        <w:tc>
          <w:tcPr>
            <w:tcW w:w="1660" w:type="dxa"/>
            <w:vAlign w:val="bottom"/>
            <w:gridSpan w:val="2"/>
          </w:tcPr>
          <w:p>
            <w:pPr>
              <w:jc w:val="center"/>
              <w:ind w:left="639"/>
              <w:spacing w:after="0"/>
              <w:rPr>
                <w:sz w:val="20"/>
                <w:szCs w:val="20"/>
                <w:color w:val="auto"/>
              </w:rPr>
            </w:pPr>
            <w:r>
              <w:rPr>
                <w:rFonts w:ascii="Arial" w:cs="Arial" w:eastAsia="Arial" w:hAnsi="Arial"/>
                <w:sz w:val="16"/>
                <w:szCs w:val="16"/>
                <w:color w:val="0D0E10"/>
                <w:w w:val="96"/>
              </w:rPr>
              <w:t>23,880,564</w:t>
            </w:r>
            <w:r>
              <w:rPr>
                <w:rFonts w:ascii="Arial" w:cs="Arial" w:eastAsia="Arial" w:hAnsi="Arial"/>
                <w:sz w:val="21"/>
                <w:szCs w:val="21"/>
                <w:color w:val="0D0E10"/>
                <w:w w:val="96"/>
                <w:vertAlign w:val="superscript"/>
              </w:rPr>
              <w:t>(2)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jc w:val="center"/>
              <w:ind w:right="159"/>
              <w:spacing w:after="0"/>
              <w:rPr>
                <w:sz w:val="20"/>
                <w:szCs w:val="20"/>
                <w:color w:val="auto"/>
              </w:rPr>
            </w:pPr>
            <w:r>
              <w:rPr>
                <w:rFonts w:ascii="Arial" w:cs="Arial" w:eastAsia="Arial" w:hAnsi="Arial"/>
                <w:sz w:val="16"/>
                <w:szCs w:val="16"/>
                <w:color w:val="0D0E10"/>
                <w:w w:val="99"/>
              </w:rPr>
              <w:t>24,177,615</w:t>
            </w:r>
          </w:p>
        </w:tc>
        <w:tc>
          <w:tcPr>
            <w:tcW w:w="0" w:type="dxa"/>
            <w:vAlign w:val="bottom"/>
          </w:tcPr>
          <w:p>
            <w:pPr>
              <w:spacing w:after="0"/>
              <w:rPr>
                <w:sz w:val="1"/>
                <w:szCs w:val="1"/>
                <w:color w:val="auto"/>
              </w:rPr>
            </w:pPr>
          </w:p>
        </w:tc>
      </w:tr>
      <w:tr>
        <w:trPr>
          <w:trHeight w:val="53"/>
        </w:trPr>
        <w:tc>
          <w:tcPr>
            <w:tcW w:w="2860" w:type="dxa"/>
            <w:vAlign w:val="bottom"/>
            <w:tcBorders>
              <w:bottom w:val="single" w:sz="8" w:color="A5A4A3"/>
            </w:tcBorders>
          </w:tcPr>
          <w:p>
            <w:pPr>
              <w:spacing w:after="0"/>
              <w:rPr>
                <w:sz w:val="4"/>
                <w:szCs w:val="4"/>
                <w:color w:val="auto"/>
              </w:rPr>
            </w:pPr>
          </w:p>
        </w:tc>
        <w:tc>
          <w:tcPr>
            <w:tcW w:w="2120" w:type="dxa"/>
            <w:vAlign w:val="bottom"/>
            <w:tcBorders>
              <w:bottom w:val="single" w:sz="8" w:color="A5A4A3"/>
            </w:tcBorders>
          </w:tcPr>
          <w:p>
            <w:pPr>
              <w:spacing w:after="0"/>
              <w:rPr>
                <w:sz w:val="4"/>
                <w:szCs w:val="4"/>
                <w:color w:val="auto"/>
              </w:rPr>
            </w:pPr>
          </w:p>
        </w:tc>
        <w:tc>
          <w:tcPr>
            <w:tcW w:w="1820" w:type="dxa"/>
            <w:vAlign w:val="bottom"/>
            <w:tcBorders>
              <w:bottom w:val="single" w:sz="8" w:color="A5A4A3"/>
            </w:tcBorders>
          </w:tcPr>
          <w:p>
            <w:pPr>
              <w:spacing w:after="0"/>
              <w:rPr>
                <w:sz w:val="4"/>
                <w:szCs w:val="4"/>
                <w:color w:val="auto"/>
              </w:rPr>
            </w:pPr>
          </w:p>
        </w:tc>
        <w:tc>
          <w:tcPr>
            <w:tcW w:w="600" w:type="dxa"/>
            <w:vAlign w:val="bottom"/>
            <w:tcBorders>
              <w:bottom w:val="single" w:sz="8" w:color="A5A4A3"/>
            </w:tcBorders>
          </w:tcPr>
          <w:p>
            <w:pPr>
              <w:spacing w:after="0"/>
              <w:rPr>
                <w:sz w:val="4"/>
                <w:szCs w:val="4"/>
                <w:color w:val="auto"/>
              </w:rPr>
            </w:pPr>
          </w:p>
        </w:tc>
        <w:tc>
          <w:tcPr>
            <w:tcW w:w="1060" w:type="dxa"/>
            <w:vAlign w:val="bottom"/>
            <w:tcBorders>
              <w:bottom w:val="single" w:sz="8" w:color="A5A4A3"/>
            </w:tcBorders>
          </w:tcPr>
          <w:p>
            <w:pPr>
              <w:spacing w:after="0"/>
              <w:rPr>
                <w:sz w:val="4"/>
                <w:szCs w:val="4"/>
                <w:color w:val="auto"/>
              </w:rPr>
            </w:pPr>
          </w:p>
        </w:tc>
        <w:tc>
          <w:tcPr>
            <w:tcW w:w="120" w:type="dxa"/>
            <w:vAlign w:val="bottom"/>
            <w:tcBorders>
              <w:bottom w:val="single" w:sz="8" w:color="A5A4A3"/>
            </w:tcBorders>
          </w:tcPr>
          <w:p>
            <w:pPr>
              <w:spacing w:after="0"/>
              <w:rPr>
                <w:sz w:val="4"/>
                <w:szCs w:val="4"/>
                <w:color w:val="auto"/>
              </w:rPr>
            </w:pPr>
          </w:p>
        </w:tc>
        <w:tc>
          <w:tcPr>
            <w:tcW w:w="540" w:type="dxa"/>
            <w:vAlign w:val="bottom"/>
            <w:tcBorders>
              <w:bottom w:val="single" w:sz="8" w:color="A5A4A3"/>
            </w:tcBorders>
          </w:tcPr>
          <w:p>
            <w:pPr>
              <w:spacing w:after="0"/>
              <w:rPr>
                <w:sz w:val="4"/>
                <w:szCs w:val="4"/>
                <w:color w:val="auto"/>
              </w:rPr>
            </w:pPr>
          </w:p>
        </w:tc>
        <w:tc>
          <w:tcPr>
            <w:tcW w:w="2120" w:type="dxa"/>
            <w:vAlign w:val="bottom"/>
            <w:tcBorders>
              <w:bottom w:val="single" w:sz="8" w:color="A5A4A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right="20" w:hanging="332"/>
        <w:spacing w:after="0" w:line="314" w:lineRule="auto"/>
        <w:tabs>
          <w:tab w:leader="none" w:pos="343" w:val="left"/>
        </w:tabs>
        <w:numPr>
          <w:ilvl w:val="0"/>
          <w:numId w:val="45"/>
        </w:numPr>
        <w:rPr>
          <w:rFonts w:ascii="Arial" w:cs="Arial" w:eastAsia="Arial" w:hAnsi="Arial"/>
          <w:sz w:val="13"/>
          <w:szCs w:val="13"/>
          <w:color w:val="0D0E10"/>
        </w:rPr>
      </w:pPr>
      <w:r>
        <w:rPr>
          <w:rFonts w:ascii="Arial" w:cs="Arial" w:eastAsia="Arial" w:hAnsi="Arial"/>
          <w:sz w:val="13"/>
          <w:szCs w:val="13"/>
          <w:color w:val="0D0E10"/>
        </w:rPr>
        <w:t>Amounts reported represent the aggregate grant date fair value of restricted stock unit awards and stock options granted under our 2020 Equity Incentive Plan in each respective fiscal year as determined in accordance with ASC Topic 718. These awards represent the right to receive shares of our Class A common stock and the grant date fair value is calculated based on the number of shares granted subject to the awards, multiplied by the closing price per share of our Class A common stock on the grant date. The assumptions used to calculate the grant date value of these awards are set forth in the notes to our consolidated financial statements included in our Annual Report on Form 10-K for the fiscal year ended January 31, 2024. These amounts do not reflect the actual economic value that may be realized by our named executive officers upon the vesting or settlement of the equity awards.</w:t>
      </w:r>
    </w:p>
    <w:p>
      <w:pPr>
        <w:spacing w:after="0" w:line="210" w:lineRule="exact"/>
        <w:rPr>
          <w:rFonts w:ascii="Arial" w:cs="Arial" w:eastAsia="Arial" w:hAnsi="Arial"/>
          <w:sz w:val="13"/>
          <w:szCs w:val="13"/>
          <w:color w:val="0D0E10"/>
        </w:rPr>
      </w:pPr>
    </w:p>
    <w:p>
      <w:pPr>
        <w:ind w:left="340" w:right="60" w:hanging="332"/>
        <w:spacing w:after="0" w:line="308" w:lineRule="auto"/>
        <w:tabs>
          <w:tab w:leader="none" w:pos="343" w:val="left"/>
        </w:tabs>
        <w:numPr>
          <w:ilvl w:val="0"/>
          <w:numId w:val="45"/>
        </w:numPr>
        <w:rPr>
          <w:rFonts w:ascii="Arial" w:cs="Arial" w:eastAsia="Arial" w:hAnsi="Arial"/>
          <w:sz w:val="13"/>
          <w:szCs w:val="13"/>
          <w:color w:val="0D0E10"/>
        </w:rPr>
      </w:pPr>
      <w:r>
        <w:rPr>
          <w:rFonts w:ascii="Arial" w:cs="Arial" w:eastAsia="Arial" w:hAnsi="Arial"/>
          <w:sz w:val="13"/>
          <w:szCs w:val="13"/>
          <w:color w:val="0D0E10"/>
        </w:rPr>
        <w:t>Represents (a) $23,670,474 for Ms. Raimondi’s grant of 174,961 RSUs on November 16, 2021 in connection with her appointment as our Chief Operating Officer on August 30, 2021 and (b) $210,090 in stock-based compensation paid to Ms. Raimondi for her service as a non-employee member of our Board prior to her appointment as our Chief Operating Officer. The number of RSUs granted to Ms. Raimondi in connection with her appointment as our Chief Operating Officer on August 30, 2021 was calculated by dividing (i) the target value of $10,410,000 selected by our Compensation Committee by (ii) $59.499, which was the average closing price of our Class A common stock for all trading days in July 2021, the month prior to her hire date ($68.39), less a 13% discount to recognize the lack of liquidity associated with the 1-year mandatory holding period applicable to her award. The value reported here represents the aggregate grant date fair value of the RSUs, which equals the total number of RSUs granted to Ms. Raimondi pursuant to the preceding formula (174,961) multiplied by the closing stock price of one share of our Class A common stock on November 16, 2021 ($135.29). The value reported here does not reflect either (a) the target value selected by our Compensation Committee or (b) the actual economic value that Ms. Raimondi may realize upon vesting and settlement of the RSUs. Since becoming an employee of Asana and resigning her directorship, Ms. Raimondi has not received any additional compensation for her services as a director, though under the terms of her director equity grants she continues to vest in the RSUs that were granted to her in her capacity as a director prior to her appointment as our Chief Operating Officer.</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51</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6" w:name="page57"/>
    <w:bookmarkEnd w:id="56"/>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Grants of Plan-Based Awards Table for Fiscal Year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80" w:type="dxa"/>
            <w:vAlign w:val="bottom"/>
            <w:shd w:val="clear" w:color="auto" w:fill="EEEBEA"/>
          </w:tcPr>
          <w:p>
            <w:pPr>
              <w:spacing w:after="0"/>
              <w:rPr>
                <w:sz w:val="18"/>
                <w:szCs w:val="18"/>
                <w:color w:val="auto"/>
              </w:rPr>
            </w:pPr>
          </w:p>
        </w:tc>
        <w:tc>
          <w:tcPr>
            <w:tcW w:w="2360" w:type="dxa"/>
            <w:vAlign w:val="bottom"/>
            <w:shd w:val="clear" w:color="auto" w:fill="EEEBEA"/>
          </w:tcPr>
          <w:p>
            <w:pPr>
              <w:spacing w:after="0"/>
              <w:rPr>
                <w:sz w:val="18"/>
                <w:szCs w:val="18"/>
                <w:color w:val="auto"/>
              </w:rPr>
            </w:pPr>
          </w:p>
        </w:tc>
        <w:tc>
          <w:tcPr>
            <w:tcW w:w="3440" w:type="dxa"/>
            <w:vAlign w:val="bottom"/>
            <w:shd w:val="clear" w:color="auto" w:fill="EEEBEA"/>
          </w:tcPr>
          <w:p>
            <w:pPr>
              <w:jc w:val="center"/>
              <w:ind w:left="319"/>
              <w:spacing w:after="0"/>
              <w:rPr>
                <w:sz w:val="20"/>
                <w:szCs w:val="20"/>
                <w:color w:val="auto"/>
              </w:rPr>
            </w:pPr>
            <w:r>
              <w:rPr>
                <w:rFonts w:ascii="Arial" w:cs="Arial" w:eastAsia="Arial" w:hAnsi="Arial"/>
                <w:sz w:val="16"/>
                <w:szCs w:val="16"/>
                <w:b w:val="1"/>
                <w:bCs w:val="1"/>
                <w:color w:val="F06A6A"/>
              </w:rPr>
              <w:t>All Other Stock Awards: Number of</w:t>
            </w:r>
          </w:p>
        </w:tc>
        <w:tc>
          <w:tcPr>
            <w:tcW w:w="2760" w:type="dxa"/>
            <w:vAlign w:val="bottom"/>
            <w:shd w:val="clear" w:color="auto" w:fill="EEEBEA"/>
          </w:tcPr>
          <w:p>
            <w:pPr>
              <w:jc w:val="center"/>
              <w:ind w:right="59"/>
              <w:spacing w:after="0"/>
              <w:rPr>
                <w:sz w:val="20"/>
                <w:szCs w:val="20"/>
                <w:color w:val="auto"/>
              </w:rPr>
            </w:pPr>
            <w:r>
              <w:rPr>
                <w:rFonts w:ascii="Arial" w:cs="Arial" w:eastAsia="Arial" w:hAnsi="Arial"/>
                <w:sz w:val="16"/>
                <w:szCs w:val="16"/>
                <w:b w:val="1"/>
                <w:bCs w:val="1"/>
                <w:color w:val="F06A6A"/>
              </w:rPr>
              <w:t>Grant Date Fair Value of Stock</w:t>
            </w:r>
          </w:p>
        </w:tc>
      </w:tr>
      <w:tr>
        <w:trPr>
          <w:trHeight w:val="216"/>
        </w:trPr>
        <w:tc>
          <w:tcPr>
            <w:tcW w:w="2680" w:type="dxa"/>
            <w:vAlign w:val="bottom"/>
            <w:shd w:val="clear" w:color="auto" w:fill="EEEBEA"/>
          </w:tcPr>
          <w:p>
            <w:pPr>
              <w:spacing w:after="0"/>
              <w:rPr>
                <w:sz w:val="18"/>
                <w:szCs w:val="18"/>
                <w:color w:val="auto"/>
              </w:rPr>
            </w:pPr>
          </w:p>
        </w:tc>
        <w:tc>
          <w:tcPr>
            <w:tcW w:w="2360" w:type="dxa"/>
            <w:vAlign w:val="bottom"/>
            <w:shd w:val="clear" w:color="auto" w:fill="EEEBEA"/>
          </w:tcPr>
          <w:p>
            <w:pPr>
              <w:spacing w:after="0"/>
              <w:rPr>
                <w:sz w:val="18"/>
                <w:szCs w:val="18"/>
                <w:color w:val="auto"/>
              </w:rPr>
            </w:pPr>
          </w:p>
        </w:tc>
        <w:tc>
          <w:tcPr>
            <w:tcW w:w="3440" w:type="dxa"/>
            <w:vAlign w:val="bottom"/>
            <w:shd w:val="clear" w:color="auto" w:fill="EEEBEA"/>
          </w:tcPr>
          <w:p>
            <w:pPr>
              <w:jc w:val="center"/>
              <w:ind w:left="319"/>
              <w:spacing w:after="0"/>
              <w:rPr>
                <w:sz w:val="20"/>
                <w:szCs w:val="20"/>
                <w:color w:val="auto"/>
              </w:rPr>
            </w:pPr>
            <w:r>
              <w:rPr>
                <w:rFonts w:ascii="Arial" w:cs="Arial" w:eastAsia="Arial" w:hAnsi="Arial"/>
                <w:sz w:val="16"/>
                <w:szCs w:val="16"/>
                <w:b w:val="1"/>
                <w:bCs w:val="1"/>
                <w:color w:val="F06A6A"/>
              </w:rPr>
              <w:t>Shares of Stock or Units</w:t>
            </w:r>
          </w:p>
        </w:tc>
        <w:tc>
          <w:tcPr>
            <w:tcW w:w="2760" w:type="dxa"/>
            <w:vAlign w:val="bottom"/>
            <w:shd w:val="clear" w:color="auto" w:fill="EEEBEA"/>
          </w:tcPr>
          <w:p>
            <w:pPr>
              <w:jc w:val="center"/>
              <w:ind w:right="79"/>
              <w:spacing w:after="0"/>
              <w:rPr>
                <w:sz w:val="20"/>
                <w:szCs w:val="20"/>
                <w:color w:val="auto"/>
              </w:rPr>
            </w:pPr>
            <w:r>
              <w:rPr>
                <w:rFonts w:ascii="Arial" w:cs="Arial" w:eastAsia="Arial" w:hAnsi="Arial"/>
                <w:sz w:val="16"/>
                <w:szCs w:val="16"/>
                <w:b w:val="1"/>
                <w:bCs w:val="1"/>
                <w:color w:val="F06A6A"/>
              </w:rPr>
              <w:t>and Option Awards</w:t>
            </w:r>
          </w:p>
        </w:tc>
      </w:tr>
      <w:tr>
        <w:trPr>
          <w:trHeight w:val="257"/>
        </w:trPr>
        <w:tc>
          <w:tcPr>
            <w:tcW w:w="268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w:t>
            </w:r>
          </w:p>
        </w:tc>
        <w:tc>
          <w:tcPr>
            <w:tcW w:w="2360" w:type="dxa"/>
            <w:vAlign w:val="bottom"/>
            <w:shd w:val="clear" w:color="auto" w:fill="EEEBEA"/>
          </w:tcPr>
          <w:p>
            <w:pPr>
              <w:ind w:left="980"/>
              <w:spacing w:after="0"/>
              <w:rPr>
                <w:sz w:val="20"/>
                <w:szCs w:val="20"/>
                <w:color w:val="auto"/>
              </w:rPr>
            </w:pPr>
            <w:r>
              <w:rPr>
                <w:rFonts w:ascii="Arial" w:cs="Arial" w:eastAsia="Arial" w:hAnsi="Arial"/>
                <w:sz w:val="16"/>
                <w:szCs w:val="16"/>
                <w:b w:val="1"/>
                <w:bCs w:val="1"/>
                <w:color w:val="F06A6A"/>
              </w:rPr>
              <w:t>Grant Date</w:t>
            </w:r>
          </w:p>
        </w:tc>
        <w:tc>
          <w:tcPr>
            <w:tcW w:w="3440" w:type="dxa"/>
            <w:vAlign w:val="bottom"/>
            <w:shd w:val="clear" w:color="auto" w:fill="EEEBEA"/>
          </w:tcPr>
          <w:p>
            <w:pPr>
              <w:jc w:val="center"/>
              <w:ind w:left="319"/>
              <w:spacing w:after="0"/>
              <w:rPr>
                <w:sz w:val="20"/>
                <w:szCs w:val="20"/>
                <w:color w:val="auto"/>
              </w:rPr>
            </w:pPr>
            <w:r>
              <w:rPr>
                <w:rFonts w:ascii="Arial" w:cs="Arial" w:eastAsia="Arial" w:hAnsi="Arial"/>
                <w:sz w:val="16"/>
                <w:szCs w:val="16"/>
                <w:b w:val="1"/>
                <w:bCs w:val="1"/>
                <w:color w:val="F06A6A"/>
              </w:rPr>
              <w:t>(#)</w:t>
            </w:r>
          </w:p>
        </w:tc>
        <w:tc>
          <w:tcPr>
            <w:tcW w:w="2760" w:type="dxa"/>
            <w:vAlign w:val="bottom"/>
            <w:shd w:val="clear" w:color="auto" w:fill="EEEBEA"/>
          </w:tcPr>
          <w:p>
            <w:pPr>
              <w:jc w:val="center"/>
              <w:ind w:right="59"/>
              <w:spacing w:after="0"/>
              <w:rPr>
                <w:sz w:val="20"/>
                <w:szCs w:val="20"/>
                <w:color w:val="auto"/>
              </w:rPr>
            </w:pPr>
            <w:r>
              <w:rPr>
                <w:rFonts w:ascii="Arial" w:cs="Arial" w:eastAsia="Arial" w:hAnsi="Arial"/>
                <w:sz w:val="16"/>
                <w:szCs w:val="16"/>
                <w:b w:val="1"/>
                <w:bCs w:val="1"/>
                <w:color w:val="F06A6A"/>
                <w:w w:val="92"/>
              </w:rPr>
              <w:t>($)</w:t>
            </w:r>
            <w:r>
              <w:rPr>
                <w:rFonts w:ascii="Arial" w:cs="Arial" w:eastAsia="Arial" w:hAnsi="Arial"/>
                <w:sz w:val="21"/>
                <w:szCs w:val="21"/>
                <w:b w:val="1"/>
                <w:bCs w:val="1"/>
                <w:color w:val="F06A6A"/>
                <w:w w:val="92"/>
                <w:vertAlign w:val="superscript"/>
              </w:rPr>
              <w:t>(1)</w:t>
            </w:r>
          </w:p>
        </w:tc>
      </w:tr>
      <w:tr>
        <w:trPr>
          <w:trHeight w:val="94"/>
        </w:trPr>
        <w:tc>
          <w:tcPr>
            <w:tcW w:w="2680" w:type="dxa"/>
            <w:vAlign w:val="bottom"/>
            <w:tcBorders>
              <w:bottom w:val="single" w:sz="8" w:color="A5A4A3"/>
            </w:tcBorders>
            <w:shd w:val="clear" w:color="auto" w:fill="EEEBEA"/>
          </w:tcPr>
          <w:p>
            <w:pPr>
              <w:spacing w:after="0"/>
              <w:rPr>
                <w:sz w:val="8"/>
                <w:szCs w:val="8"/>
                <w:color w:val="auto"/>
              </w:rPr>
            </w:pPr>
          </w:p>
        </w:tc>
        <w:tc>
          <w:tcPr>
            <w:tcW w:w="2360" w:type="dxa"/>
            <w:vAlign w:val="bottom"/>
            <w:tcBorders>
              <w:bottom w:val="single" w:sz="8" w:color="A5A4A3"/>
            </w:tcBorders>
            <w:shd w:val="clear" w:color="auto" w:fill="EEEBEA"/>
          </w:tcPr>
          <w:p>
            <w:pPr>
              <w:spacing w:after="0"/>
              <w:rPr>
                <w:sz w:val="8"/>
                <w:szCs w:val="8"/>
                <w:color w:val="auto"/>
              </w:rPr>
            </w:pPr>
          </w:p>
        </w:tc>
        <w:tc>
          <w:tcPr>
            <w:tcW w:w="3440" w:type="dxa"/>
            <w:vAlign w:val="bottom"/>
            <w:tcBorders>
              <w:bottom w:val="single" w:sz="8" w:color="A5A4A3"/>
            </w:tcBorders>
            <w:shd w:val="clear" w:color="auto" w:fill="EEEBEA"/>
          </w:tcPr>
          <w:p>
            <w:pPr>
              <w:spacing w:after="0"/>
              <w:rPr>
                <w:sz w:val="8"/>
                <w:szCs w:val="8"/>
                <w:color w:val="auto"/>
              </w:rPr>
            </w:pPr>
          </w:p>
        </w:tc>
        <w:tc>
          <w:tcPr>
            <w:tcW w:w="2760" w:type="dxa"/>
            <w:vAlign w:val="bottom"/>
            <w:tcBorders>
              <w:bottom w:val="single" w:sz="8" w:color="A5A4A3"/>
            </w:tcBorders>
            <w:shd w:val="clear" w:color="auto" w:fill="EEEBEA"/>
          </w:tcPr>
          <w:p>
            <w:pPr>
              <w:spacing w:after="0"/>
              <w:rPr>
                <w:sz w:val="8"/>
                <w:szCs w:val="8"/>
                <w:color w:val="auto"/>
              </w:rPr>
            </w:pPr>
          </w:p>
        </w:tc>
      </w:tr>
      <w:tr>
        <w:trPr>
          <w:trHeight w:val="221"/>
        </w:trPr>
        <w:tc>
          <w:tcPr>
            <w:tcW w:w="268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2360" w:type="dxa"/>
            <w:vAlign w:val="bottom"/>
          </w:tcPr>
          <w:p>
            <w:pPr>
              <w:jc w:val="center"/>
              <w:ind w:left="319"/>
              <w:spacing w:after="0"/>
              <w:rPr>
                <w:sz w:val="20"/>
                <w:szCs w:val="20"/>
                <w:color w:val="auto"/>
              </w:rPr>
            </w:pPr>
            <w:r>
              <w:rPr>
                <w:rFonts w:ascii="Arial" w:cs="Arial" w:eastAsia="Arial" w:hAnsi="Arial"/>
                <w:sz w:val="16"/>
                <w:szCs w:val="16"/>
                <w:color w:val="0D0E10"/>
                <w:w w:val="99"/>
              </w:rPr>
              <w:t>—</w:t>
            </w:r>
          </w:p>
        </w:tc>
        <w:tc>
          <w:tcPr>
            <w:tcW w:w="3440" w:type="dxa"/>
            <w:vAlign w:val="bottom"/>
          </w:tcPr>
          <w:p>
            <w:pPr>
              <w:jc w:val="center"/>
              <w:ind w:left="319"/>
              <w:spacing w:after="0"/>
              <w:rPr>
                <w:sz w:val="20"/>
                <w:szCs w:val="20"/>
                <w:color w:val="auto"/>
              </w:rPr>
            </w:pPr>
            <w:r>
              <w:rPr>
                <w:rFonts w:ascii="Arial" w:cs="Arial" w:eastAsia="Arial" w:hAnsi="Arial"/>
                <w:sz w:val="16"/>
                <w:szCs w:val="16"/>
                <w:color w:val="0D0E10"/>
                <w:w w:val="99"/>
              </w:rPr>
              <w:t>—</w:t>
            </w:r>
          </w:p>
        </w:tc>
        <w:tc>
          <w:tcPr>
            <w:tcW w:w="276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r>
      <w:tr>
        <w:trPr>
          <w:trHeight w:val="29"/>
        </w:trPr>
        <w:tc>
          <w:tcPr>
            <w:tcW w:w="2680" w:type="dxa"/>
            <w:vAlign w:val="bottom"/>
            <w:tcBorders>
              <w:bottom w:val="single" w:sz="8" w:color="A5A4A3"/>
            </w:tcBorders>
          </w:tcPr>
          <w:p>
            <w:pPr>
              <w:spacing w:after="0"/>
              <w:rPr>
                <w:sz w:val="2"/>
                <w:szCs w:val="2"/>
                <w:color w:val="auto"/>
              </w:rPr>
            </w:pPr>
          </w:p>
        </w:tc>
        <w:tc>
          <w:tcPr>
            <w:tcW w:w="2360" w:type="dxa"/>
            <w:vAlign w:val="bottom"/>
            <w:tcBorders>
              <w:bottom w:val="single" w:sz="8" w:color="A5A4A3"/>
            </w:tcBorders>
          </w:tcPr>
          <w:p>
            <w:pPr>
              <w:spacing w:after="0"/>
              <w:rPr>
                <w:sz w:val="2"/>
                <w:szCs w:val="2"/>
                <w:color w:val="auto"/>
              </w:rPr>
            </w:pPr>
          </w:p>
        </w:tc>
        <w:tc>
          <w:tcPr>
            <w:tcW w:w="3440" w:type="dxa"/>
            <w:vAlign w:val="bottom"/>
            <w:tcBorders>
              <w:bottom w:val="single" w:sz="8" w:color="A5A4A3"/>
            </w:tcBorders>
          </w:tcPr>
          <w:p>
            <w:pPr>
              <w:spacing w:after="0"/>
              <w:rPr>
                <w:sz w:val="2"/>
                <w:szCs w:val="2"/>
                <w:color w:val="auto"/>
              </w:rPr>
            </w:pPr>
          </w:p>
        </w:tc>
        <w:tc>
          <w:tcPr>
            <w:tcW w:w="2760" w:type="dxa"/>
            <w:vAlign w:val="bottom"/>
            <w:tcBorders>
              <w:bottom w:val="single" w:sz="8" w:color="A5A4A3"/>
            </w:tcBorders>
          </w:tcPr>
          <w:p>
            <w:pPr>
              <w:spacing w:after="0"/>
              <w:rPr>
                <w:sz w:val="2"/>
                <w:szCs w:val="2"/>
                <w:color w:val="auto"/>
              </w:rPr>
            </w:pPr>
          </w:p>
        </w:tc>
      </w:tr>
      <w:tr>
        <w:trPr>
          <w:trHeight w:val="250"/>
        </w:trPr>
        <w:tc>
          <w:tcPr>
            <w:tcW w:w="26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Tim Wan</w:t>
            </w:r>
          </w:p>
        </w:tc>
        <w:tc>
          <w:tcPr>
            <w:tcW w:w="2360" w:type="dxa"/>
            <w:vAlign w:val="bottom"/>
            <w:tcBorders>
              <w:bottom w:val="single" w:sz="8" w:color="A5A4A3"/>
            </w:tcBorders>
          </w:tcPr>
          <w:p>
            <w:pPr>
              <w:jc w:val="center"/>
              <w:ind w:left="319"/>
              <w:spacing w:after="0"/>
              <w:rPr>
                <w:sz w:val="20"/>
                <w:szCs w:val="20"/>
                <w:color w:val="auto"/>
              </w:rPr>
            </w:pPr>
            <w:r>
              <w:rPr>
                <w:rFonts w:ascii="Arial" w:cs="Arial" w:eastAsia="Arial" w:hAnsi="Arial"/>
                <w:sz w:val="16"/>
                <w:szCs w:val="16"/>
                <w:color w:val="0D0E10"/>
              </w:rPr>
              <w:t>5/23/2023</w:t>
            </w:r>
          </w:p>
        </w:tc>
        <w:tc>
          <w:tcPr>
            <w:tcW w:w="3440" w:type="dxa"/>
            <w:vAlign w:val="bottom"/>
            <w:tcBorders>
              <w:bottom w:val="single" w:sz="8" w:color="A5A4A3"/>
            </w:tcBorders>
          </w:tcPr>
          <w:p>
            <w:pPr>
              <w:jc w:val="center"/>
              <w:ind w:left="319"/>
              <w:spacing w:after="0"/>
              <w:rPr>
                <w:sz w:val="20"/>
                <w:szCs w:val="20"/>
                <w:color w:val="auto"/>
              </w:rPr>
            </w:pPr>
            <w:r>
              <w:rPr>
                <w:rFonts w:ascii="Arial" w:cs="Arial" w:eastAsia="Arial" w:hAnsi="Arial"/>
                <w:sz w:val="16"/>
                <w:szCs w:val="16"/>
                <w:color w:val="0D0E10"/>
                <w:w w:val="96"/>
              </w:rPr>
              <w:t>198,171</w:t>
            </w:r>
            <w:r>
              <w:rPr>
                <w:rFonts w:ascii="Arial" w:cs="Arial" w:eastAsia="Arial" w:hAnsi="Arial"/>
                <w:sz w:val="21"/>
                <w:szCs w:val="21"/>
                <w:color w:val="0D0E10"/>
                <w:w w:val="96"/>
                <w:vertAlign w:val="superscript"/>
              </w:rPr>
              <w:t>(2)</w:t>
            </w:r>
          </w:p>
        </w:tc>
        <w:tc>
          <w:tcPr>
            <w:tcW w:w="276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rPr>
              <w:t>4,137,810</w:t>
            </w:r>
          </w:p>
        </w:tc>
      </w:tr>
      <w:tr>
        <w:trPr>
          <w:trHeight w:val="250"/>
        </w:trPr>
        <w:tc>
          <w:tcPr>
            <w:tcW w:w="26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Eleanor Lacey</w:t>
            </w:r>
          </w:p>
        </w:tc>
        <w:tc>
          <w:tcPr>
            <w:tcW w:w="2360" w:type="dxa"/>
            <w:vAlign w:val="bottom"/>
            <w:tcBorders>
              <w:bottom w:val="single" w:sz="8" w:color="A5A4A3"/>
            </w:tcBorders>
          </w:tcPr>
          <w:p>
            <w:pPr>
              <w:jc w:val="center"/>
              <w:ind w:left="319"/>
              <w:spacing w:after="0"/>
              <w:rPr>
                <w:sz w:val="20"/>
                <w:szCs w:val="20"/>
                <w:color w:val="auto"/>
              </w:rPr>
            </w:pPr>
            <w:r>
              <w:rPr>
                <w:rFonts w:ascii="Arial" w:cs="Arial" w:eastAsia="Arial" w:hAnsi="Arial"/>
                <w:sz w:val="16"/>
                <w:szCs w:val="16"/>
                <w:color w:val="0D0E10"/>
              </w:rPr>
              <w:t>5/23/2023</w:t>
            </w:r>
          </w:p>
        </w:tc>
        <w:tc>
          <w:tcPr>
            <w:tcW w:w="3440" w:type="dxa"/>
            <w:vAlign w:val="bottom"/>
            <w:tcBorders>
              <w:bottom w:val="single" w:sz="8" w:color="A5A4A3"/>
            </w:tcBorders>
          </w:tcPr>
          <w:p>
            <w:pPr>
              <w:jc w:val="center"/>
              <w:ind w:left="319"/>
              <w:spacing w:after="0"/>
              <w:rPr>
                <w:sz w:val="20"/>
                <w:szCs w:val="20"/>
                <w:color w:val="auto"/>
              </w:rPr>
            </w:pPr>
            <w:r>
              <w:rPr>
                <w:rFonts w:ascii="Arial" w:cs="Arial" w:eastAsia="Arial" w:hAnsi="Arial"/>
                <w:sz w:val="16"/>
                <w:szCs w:val="16"/>
                <w:color w:val="0D0E10"/>
                <w:w w:val="96"/>
              </w:rPr>
              <w:t>81,301</w:t>
            </w:r>
            <w:r>
              <w:rPr>
                <w:rFonts w:ascii="Arial" w:cs="Arial" w:eastAsia="Arial" w:hAnsi="Arial"/>
                <w:sz w:val="21"/>
                <w:szCs w:val="21"/>
                <w:color w:val="0D0E10"/>
                <w:w w:val="96"/>
                <w:vertAlign w:val="superscript"/>
              </w:rPr>
              <w:t>(3)</w:t>
            </w:r>
          </w:p>
        </w:tc>
        <w:tc>
          <w:tcPr>
            <w:tcW w:w="276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rPr>
              <w:t>1,697,565</w:t>
            </w:r>
          </w:p>
        </w:tc>
      </w:tr>
      <w:tr>
        <w:trPr>
          <w:trHeight w:val="250"/>
        </w:trPr>
        <w:tc>
          <w:tcPr>
            <w:tcW w:w="26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Anne Raimondi</w:t>
            </w:r>
          </w:p>
        </w:tc>
        <w:tc>
          <w:tcPr>
            <w:tcW w:w="2360" w:type="dxa"/>
            <w:vAlign w:val="bottom"/>
            <w:tcBorders>
              <w:bottom w:val="single" w:sz="8" w:color="A5A4A3"/>
            </w:tcBorders>
          </w:tcPr>
          <w:p>
            <w:pPr>
              <w:jc w:val="center"/>
              <w:ind w:left="319"/>
              <w:spacing w:after="0"/>
              <w:rPr>
                <w:sz w:val="20"/>
                <w:szCs w:val="20"/>
                <w:color w:val="auto"/>
              </w:rPr>
            </w:pPr>
            <w:r>
              <w:rPr>
                <w:rFonts w:ascii="Arial" w:cs="Arial" w:eastAsia="Arial" w:hAnsi="Arial"/>
                <w:sz w:val="16"/>
                <w:szCs w:val="16"/>
                <w:color w:val="0D0E10"/>
              </w:rPr>
              <w:t>5/23/2023</w:t>
            </w:r>
          </w:p>
        </w:tc>
        <w:tc>
          <w:tcPr>
            <w:tcW w:w="3440" w:type="dxa"/>
            <w:vAlign w:val="bottom"/>
            <w:tcBorders>
              <w:bottom w:val="single" w:sz="8" w:color="A5A4A3"/>
            </w:tcBorders>
          </w:tcPr>
          <w:p>
            <w:pPr>
              <w:jc w:val="center"/>
              <w:ind w:left="319"/>
              <w:spacing w:after="0"/>
              <w:rPr>
                <w:sz w:val="20"/>
                <w:szCs w:val="20"/>
                <w:color w:val="auto"/>
              </w:rPr>
            </w:pPr>
            <w:r>
              <w:rPr>
                <w:rFonts w:ascii="Arial" w:cs="Arial" w:eastAsia="Arial" w:hAnsi="Arial"/>
                <w:sz w:val="16"/>
                <w:szCs w:val="16"/>
                <w:color w:val="0D0E10"/>
                <w:w w:val="96"/>
              </w:rPr>
              <w:t>198,171</w:t>
            </w:r>
            <w:r>
              <w:rPr>
                <w:rFonts w:ascii="Arial" w:cs="Arial" w:eastAsia="Arial" w:hAnsi="Arial"/>
                <w:sz w:val="21"/>
                <w:szCs w:val="21"/>
                <w:color w:val="0D0E10"/>
                <w:w w:val="96"/>
                <w:vertAlign w:val="superscript"/>
              </w:rPr>
              <w:t>(4)</w:t>
            </w:r>
          </w:p>
        </w:tc>
        <w:tc>
          <w:tcPr>
            <w:tcW w:w="276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rPr>
              <w:t>4,137,810</w:t>
            </w:r>
          </w:p>
        </w:tc>
      </w:tr>
    </w:tbl>
    <w:p>
      <w:pPr>
        <w:spacing w:after="0" w:line="190" w:lineRule="exact"/>
        <w:rPr>
          <w:sz w:val="20"/>
          <w:szCs w:val="20"/>
          <w:color w:val="auto"/>
        </w:rPr>
      </w:pPr>
    </w:p>
    <w:p>
      <w:pPr>
        <w:ind w:left="340" w:right="160" w:hanging="332"/>
        <w:spacing w:after="0" w:line="335" w:lineRule="auto"/>
        <w:tabs>
          <w:tab w:leader="none" w:pos="343" w:val="left"/>
        </w:tabs>
        <w:numPr>
          <w:ilvl w:val="0"/>
          <w:numId w:val="46"/>
        </w:numPr>
        <w:rPr>
          <w:rFonts w:ascii="Arial" w:cs="Arial" w:eastAsia="Arial" w:hAnsi="Arial"/>
          <w:sz w:val="13"/>
          <w:szCs w:val="13"/>
          <w:color w:val="0D0E10"/>
        </w:rPr>
      </w:pPr>
      <w:r>
        <w:rPr>
          <w:rFonts w:ascii="Arial" w:cs="Arial" w:eastAsia="Arial" w:hAnsi="Arial"/>
          <w:sz w:val="13"/>
          <w:szCs w:val="13"/>
          <w:color w:val="0D0E10"/>
        </w:rPr>
        <w:t>The grant date fair value of each equity award is computed in accordance with FASB ASC 718. The amounts reported in this column reflect the accounting cost for these equity awards as of each respective grant date and do not correspond to the actual economic value that may be received by the NEOs upon the vesting or settlement of the equity awards.</w:t>
      </w:r>
    </w:p>
    <w:p>
      <w:pPr>
        <w:spacing w:after="0" w:line="1" w:lineRule="exact"/>
        <w:rPr>
          <w:rFonts w:ascii="Arial" w:cs="Arial" w:eastAsia="Arial" w:hAnsi="Arial"/>
          <w:sz w:val="13"/>
          <w:szCs w:val="13"/>
          <w:color w:val="0D0E10"/>
        </w:rPr>
      </w:pPr>
    </w:p>
    <w:p>
      <w:pPr>
        <w:ind w:left="340" w:right="220" w:hanging="332"/>
        <w:spacing w:after="0" w:line="335" w:lineRule="auto"/>
        <w:tabs>
          <w:tab w:leader="none" w:pos="343" w:val="left"/>
        </w:tabs>
        <w:numPr>
          <w:ilvl w:val="0"/>
          <w:numId w:val="46"/>
        </w:numPr>
        <w:rPr>
          <w:rFonts w:ascii="Arial" w:cs="Arial" w:eastAsia="Arial" w:hAnsi="Arial"/>
          <w:sz w:val="13"/>
          <w:szCs w:val="13"/>
          <w:color w:val="0D0E10"/>
        </w:rPr>
      </w:pPr>
      <w:r>
        <w:rPr>
          <w:rFonts w:ascii="Arial" w:cs="Arial" w:eastAsia="Arial" w:hAnsi="Arial"/>
          <w:sz w:val="13"/>
          <w:szCs w:val="13"/>
          <w:color w:val="0D0E10"/>
        </w:rPr>
        <w:t>The shares subject to the RSU award vest in 16 equal quarterly installments, with the first installment beginning on June 20, 2023 , subject to Mr. Wan's continuous service through each applicable vesting date.</w:t>
      </w:r>
    </w:p>
    <w:p>
      <w:pPr>
        <w:spacing w:after="0" w:line="1" w:lineRule="exact"/>
        <w:rPr>
          <w:rFonts w:ascii="Arial" w:cs="Arial" w:eastAsia="Arial" w:hAnsi="Arial"/>
          <w:sz w:val="13"/>
          <w:szCs w:val="13"/>
          <w:color w:val="0D0E10"/>
        </w:rPr>
      </w:pPr>
    </w:p>
    <w:p>
      <w:pPr>
        <w:ind w:left="340" w:right="140" w:hanging="332"/>
        <w:spacing w:after="0" w:line="335" w:lineRule="auto"/>
        <w:tabs>
          <w:tab w:leader="none" w:pos="343" w:val="left"/>
        </w:tabs>
        <w:numPr>
          <w:ilvl w:val="0"/>
          <w:numId w:val="46"/>
        </w:numPr>
        <w:rPr>
          <w:rFonts w:ascii="Arial" w:cs="Arial" w:eastAsia="Arial" w:hAnsi="Arial"/>
          <w:sz w:val="13"/>
          <w:szCs w:val="13"/>
          <w:color w:val="0D0E10"/>
        </w:rPr>
      </w:pPr>
      <w:r>
        <w:rPr>
          <w:rFonts w:ascii="Arial" w:cs="Arial" w:eastAsia="Arial" w:hAnsi="Arial"/>
          <w:sz w:val="13"/>
          <w:szCs w:val="13"/>
          <w:color w:val="0D0E10"/>
        </w:rPr>
        <w:t>The shares subject to the RSU award vest in 16 equal quarterly installments, with the first installment beginning on June 20, 2023, subject to Ms. Lacey's continuous service through each applicable vesting date.</w:t>
      </w:r>
    </w:p>
    <w:p>
      <w:pPr>
        <w:spacing w:after="0" w:line="1" w:lineRule="exact"/>
        <w:rPr>
          <w:rFonts w:ascii="Arial" w:cs="Arial" w:eastAsia="Arial" w:hAnsi="Arial"/>
          <w:sz w:val="13"/>
          <w:szCs w:val="13"/>
          <w:color w:val="0D0E10"/>
        </w:rPr>
      </w:pPr>
    </w:p>
    <w:p>
      <w:pPr>
        <w:ind w:left="340" w:right="420" w:hanging="332"/>
        <w:spacing w:after="0" w:line="346" w:lineRule="auto"/>
        <w:tabs>
          <w:tab w:leader="none" w:pos="343" w:val="left"/>
        </w:tabs>
        <w:numPr>
          <w:ilvl w:val="0"/>
          <w:numId w:val="46"/>
        </w:numPr>
        <w:rPr>
          <w:rFonts w:ascii="Arial" w:cs="Arial" w:eastAsia="Arial" w:hAnsi="Arial"/>
          <w:sz w:val="13"/>
          <w:szCs w:val="13"/>
          <w:color w:val="0D0E10"/>
        </w:rPr>
      </w:pPr>
      <w:r>
        <w:rPr>
          <w:rFonts w:ascii="Arial" w:cs="Arial" w:eastAsia="Arial" w:hAnsi="Arial"/>
          <w:sz w:val="13"/>
          <w:szCs w:val="13"/>
          <w:color w:val="0D0E10"/>
        </w:rPr>
        <w:t>The shares subject to the RSU award vest in 16 equal quarterly installments, with the first installment beginning on June 20, 2023, subject to Ms. Raimondi's continuous service through each applicable vesting date.</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52</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7" w:name="page58"/>
    <w:bookmarkEnd w:id="57"/>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Outstanding Equity Awards at Fiscal Year-End Table for Fiscal Year 2024</w:t>
      </w:r>
    </w:p>
    <w:p>
      <w:pPr>
        <w:spacing w:after="0" w:line="195" w:lineRule="exact"/>
        <w:rPr>
          <w:sz w:val="20"/>
          <w:szCs w:val="20"/>
          <w:color w:val="auto"/>
        </w:rPr>
      </w:pPr>
    </w:p>
    <w:p>
      <w:pPr>
        <w:spacing w:after="0" w:line="304" w:lineRule="auto"/>
        <w:rPr>
          <w:sz w:val="20"/>
          <w:szCs w:val="20"/>
          <w:color w:val="auto"/>
        </w:rPr>
      </w:pPr>
      <w:r>
        <w:rPr>
          <w:rFonts w:ascii="Arial" w:cs="Arial" w:eastAsia="Arial" w:hAnsi="Arial"/>
          <w:sz w:val="18"/>
          <w:szCs w:val="18"/>
          <w:color w:val="0D0E10"/>
        </w:rPr>
        <w:t>The following table provides information regarding the outstanding exercisable and unexercisable stock options and unvested restricted stock unit awards held by our named executive officers as of January 31, 2024. The market value of the stock awards was calculated by multiplying the number of shares of our Class A common stock subject to each award by $17.42, which was the closing market price per share of our Class A common stock on January 31, 2024, the last trading day of fiscal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92075</wp:posOffset>
            </wp:positionV>
            <wp:extent cx="889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Borders>
              <w:bottom w:val="single" w:sz="8" w:color="A5A4A3"/>
            </w:tcBorders>
            <w:shd w:val="clear" w:color="auto" w:fill="A5A4A3"/>
          </w:tcPr>
          <w:p>
            <w:pPr>
              <w:spacing w:after="0"/>
              <w:rPr>
                <w:sz w:val="21"/>
                <w:szCs w:val="21"/>
                <w:color w:val="auto"/>
              </w:rPr>
            </w:pPr>
          </w:p>
        </w:tc>
        <w:tc>
          <w:tcPr>
            <w:tcW w:w="2980" w:type="dxa"/>
            <w:vAlign w:val="bottom"/>
            <w:tcBorders>
              <w:bottom w:val="single" w:sz="8" w:color="A5A4A3"/>
            </w:tcBorders>
            <w:gridSpan w:val="2"/>
            <w:shd w:val="clear" w:color="auto" w:fill="A5A4A3"/>
          </w:tcPr>
          <w:p>
            <w:pPr>
              <w:ind w:left="900"/>
              <w:spacing w:after="0"/>
              <w:rPr>
                <w:sz w:val="20"/>
                <w:szCs w:val="20"/>
                <w:color w:val="auto"/>
              </w:rPr>
            </w:pPr>
            <w:r>
              <w:rPr>
                <w:rFonts w:ascii="Arial" w:cs="Arial" w:eastAsia="Arial" w:hAnsi="Arial"/>
                <w:sz w:val="16"/>
                <w:szCs w:val="16"/>
                <w:b w:val="1"/>
                <w:bCs w:val="1"/>
                <w:color w:val="FFFFFF"/>
              </w:rPr>
              <w:t>Option Awards</w:t>
            </w:r>
          </w:p>
        </w:tc>
        <w:tc>
          <w:tcPr>
            <w:tcW w:w="1220" w:type="dxa"/>
            <w:vAlign w:val="bottom"/>
            <w:tcBorders>
              <w:bottom w:val="single" w:sz="8" w:color="A5A4A3"/>
            </w:tcBorders>
            <w:shd w:val="clear" w:color="auto" w:fill="A5A4A3"/>
          </w:tcPr>
          <w:p>
            <w:pPr>
              <w:spacing w:after="0"/>
              <w:rPr>
                <w:sz w:val="21"/>
                <w:szCs w:val="21"/>
                <w:color w:val="auto"/>
              </w:rPr>
            </w:pPr>
          </w:p>
        </w:tc>
        <w:tc>
          <w:tcPr>
            <w:tcW w:w="2700" w:type="dxa"/>
            <w:vAlign w:val="bottom"/>
            <w:tcBorders>
              <w:bottom w:val="single" w:sz="8" w:color="A5A4A3"/>
            </w:tcBorders>
            <w:gridSpan w:val="9"/>
            <w:shd w:val="clear" w:color="auto" w:fill="A5A4A3"/>
          </w:tcPr>
          <w:p>
            <w:pPr>
              <w:ind w:left="820"/>
              <w:spacing w:after="0"/>
              <w:rPr>
                <w:sz w:val="20"/>
                <w:szCs w:val="20"/>
                <w:color w:val="auto"/>
              </w:rPr>
            </w:pPr>
            <w:r>
              <w:rPr>
                <w:rFonts w:ascii="Arial" w:cs="Arial" w:eastAsia="Arial" w:hAnsi="Arial"/>
                <w:sz w:val="16"/>
                <w:szCs w:val="16"/>
                <w:b w:val="1"/>
                <w:bCs w:val="1"/>
                <w:color w:val="FFFFFF"/>
              </w:rPr>
              <w:t>Stock Awards</w:t>
            </w:r>
          </w:p>
        </w:tc>
        <w:tc>
          <w:tcPr>
            <w:tcW w:w="0" w:type="dxa"/>
            <w:vAlign w:val="bottom"/>
          </w:tcPr>
          <w:p>
            <w:pPr>
              <w:spacing w:after="0"/>
              <w:rPr>
                <w:sz w:val="1"/>
                <w:szCs w:val="1"/>
                <w:color w:val="auto"/>
              </w:rPr>
            </w:pPr>
          </w:p>
        </w:tc>
      </w:tr>
      <w:tr>
        <w:trPr>
          <w:trHeight w:val="229"/>
        </w:trPr>
        <w:tc>
          <w:tcPr>
            <w:tcW w:w="1740" w:type="dxa"/>
            <w:vAlign w:val="bottom"/>
            <w:shd w:val="clear" w:color="auto" w:fill="EEEBEA"/>
          </w:tcPr>
          <w:p>
            <w:pPr>
              <w:spacing w:after="0"/>
              <w:rPr>
                <w:sz w:val="19"/>
                <w:szCs w:val="19"/>
                <w:color w:val="auto"/>
              </w:rPr>
            </w:pPr>
          </w:p>
        </w:tc>
        <w:tc>
          <w:tcPr>
            <w:tcW w:w="200" w:type="dxa"/>
            <w:vAlign w:val="bottom"/>
            <w:shd w:val="clear" w:color="auto" w:fill="EEEBEA"/>
          </w:tcPr>
          <w:p>
            <w:pPr>
              <w:spacing w:after="0"/>
              <w:rPr>
                <w:sz w:val="19"/>
                <w:szCs w:val="19"/>
                <w:color w:val="auto"/>
              </w:rPr>
            </w:pPr>
          </w:p>
        </w:tc>
        <w:tc>
          <w:tcPr>
            <w:tcW w:w="820" w:type="dxa"/>
            <w:vAlign w:val="bottom"/>
            <w:shd w:val="clear" w:color="auto" w:fill="EEEBEA"/>
          </w:tcPr>
          <w:p>
            <w:pPr>
              <w:spacing w:after="0"/>
              <w:rPr>
                <w:sz w:val="19"/>
                <w:szCs w:val="19"/>
                <w:color w:val="auto"/>
              </w:rPr>
            </w:pPr>
          </w:p>
        </w:tc>
        <w:tc>
          <w:tcPr>
            <w:tcW w:w="140" w:type="dxa"/>
            <w:vAlign w:val="bottom"/>
            <w:shd w:val="clear" w:color="auto" w:fill="EEEBEA"/>
          </w:tcPr>
          <w:p>
            <w:pPr>
              <w:spacing w:after="0"/>
              <w:rPr>
                <w:sz w:val="19"/>
                <w:szCs w:val="19"/>
                <w:color w:val="auto"/>
              </w:rPr>
            </w:pPr>
          </w:p>
        </w:tc>
        <w:tc>
          <w:tcPr>
            <w:tcW w:w="200" w:type="dxa"/>
            <w:vAlign w:val="bottom"/>
            <w:shd w:val="clear" w:color="auto" w:fill="EEEBEA"/>
          </w:tcPr>
          <w:p>
            <w:pPr>
              <w:spacing w:after="0"/>
              <w:rPr>
                <w:sz w:val="19"/>
                <w:szCs w:val="19"/>
                <w:color w:val="auto"/>
              </w:rPr>
            </w:pPr>
          </w:p>
        </w:tc>
        <w:tc>
          <w:tcPr>
            <w:tcW w:w="2760" w:type="dxa"/>
            <w:vAlign w:val="bottom"/>
            <w:gridSpan w:val="2"/>
            <w:shd w:val="clear" w:color="auto" w:fill="EEEBEA"/>
          </w:tcPr>
          <w:p>
            <w:pPr>
              <w:jc w:val="center"/>
              <w:spacing w:after="0"/>
              <w:rPr>
                <w:sz w:val="20"/>
                <w:szCs w:val="20"/>
                <w:color w:val="auto"/>
              </w:rPr>
            </w:pPr>
            <w:r>
              <w:rPr>
                <w:rFonts w:ascii="Arial" w:cs="Arial" w:eastAsia="Arial" w:hAnsi="Arial"/>
                <w:sz w:val="16"/>
                <w:szCs w:val="16"/>
                <w:b w:val="1"/>
                <w:bCs w:val="1"/>
                <w:color w:val="F06A6A"/>
              </w:rPr>
              <w:t>Number of Securities</w:t>
            </w:r>
          </w:p>
        </w:tc>
        <w:tc>
          <w:tcPr>
            <w:tcW w:w="1460" w:type="dxa"/>
            <w:vAlign w:val="bottom"/>
            <w:shd w:val="clear" w:color="auto" w:fill="EEEBEA"/>
          </w:tcPr>
          <w:p>
            <w:pPr>
              <w:spacing w:after="0"/>
              <w:rPr>
                <w:sz w:val="19"/>
                <w:szCs w:val="19"/>
                <w:color w:val="auto"/>
              </w:rPr>
            </w:pPr>
          </w:p>
        </w:tc>
        <w:tc>
          <w:tcPr>
            <w:tcW w:w="1220" w:type="dxa"/>
            <w:vAlign w:val="bottom"/>
            <w:shd w:val="clear" w:color="auto" w:fill="EEEBEA"/>
          </w:tcPr>
          <w:p>
            <w:pPr>
              <w:spacing w:after="0"/>
              <w:rPr>
                <w:sz w:val="19"/>
                <w:szCs w:val="19"/>
                <w:color w:val="auto"/>
              </w:rPr>
            </w:pPr>
          </w:p>
        </w:tc>
        <w:tc>
          <w:tcPr>
            <w:tcW w:w="130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Number of</w:t>
            </w:r>
          </w:p>
        </w:tc>
        <w:tc>
          <w:tcPr>
            <w:tcW w:w="100" w:type="dxa"/>
            <w:vAlign w:val="bottom"/>
            <w:shd w:val="clear" w:color="auto" w:fill="EEEBEA"/>
          </w:tcPr>
          <w:p>
            <w:pPr>
              <w:spacing w:after="0"/>
              <w:rPr>
                <w:sz w:val="19"/>
                <w:szCs w:val="19"/>
                <w:color w:val="auto"/>
              </w:rPr>
            </w:pPr>
          </w:p>
        </w:tc>
        <w:tc>
          <w:tcPr>
            <w:tcW w:w="120" w:type="dxa"/>
            <w:vAlign w:val="bottom"/>
            <w:shd w:val="clear" w:color="auto" w:fill="EEEBEA"/>
          </w:tcPr>
          <w:p>
            <w:pPr>
              <w:spacing w:after="0"/>
              <w:rPr>
                <w:sz w:val="19"/>
                <w:szCs w:val="19"/>
                <w:color w:val="auto"/>
              </w:rPr>
            </w:pPr>
          </w:p>
        </w:tc>
        <w:tc>
          <w:tcPr>
            <w:tcW w:w="380" w:type="dxa"/>
            <w:vAlign w:val="bottom"/>
            <w:shd w:val="clear" w:color="auto" w:fill="EEEBEA"/>
          </w:tcPr>
          <w:p>
            <w:pPr>
              <w:spacing w:after="0"/>
              <w:rPr>
                <w:sz w:val="19"/>
                <w:szCs w:val="19"/>
                <w:color w:val="auto"/>
              </w:rPr>
            </w:pPr>
          </w:p>
        </w:tc>
        <w:tc>
          <w:tcPr>
            <w:tcW w:w="200" w:type="dxa"/>
            <w:vAlign w:val="bottom"/>
            <w:shd w:val="clear" w:color="auto" w:fill="EEEBEA"/>
          </w:tcPr>
          <w:p>
            <w:pPr>
              <w:spacing w:after="0"/>
              <w:rPr>
                <w:sz w:val="19"/>
                <w:szCs w:val="19"/>
                <w:color w:val="auto"/>
              </w:rPr>
            </w:pPr>
          </w:p>
        </w:tc>
        <w:tc>
          <w:tcPr>
            <w:tcW w:w="240" w:type="dxa"/>
            <w:vAlign w:val="bottom"/>
            <w:shd w:val="clear" w:color="auto" w:fill="EEEBEA"/>
          </w:tcPr>
          <w:p>
            <w:pPr>
              <w:spacing w:after="0"/>
              <w:rPr>
                <w:sz w:val="19"/>
                <w:szCs w:val="19"/>
                <w:color w:val="auto"/>
              </w:rPr>
            </w:pPr>
          </w:p>
        </w:tc>
        <w:tc>
          <w:tcPr>
            <w:tcW w:w="260" w:type="dxa"/>
            <w:vAlign w:val="bottom"/>
            <w:shd w:val="clear" w:color="auto" w:fill="EEEBEA"/>
          </w:tcPr>
          <w:p>
            <w:pPr>
              <w:spacing w:after="0"/>
              <w:rPr>
                <w:sz w:val="19"/>
                <w:szCs w:val="19"/>
                <w:color w:val="auto"/>
              </w:rPr>
            </w:pPr>
          </w:p>
        </w:tc>
        <w:tc>
          <w:tcPr>
            <w:tcW w:w="60" w:type="dxa"/>
            <w:vAlign w:val="bottom"/>
            <w:shd w:val="clear" w:color="auto" w:fill="EEEBEA"/>
          </w:tcPr>
          <w:p>
            <w:pPr>
              <w:spacing w:after="0"/>
              <w:rPr>
                <w:sz w:val="19"/>
                <w:szCs w:val="19"/>
                <w:color w:val="auto"/>
              </w:rPr>
            </w:pPr>
          </w:p>
        </w:tc>
        <w:tc>
          <w:tcPr>
            <w:tcW w:w="40" w:type="dxa"/>
            <w:vAlign w:val="bottom"/>
            <w:shd w:val="clear" w:color="auto" w:fill="EEEBEA"/>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740" w:type="dxa"/>
            <w:vAlign w:val="bottom"/>
            <w:shd w:val="clear" w:color="auto" w:fill="EEEBEA"/>
          </w:tcPr>
          <w:p>
            <w:pPr>
              <w:spacing w:after="0"/>
              <w:rPr>
                <w:sz w:val="7"/>
                <w:szCs w:val="7"/>
                <w:color w:val="auto"/>
              </w:rPr>
            </w:pPr>
          </w:p>
        </w:tc>
        <w:tc>
          <w:tcPr>
            <w:tcW w:w="200" w:type="dxa"/>
            <w:vAlign w:val="bottom"/>
            <w:shd w:val="clear" w:color="auto" w:fill="EEEBEA"/>
          </w:tcPr>
          <w:p>
            <w:pPr>
              <w:spacing w:after="0"/>
              <w:rPr>
                <w:sz w:val="7"/>
                <w:szCs w:val="7"/>
                <w:color w:val="auto"/>
              </w:rPr>
            </w:pPr>
          </w:p>
        </w:tc>
        <w:tc>
          <w:tcPr>
            <w:tcW w:w="820" w:type="dxa"/>
            <w:vAlign w:val="bottom"/>
            <w:shd w:val="clear" w:color="auto" w:fill="EEEBEA"/>
          </w:tcPr>
          <w:p>
            <w:pPr>
              <w:spacing w:after="0"/>
              <w:rPr>
                <w:sz w:val="7"/>
                <w:szCs w:val="7"/>
                <w:color w:val="auto"/>
              </w:rPr>
            </w:pPr>
          </w:p>
        </w:tc>
        <w:tc>
          <w:tcPr>
            <w:tcW w:w="140" w:type="dxa"/>
            <w:vAlign w:val="bottom"/>
            <w:shd w:val="clear" w:color="auto" w:fill="EEEBEA"/>
          </w:tcPr>
          <w:p>
            <w:pPr>
              <w:spacing w:after="0"/>
              <w:rPr>
                <w:sz w:val="7"/>
                <w:szCs w:val="7"/>
                <w:color w:val="auto"/>
              </w:rPr>
            </w:pPr>
          </w:p>
        </w:tc>
        <w:tc>
          <w:tcPr>
            <w:tcW w:w="200" w:type="dxa"/>
            <w:vAlign w:val="bottom"/>
            <w:shd w:val="clear" w:color="auto" w:fill="EEEBEA"/>
          </w:tcPr>
          <w:p>
            <w:pPr>
              <w:spacing w:after="0"/>
              <w:rPr>
                <w:sz w:val="7"/>
                <w:szCs w:val="7"/>
                <w:color w:val="auto"/>
              </w:rPr>
            </w:pPr>
          </w:p>
        </w:tc>
        <w:tc>
          <w:tcPr>
            <w:tcW w:w="2760" w:type="dxa"/>
            <w:vAlign w:val="bottom"/>
            <w:gridSpan w:val="2"/>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Underlying Unexercised</w:t>
            </w:r>
          </w:p>
        </w:tc>
        <w:tc>
          <w:tcPr>
            <w:tcW w:w="1460" w:type="dxa"/>
            <w:vAlign w:val="bottom"/>
            <w:shd w:val="clear" w:color="auto" w:fill="EEEBEA"/>
          </w:tcPr>
          <w:p>
            <w:pPr>
              <w:spacing w:after="0"/>
              <w:rPr>
                <w:sz w:val="7"/>
                <w:szCs w:val="7"/>
                <w:color w:val="auto"/>
              </w:rPr>
            </w:pPr>
          </w:p>
        </w:tc>
        <w:tc>
          <w:tcPr>
            <w:tcW w:w="1220" w:type="dxa"/>
            <w:vAlign w:val="bottom"/>
            <w:shd w:val="clear" w:color="auto" w:fill="EEEBEA"/>
          </w:tcPr>
          <w:p>
            <w:pPr>
              <w:spacing w:after="0"/>
              <w:rPr>
                <w:sz w:val="7"/>
                <w:szCs w:val="7"/>
                <w:color w:val="auto"/>
              </w:rPr>
            </w:pPr>
          </w:p>
        </w:tc>
        <w:tc>
          <w:tcPr>
            <w:tcW w:w="1300" w:type="dxa"/>
            <w:vAlign w:val="bottom"/>
            <w:vMerge w:val="continue"/>
            <w:shd w:val="clear" w:color="auto" w:fill="EEEBEA"/>
          </w:tcPr>
          <w:p>
            <w:pPr>
              <w:spacing w:after="0"/>
              <w:rPr>
                <w:sz w:val="7"/>
                <w:szCs w:val="7"/>
                <w:color w:val="auto"/>
              </w:rPr>
            </w:pPr>
          </w:p>
        </w:tc>
        <w:tc>
          <w:tcPr>
            <w:tcW w:w="100" w:type="dxa"/>
            <w:vAlign w:val="bottom"/>
            <w:shd w:val="clear" w:color="auto" w:fill="EEEBEA"/>
          </w:tcPr>
          <w:p>
            <w:pPr>
              <w:spacing w:after="0"/>
              <w:rPr>
                <w:sz w:val="7"/>
                <w:szCs w:val="7"/>
                <w:color w:val="auto"/>
              </w:rPr>
            </w:pPr>
          </w:p>
        </w:tc>
        <w:tc>
          <w:tcPr>
            <w:tcW w:w="120" w:type="dxa"/>
            <w:vAlign w:val="bottom"/>
            <w:shd w:val="clear" w:color="auto" w:fill="EEEBEA"/>
          </w:tcPr>
          <w:p>
            <w:pPr>
              <w:spacing w:after="0"/>
              <w:rPr>
                <w:sz w:val="7"/>
                <w:szCs w:val="7"/>
                <w:color w:val="auto"/>
              </w:rPr>
            </w:pPr>
          </w:p>
        </w:tc>
        <w:tc>
          <w:tcPr>
            <w:tcW w:w="380" w:type="dxa"/>
            <w:vAlign w:val="bottom"/>
            <w:shd w:val="clear" w:color="auto" w:fill="EEEBEA"/>
          </w:tcPr>
          <w:p>
            <w:pPr>
              <w:spacing w:after="0"/>
              <w:rPr>
                <w:sz w:val="7"/>
                <w:szCs w:val="7"/>
                <w:color w:val="auto"/>
              </w:rPr>
            </w:pPr>
          </w:p>
        </w:tc>
        <w:tc>
          <w:tcPr>
            <w:tcW w:w="200" w:type="dxa"/>
            <w:vAlign w:val="bottom"/>
            <w:shd w:val="clear" w:color="auto" w:fill="EEEBEA"/>
          </w:tcPr>
          <w:p>
            <w:pPr>
              <w:spacing w:after="0"/>
              <w:rPr>
                <w:sz w:val="7"/>
                <w:szCs w:val="7"/>
                <w:color w:val="auto"/>
              </w:rPr>
            </w:pPr>
          </w:p>
        </w:tc>
        <w:tc>
          <w:tcPr>
            <w:tcW w:w="240" w:type="dxa"/>
            <w:vAlign w:val="bottom"/>
            <w:shd w:val="clear" w:color="auto" w:fill="EEEBEA"/>
          </w:tcPr>
          <w:p>
            <w:pPr>
              <w:spacing w:after="0"/>
              <w:rPr>
                <w:sz w:val="7"/>
                <w:szCs w:val="7"/>
                <w:color w:val="auto"/>
              </w:rPr>
            </w:pPr>
          </w:p>
        </w:tc>
        <w:tc>
          <w:tcPr>
            <w:tcW w:w="260" w:type="dxa"/>
            <w:vAlign w:val="bottom"/>
            <w:shd w:val="clear" w:color="auto" w:fill="EEEBEA"/>
          </w:tcPr>
          <w:p>
            <w:pPr>
              <w:spacing w:after="0"/>
              <w:rPr>
                <w:sz w:val="7"/>
                <w:szCs w:val="7"/>
                <w:color w:val="auto"/>
              </w:rPr>
            </w:pPr>
          </w:p>
        </w:tc>
        <w:tc>
          <w:tcPr>
            <w:tcW w:w="60" w:type="dxa"/>
            <w:vAlign w:val="bottom"/>
            <w:shd w:val="clear" w:color="auto" w:fill="EEEBEA"/>
          </w:tcPr>
          <w:p>
            <w:pPr>
              <w:spacing w:after="0"/>
              <w:rPr>
                <w:sz w:val="7"/>
                <w:szCs w:val="7"/>
                <w:color w:val="auto"/>
              </w:rPr>
            </w:pPr>
          </w:p>
        </w:tc>
        <w:tc>
          <w:tcPr>
            <w:tcW w:w="40" w:type="dxa"/>
            <w:vAlign w:val="bottom"/>
            <w:shd w:val="clear" w:color="auto" w:fill="EEEBEA"/>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740" w:type="dxa"/>
            <w:vAlign w:val="bottom"/>
            <w:shd w:val="clear" w:color="auto" w:fill="EEEBEA"/>
          </w:tcPr>
          <w:p>
            <w:pPr>
              <w:spacing w:after="0"/>
              <w:rPr>
                <w:sz w:val="9"/>
                <w:szCs w:val="9"/>
                <w:color w:val="auto"/>
              </w:rPr>
            </w:pPr>
          </w:p>
        </w:tc>
        <w:tc>
          <w:tcPr>
            <w:tcW w:w="200" w:type="dxa"/>
            <w:vAlign w:val="bottom"/>
            <w:shd w:val="clear" w:color="auto" w:fill="EEEBEA"/>
          </w:tcPr>
          <w:p>
            <w:pPr>
              <w:spacing w:after="0"/>
              <w:rPr>
                <w:sz w:val="9"/>
                <w:szCs w:val="9"/>
                <w:color w:val="auto"/>
              </w:rPr>
            </w:pPr>
          </w:p>
        </w:tc>
        <w:tc>
          <w:tcPr>
            <w:tcW w:w="820" w:type="dxa"/>
            <w:vAlign w:val="bottom"/>
            <w:shd w:val="clear" w:color="auto" w:fill="EEEBEA"/>
          </w:tcPr>
          <w:p>
            <w:pPr>
              <w:spacing w:after="0"/>
              <w:rPr>
                <w:sz w:val="9"/>
                <w:szCs w:val="9"/>
                <w:color w:val="auto"/>
              </w:rPr>
            </w:pPr>
          </w:p>
        </w:tc>
        <w:tc>
          <w:tcPr>
            <w:tcW w:w="140" w:type="dxa"/>
            <w:vAlign w:val="bottom"/>
            <w:shd w:val="clear" w:color="auto" w:fill="EEEBEA"/>
          </w:tcPr>
          <w:p>
            <w:pPr>
              <w:spacing w:after="0"/>
              <w:rPr>
                <w:sz w:val="9"/>
                <w:szCs w:val="9"/>
                <w:color w:val="auto"/>
              </w:rPr>
            </w:pPr>
          </w:p>
        </w:tc>
        <w:tc>
          <w:tcPr>
            <w:tcW w:w="200" w:type="dxa"/>
            <w:vAlign w:val="bottom"/>
            <w:shd w:val="clear" w:color="auto" w:fill="EEEBEA"/>
          </w:tcPr>
          <w:p>
            <w:pPr>
              <w:spacing w:after="0"/>
              <w:rPr>
                <w:sz w:val="9"/>
                <w:szCs w:val="9"/>
                <w:color w:val="auto"/>
              </w:rPr>
            </w:pPr>
          </w:p>
        </w:tc>
        <w:tc>
          <w:tcPr>
            <w:tcW w:w="2760" w:type="dxa"/>
            <w:vAlign w:val="bottom"/>
            <w:gridSpan w:val="2"/>
            <w:vMerge w:val="continue"/>
            <w:shd w:val="clear" w:color="auto" w:fill="EEEBEA"/>
          </w:tcPr>
          <w:p>
            <w:pPr>
              <w:spacing w:after="0"/>
              <w:rPr>
                <w:sz w:val="9"/>
                <w:szCs w:val="9"/>
                <w:color w:val="auto"/>
              </w:rPr>
            </w:pPr>
          </w:p>
        </w:tc>
        <w:tc>
          <w:tcPr>
            <w:tcW w:w="1460" w:type="dxa"/>
            <w:vAlign w:val="bottom"/>
            <w:shd w:val="clear" w:color="auto" w:fill="EEEBEA"/>
          </w:tcPr>
          <w:p>
            <w:pPr>
              <w:spacing w:after="0"/>
              <w:rPr>
                <w:sz w:val="9"/>
                <w:szCs w:val="9"/>
                <w:color w:val="auto"/>
              </w:rPr>
            </w:pPr>
          </w:p>
        </w:tc>
        <w:tc>
          <w:tcPr>
            <w:tcW w:w="1220" w:type="dxa"/>
            <w:vAlign w:val="bottom"/>
            <w:shd w:val="clear" w:color="auto" w:fill="EEEBEA"/>
          </w:tcPr>
          <w:p>
            <w:pPr>
              <w:spacing w:after="0"/>
              <w:rPr>
                <w:sz w:val="9"/>
                <w:szCs w:val="9"/>
                <w:color w:val="auto"/>
              </w:rPr>
            </w:pPr>
          </w:p>
        </w:tc>
        <w:tc>
          <w:tcPr>
            <w:tcW w:w="130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Shares that</w:t>
            </w:r>
          </w:p>
        </w:tc>
        <w:tc>
          <w:tcPr>
            <w:tcW w:w="100" w:type="dxa"/>
            <w:vAlign w:val="bottom"/>
            <w:shd w:val="clear" w:color="auto" w:fill="EEEBEA"/>
          </w:tcPr>
          <w:p>
            <w:pPr>
              <w:spacing w:after="0"/>
              <w:rPr>
                <w:sz w:val="9"/>
                <w:szCs w:val="9"/>
                <w:color w:val="auto"/>
              </w:rPr>
            </w:pPr>
          </w:p>
        </w:tc>
        <w:tc>
          <w:tcPr>
            <w:tcW w:w="1200" w:type="dxa"/>
            <w:vAlign w:val="bottom"/>
            <w:gridSpan w:val="5"/>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Market Value of</w:t>
            </w:r>
          </w:p>
        </w:tc>
        <w:tc>
          <w:tcPr>
            <w:tcW w:w="60" w:type="dxa"/>
            <w:vAlign w:val="bottom"/>
            <w:shd w:val="clear" w:color="auto" w:fill="EEEBEA"/>
          </w:tcPr>
          <w:p>
            <w:pPr>
              <w:spacing w:after="0"/>
              <w:rPr>
                <w:sz w:val="9"/>
                <w:szCs w:val="9"/>
                <w:color w:val="auto"/>
              </w:rPr>
            </w:pPr>
          </w:p>
        </w:tc>
        <w:tc>
          <w:tcPr>
            <w:tcW w:w="40" w:type="dxa"/>
            <w:vAlign w:val="bottom"/>
            <w:shd w:val="clear" w:color="auto" w:fill="EEEBEA"/>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740" w:type="dxa"/>
            <w:vAlign w:val="bottom"/>
            <w:shd w:val="clear" w:color="auto" w:fill="EEEBEA"/>
          </w:tcPr>
          <w:p>
            <w:pPr>
              <w:spacing w:after="0"/>
              <w:rPr>
                <w:sz w:val="7"/>
                <w:szCs w:val="7"/>
                <w:color w:val="auto"/>
              </w:rPr>
            </w:pPr>
          </w:p>
        </w:tc>
        <w:tc>
          <w:tcPr>
            <w:tcW w:w="200" w:type="dxa"/>
            <w:vAlign w:val="bottom"/>
            <w:shd w:val="clear" w:color="auto" w:fill="EEEBEA"/>
          </w:tcPr>
          <w:p>
            <w:pPr>
              <w:spacing w:after="0"/>
              <w:rPr>
                <w:sz w:val="7"/>
                <w:szCs w:val="7"/>
                <w:color w:val="auto"/>
              </w:rPr>
            </w:pPr>
          </w:p>
        </w:tc>
        <w:tc>
          <w:tcPr>
            <w:tcW w:w="820" w:type="dxa"/>
            <w:vAlign w:val="bottom"/>
            <w:shd w:val="clear" w:color="auto" w:fill="EEEBEA"/>
          </w:tcPr>
          <w:p>
            <w:pPr>
              <w:spacing w:after="0"/>
              <w:rPr>
                <w:sz w:val="7"/>
                <w:szCs w:val="7"/>
                <w:color w:val="auto"/>
              </w:rPr>
            </w:pPr>
          </w:p>
        </w:tc>
        <w:tc>
          <w:tcPr>
            <w:tcW w:w="140" w:type="dxa"/>
            <w:vAlign w:val="bottom"/>
            <w:shd w:val="clear" w:color="auto" w:fill="EEEBEA"/>
          </w:tcPr>
          <w:p>
            <w:pPr>
              <w:spacing w:after="0"/>
              <w:rPr>
                <w:sz w:val="7"/>
                <w:szCs w:val="7"/>
                <w:color w:val="auto"/>
              </w:rPr>
            </w:pPr>
          </w:p>
        </w:tc>
        <w:tc>
          <w:tcPr>
            <w:tcW w:w="200" w:type="dxa"/>
            <w:vAlign w:val="bottom"/>
            <w:shd w:val="clear" w:color="auto" w:fill="EEEBEA"/>
          </w:tcPr>
          <w:p>
            <w:pPr>
              <w:spacing w:after="0"/>
              <w:rPr>
                <w:sz w:val="7"/>
                <w:szCs w:val="7"/>
                <w:color w:val="auto"/>
              </w:rPr>
            </w:pPr>
          </w:p>
        </w:tc>
        <w:tc>
          <w:tcPr>
            <w:tcW w:w="2760" w:type="dxa"/>
            <w:vAlign w:val="bottom"/>
            <w:gridSpan w:val="2"/>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w w:val="95"/>
              </w:rPr>
              <w:t>Options</w:t>
            </w:r>
            <w:r>
              <w:rPr>
                <w:rFonts w:ascii="Arial" w:cs="Arial" w:eastAsia="Arial" w:hAnsi="Arial"/>
                <w:sz w:val="21"/>
                <w:szCs w:val="21"/>
                <w:b w:val="1"/>
                <w:bCs w:val="1"/>
                <w:color w:val="F06A6A"/>
                <w:w w:val="95"/>
                <w:vertAlign w:val="superscript"/>
              </w:rPr>
              <w:t>(2)</w:t>
            </w:r>
          </w:p>
        </w:tc>
        <w:tc>
          <w:tcPr>
            <w:tcW w:w="1460" w:type="dxa"/>
            <w:vAlign w:val="bottom"/>
            <w:shd w:val="clear" w:color="auto" w:fill="EEEBEA"/>
          </w:tcPr>
          <w:p>
            <w:pPr>
              <w:spacing w:after="0"/>
              <w:rPr>
                <w:sz w:val="7"/>
                <w:szCs w:val="7"/>
                <w:color w:val="auto"/>
              </w:rPr>
            </w:pPr>
          </w:p>
        </w:tc>
        <w:tc>
          <w:tcPr>
            <w:tcW w:w="1220" w:type="dxa"/>
            <w:vAlign w:val="bottom"/>
            <w:shd w:val="clear" w:color="auto" w:fill="EEEBEA"/>
          </w:tcPr>
          <w:p>
            <w:pPr>
              <w:spacing w:after="0"/>
              <w:rPr>
                <w:sz w:val="7"/>
                <w:szCs w:val="7"/>
                <w:color w:val="auto"/>
              </w:rPr>
            </w:pPr>
          </w:p>
        </w:tc>
        <w:tc>
          <w:tcPr>
            <w:tcW w:w="1300" w:type="dxa"/>
            <w:vAlign w:val="bottom"/>
            <w:vMerge w:val="continue"/>
            <w:shd w:val="clear" w:color="auto" w:fill="EEEBEA"/>
          </w:tcPr>
          <w:p>
            <w:pPr>
              <w:spacing w:after="0"/>
              <w:rPr>
                <w:sz w:val="7"/>
                <w:szCs w:val="7"/>
                <w:color w:val="auto"/>
              </w:rPr>
            </w:pPr>
          </w:p>
        </w:tc>
        <w:tc>
          <w:tcPr>
            <w:tcW w:w="100" w:type="dxa"/>
            <w:vAlign w:val="bottom"/>
            <w:shd w:val="clear" w:color="auto" w:fill="EEEBEA"/>
          </w:tcPr>
          <w:p>
            <w:pPr>
              <w:spacing w:after="0"/>
              <w:rPr>
                <w:sz w:val="7"/>
                <w:szCs w:val="7"/>
                <w:color w:val="auto"/>
              </w:rPr>
            </w:pPr>
          </w:p>
        </w:tc>
        <w:tc>
          <w:tcPr>
            <w:tcW w:w="1200" w:type="dxa"/>
            <w:vAlign w:val="bottom"/>
            <w:gridSpan w:val="5"/>
            <w:vMerge w:val="continue"/>
            <w:shd w:val="clear" w:color="auto" w:fill="EEEBEA"/>
          </w:tcPr>
          <w:p>
            <w:pPr>
              <w:spacing w:after="0"/>
              <w:rPr>
                <w:sz w:val="7"/>
                <w:szCs w:val="7"/>
                <w:color w:val="auto"/>
              </w:rPr>
            </w:pPr>
          </w:p>
        </w:tc>
        <w:tc>
          <w:tcPr>
            <w:tcW w:w="60" w:type="dxa"/>
            <w:vAlign w:val="bottom"/>
            <w:shd w:val="clear" w:color="auto" w:fill="EEEBEA"/>
          </w:tcPr>
          <w:p>
            <w:pPr>
              <w:spacing w:after="0"/>
              <w:rPr>
                <w:sz w:val="7"/>
                <w:szCs w:val="7"/>
                <w:color w:val="auto"/>
              </w:rPr>
            </w:pPr>
          </w:p>
        </w:tc>
        <w:tc>
          <w:tcPr>
            <w:tcW w:w="40" w:type="dxa"/>
            <w:vAlign w:val="bottom"/>
            <w:shd w:val="clear" w:color="auto" w:fill="EEEBEA"/>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40" w:type="dxa"/>
            <w:vAlign w:val="bottom"/>
            <w:tcBorders>
              <w:bottom w:val="single" w:sz="8" w:color="EEEBEA"/>
            </w:tcBorders>
            <w:shd w:val="clear" w:color="auto" w:fill="EEEBEA"/>
          </w:tcPr>
          <w:p>
            <w:pPr>
              <w:spacing w:after="0"/>
              <w:rPr>
                <w:sz w:val="16"/>
                <w:szCs w:val="16"/>
                <w:color w:val="auto"/>
              </w:rPr>
            </w:pPr>
          </w:p>
        </w:tc>
        <w:tc>
          <w:tcPr>
            <w:tcW w:w="200" w:type="dxa"/>
            <w:vAlign w:val="bottom"/>
            <w:tcBorders>
              <w:bottom w:val="single" w:sz="8" w:color="EEEBEA"/>
            </w:tcBorders>
            <w:shd w:val="clear" w:color="auto" w:fill="EEEBEA"/>
          </w:tcPr>
          <w:p>
            <w:pPr>
              <w:spacing w:after="0"/>
              <w:rPr>
                <w:sz w:val="16"/>
                <w:szCs w:val="16"/>
                <w:color w:val="auto"/>
              </w:rPr>
            </w:pPr>
          </w:p>
        </w:tc>
        <w:tc>
          <w:tcPr>
            <w:tcW w:w="820" w:type="dxa"/>
            <w:vAlign w:val="bottom"/>
            <w:tcBorders>
              <w:bottom w:val="single" w:sz="8" w:color="EEEBEA"/>
            </w:tcBorders>
            <w:shd w:val="clear" w:color="auto" w:fill="EEEBEA"/>
          </w:tcPr>
          <w:p>
            <w:pPr>
              <w:spacing w:after="0"/>
              <w:rPr>
                <w:sz w:val="16"/>
                <w:szCs w:val="16"/>
                <w:color w:val="auto"/>
              </w:rPr>
            </w:pPr>
          </w:p>
        </w:tc>
        <w:tc>
          <w:tcPr>
            <w:tcW w:w="140" w:type="dxa"/>
            <w:vAlign w:val="bottom"/>
            <w:tcBorders>
              <w:bottom w:val="single" w:sz="8" w:color="EEEBEA"/>
            </w:tcBorders>
            <w:shd w:val="clear" w:color="auto" w:fill="EEEBEA"/>
          </w:tcPr>
          <w:p>
            <w:pPr>
              <w:spacing w:after="0"/>
              <w:rPr>
                <w:sz w:val="16"/>
                <w:szCs w:val="16"/>
                <w:color w:val="auto"/>
              </w:rPr>
            </w:pPr>
          </w:p>
        </w:tc>
        <w:tc>
          <w:tcPr>
            <w:tcW w:w="200" w:type="dxa"/>
            <w:vAlign w:val="bottom"/>
            <w:tcBorders>
              <w:bottom w:val="single" w:sz="8" w:color="EEEBEA"/>
            </w:tcBorders>
            <w:shd w:val="clear" w:color="auto" w:fill="EEEBEA"/>
          </w:tcPr>
          <w:p>
            <w:pPr>
              <w:spacing w:after="0"/>
              <w:rPr>
                <w:sz w:val="16"/>
                <w:szCs w:val="16"/>
                <w:color w:val="auto"/>
              </w:rPr>
            </w:pPr>
          </w:p>
        </w:tc>
        <w:tc>
          <w:tcPr>
            <w:tcW w:w="2760" w:type="dxa"/>
            <w:vAlign w:val="bottom"/>
            <w:tcBorders>
              <w:bottom w:val="single" w:sz="8" w:color="A5A4A3"/>
            </w:tcBorders>
            <w:gridSpan w:val="2"/>
            <w:vMerge w:val="continue"/>
            <w:shd w:val="clear" w:color="auto" w:fill="EEEBEA"/>
          </w:tcPr>
          <w:p>
            <w:pPr>
              <w:spacing w:after="0"/>
              <w:rPr>
                <w:sz w:val="16"/>
                <w:szCs w:val="16"/>
                <w:color w:val="auto"/>
              </w:rPr>
            </w:pPr>
          </w:p>
        </w:tc>
        <w:tc>
          <w:tcPr>
            <w:tcW w:w="1460" w:type="dxa"/>
            <w:vAlign w:val="bottom"/>
            <w:tcBorders>
              <w:bottom w:val="single" w:sz="8" w:color="EEEBEA"/>
            </w:tcBorders>
            <w:shd w:val="clear" w:color="auto" w:fill="EEEBEA"/>
          </w:tcPr>
          <w:p>
            <w:pPr>
              <w:spacing w:after="0"/>
              <w:rPr>
                <w:sz w:val="16"/>
                <w:szCs w:val="16"/>
                <w:color w:val="auto"/>
              </w:rPr>
            </w:pPr>
          </w:p>
        </w:tc>
        <w:tc>
          <w:tcPr>
            <w:tcW w:w="1220" w:type="dxa"/>
            <w:vAlign w:val="bottom"/>
            <w:tcBorders>
              <w:bottom w:val="single" w:sz="8" w:color="EEEBEA"/>
            </w:tcBorders>
            <w:shd w:val="clear" w:color="auto" w:fill="EEEBEA"/>
          </w:tcPr>
          <w:p>
            <w:pPr>
              <w:spacing w:after="0"/>
              <w:rPr>
                <w:sz w:val="16"/>
                <w:szCs w:val="16"/>
                <w:color w:val="auto"/>
              </w:rPr>
            </w:pPr>
          </w:p>
        </w:tc>
        <w:tc>
          <w:tcPr>
            <w:tcW w:w="1300" w:type="dxa"/>
            <w:vAlign w:val="bottom"/>
            <w:tcBorders>
              <w:bottom w:val="single" w:sz="8" w:color="EEEBEA"/>
            </w:tcBorders>
            <w:shd w:val="clear" w:color="auto" w:fill="EEEBEA"/>
          </w:tcPr>
          <w:p>
            <w:pPr>
              <w:jc w:val="center"/>
              <w:spacing w:after="0"/>
              <w:rPr>
                <w:sz w:val="20"/>
                <w:szCs w:val="20"/>
                <w:color w:val="auto"/>
              </w:rPr>
            </w:pPr>
            <w:r>
              <w:rPr>
                <w:rFonts w:ascii="Arial" w:cs="Arial" w:eastAsia="Arial" w:hAnsi="Arial"/>
                <w:sz w:val="16"/>
                <w:szCs w:val="16"/>
                <w:b w:val="1"/>
                <w:bCs w:val="1"/>
                <w:color w:val="F06A6A"/>
              </w:rPr>
              <w:t>Have Not</w:t>
            </w:r>
          </w:p>
        </w:tc>
        <w:tc>
          <w:tcPr>
            <w:tcW w:w="1360" w:type="dxa"/>
            <w:vAlign w:val="bottom"/>
            <w:tcBorders>
              <w:bottom w:val="single" w:sz="8" w:color="EEEBEA"/>
            </w:tcBorders>
            <w:gridSpan w:val="7"/>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Shares that Have</w:t>
            </w:r>
          </w:p>
        </w:tc>
        <w:tc>
          <w:tcPr>
            <w:tcW w:w="40" w:type="dxa"/>
            <w:vAlign w:val="bottom"/>
            <w:tcBorders>
              <w:bottom w:val="single" w:sz="8" w:color="EEEBEA"/>
            </w:tcBorders>
            <w:shd w:val="clear" w:color="auto" w:fill="EEEBEA"/>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EEEBEA"/>
          </w:tcPr>
          <w:p>
            <w:pPr>
              <w:spacing w:after="0"/>
              <w:rPr>
                <w:sz w:val="13"/>
                <w:szCs w:val="13"/>
                <w:color w:val="auto"/>
              </w:rPr>
            </w:pPr>
          </w:p>
        </w:tc>
        <w:tc>
          <w:tcPr>
            <w:tcW w:w="200" w:type="dxa"/>
            <w:vAlign w:val="bottom"/>
            <w:shd w:val="clear" w:color="auto" w:fill="EEEBEA"/>
          </w:tcPr>
          <w:p>
            <w:pPr>
              <w:spacing w:after="0"/>
              <w:rPr>
                <w:sz w:val="13"/>
                <w:szCs w:val="13"/>
                <w:color w:val="auto"/>
              </w:rPr>
            </w:pPr>
          </w:p>
        </w:tc>
        <w:tc>
          <w:tcPr>
            <w:tcW w:w="820" w:type="dxa"/>
            <w:vAlign w:val="bottom"/>
            <w:shd w:val="clear" w:color="auto" w:fill="EEEBEA"/>
          </w:tcPr>
          <w:p>
            <w:pPr>
              <w:spacing w:after="0"/>
              <w:rPr>
                <w:sz w:val="13"/>
                <w:szCs w:val="13"/>
                <w:color w:val="auto"/>
              </w:rPr>
            </w:pPr>
          </w:p>
        </w:tc>
        <w:tc>
          <w:tcPr>
            <w:tcW w:w="140" w:type="dxa"/>
            <w:vAlign w:val="bottom"/>
            <w:shd w:val="clear" w:color="auto" w:fill="EEEBEA"/>
          </w:tcPr>
          <w:p>
            <w:pPr>
              <w:spacing w:after="0"/>
              <w:rPr>
                <w:sz w:val="13"/>
                <w:szCs w:val="13"/>
                <w:color w:val="auto"/>
              </w:rPr>
            </w:pPr>
          </w:p>
        </w:tc>
        <w:tc>
          <w:tcPr>
            <w:tcW w:w="200" w:type="dxa"/>
            <w:vAlign w:val="bottom"/>
            <w:shd w:val="clear" w:color="auto" w:fill="EEEBEA"/>
          </w:tcPr>
          <w:p>
            <w:pPr>
              <w:spacing w:after="0"/>
              <w:rPr>
                <w:sz w:val="13"/>
                <w:szCs w:val="13"/>
                <w:color w:val="auto"/>
              </w:rPr>
            </w:pPr>
          </w:p>
        </w:tc>
        <w:tc>
          <w:tcPr>
            <w:tcW w:w="1240" w:type="dxa"/>
            <w:vAlign w:val="bottom"/>
            <w:shd w:val="clear" w:color="auto" w:fill="EEEBEA"/>
          </w:tcPr>
          <w:p>
            <w:pPr>
              <w:spacing w:after="0"/>
              <w:rPr>
                <w:sz w:val="13"/>
                <w:szCs w:val="13"/>
                <w:color w:val="auto"/>
              </w:rPr>
            </w:pPr>
          </w:p>
        </w:tc>
        <w:tc>
          <w:tcPr>
            <w:tcW w:w="1520" w:type="dxa"/>
            <w:vAlign w:val="bottom"/>
            <w:shd w:val="clear" w:color="auto" w:fill="EEEBEA"/>
          </w:tcPr>
          <w:p>
            <w:pPr>
              <w:spacing w:after="0"/>
              <w:rPr>
                <w:sz w:val="13"/>
                <w:szCs w:val="13"/>
                <w:color w:val="auto"/>
              </w:rPr>
            </w:pPr>
          </w:p>
        </w:tc>
        <w:tc>
          <w:tcPr>
            <w:tcW w:w="1460" w:type="dxa"/>
            <w:vAlign w:val="bottom"/>
            <w:vMerge w:val="restart"/>
            <w:shd w:val="clear" w:color="auto" w:fill="EEEBEA"/>
          </w:tcPr>
          <w:p>
            <w:pPr>
              <w:ind w:left="160"/>
              <w:spacing w:after="0"/>
              <w:rPr>
                <w:sz w:val="20"/>
                <w:szCs w:val="20"/>
                <w:color w:val="auto"/>
              </w:rPr>
            </w:pPr>
            <w:r>
              <w:rPr>
                <w:rFonts w:ascii="Arial" w:cs="Arial" w:eastAsia="Arial" w:hAnsi="Arial"/>
                <w:sz w:val="16"/>
                <w:szCs w:val="16"/>
                <w:b w:val="1"/>
                <w:bCs w:val="1"/>
                <w:color w:val="F06A6A"/>
              </w:rPr>
              <w:t>Exercise Price</w:t>
            </w:r>
          </w:p>
        </w:tc>
        <w:tc>
          <w:tcPr>
            <w:tcW w:w="122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Expiration</w:t>
            </w:r>
          </w:p>
        </w:tc>
        <w:tc>
          <w:tcPr>
            <w:tcW w:w="130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Vested</w:t>
            </w:r>
          </w:p>
        </w:tc>
        <w:tc>
          <w:tcPr>
            <w:tcW w:w="100" w:type="dxa"/>
            <w:vAlign w:val="bottom"/>
            <w:shd w:val="clear" w:color="auto" w:fill="EEEBEA"/>
          </w:tcPr>
          <w:p>
            <w:pPr>
              <w:spacing w:after="0"/>
              <w:rPr>
                <w:sz w:val="13"/>
                <w:szCs w:val="13"/>
                <w:color w:val="auto"/>
              </w:rPr>
            </w:pPr>
          </w:p>
        </w:tc>
        <w:tc>
          <w:tcPr>
            <w:tcW w:w="120" w:type="dxa"/>
            <w:vAlign w:val="bottom"/>
            <w:shd w:val="clear" w:color="auto" w:fill="EEEBEA"/>
          </w:tcPr>
          <w:p>
            <w:pPr>
              <w:spacing w:after="0"/>
              <w:rPr>
                <w:sz w:val="13"/>
                <w:szCs w:val="13"/>
                <w:color w:val="auto"/>
              </w:rPr>
            </w:pPr>
          </w:p>
        </w:tc>
        <w:tc>
          <w:tcPr>
            <w:tcW w:w="820" w:type="dxa"/>
            <w:vAlign w:val="bottom"/>
            <w:gridSpan w:val="3"/>
            <w:vMerge w:val="restart"/>
            <w:shd w:val="clear" w:color="auto" w:fill="EEEBEA"/>
          </w:tcPr>
          <w:p>
            <w:pPr>
              <w:spacing w:after="0"/>
              <w:rPr>
                <w:sz w:val="20"/>
                <w:szCs w:val="20"/>
                <w:color w:val="auto"/>
              </w:rPr>
            </w:pPr>
            <w:r>
              <w:rPr>
                <w:rFonts w:ascii="Arial" w:cs="Arial" w:eastAsia="Arial" w:hAnsi="Arial"/>
                <w:sz w:val="16"/>
                <w:szCs w:val="16"/>
                <w:b w:val="1"/>
                <w:bCs w:val="1"/>
                <w:color w:val="F06A6A"/>
                <w:w w:val="95"/>
                <w:shd w:val="clear" w:color="auto" w:fill="EEEBEA"/>
              </w:rPr>
              <w:t>Not Vested</w:t>
            </w:r>
          </w:p>
        </w:tc>
        <w:tc>
          <w:tcPr>
            <w:tcW w:w="260" w:type="dxa"/>
            <w:vAlign w:val="bottom"/>
            <w:shd w:val="clear" w:color="auto" w:fill="EEEBEA"/>
          </w:tcPr>
          <w:p>
            <w:pPr>
              <w:jc w:val="right"/>
              <w:ind w:right="67"/>
              <w:spacing w:after="0"/>
              <w:rPr>
                <w:sz w:val="20"/>
                <w:szCs w:val="20"/>
                <w:color w:val="auto"/>
              </w:rPr>
            </w:pPr>
            <w:r>
              <w:rPr>
                <w:rFonts w:ascii="Arial" w:cs="Arial" w:eastAsia="Arial" w:hAnsi="Arial"/>
                <w:sz w:val="11"/>
                <w:szCs w:val="11"/>
                <w:b w:val="1"/>
                <w:bCs w:val="1"/>
                <w:color w:val="F06A6A"/>
                <w:w w:val="88"/>
                <w:shd w:val="clear" w:color="auto" w:fill="EEEBEA"/>
              </w:rPr>
              <w:t>(3)</w:t>
            </w:r>
          </w:p>
        </w:tc>
        <w:tc>
          <w:tcPr>
            <w:tcW w:w="60" w:type="dxa"/>
            <w:vAlign w:val="bottom"/>
            <w:shd w:val="clear" w:color="auto" w:fill="EEEBEA"/>
          </w:tcPr>
          <w:p>
            <w:pPr>
              <w:spacing w:after="0"/>
              <w:rPr>
                <w:sz w:val="13"/>
                <w:szCs w:val="13"/>
                <w:color w:val="auto"/>
              </w:rPr>
            </w:pPr>
          </w:p>
        </w:tc>
        <w:tc>
          <w:tcPr>
            <w:tcW w:w="40" w:type="dxa"/>
            <w:vAlign w:val="bottom"/>
            <w:shd w:val="clear" w:color="auto" w:fill="EEEBEA"/>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740" w:type="dxa"/>
            <w:vAlign w:val="bottom"/>
            <w:vMerge w:val="restart"/>
            <w:shd w:val="clear" w:color="auto" w:fill="EEEBEA"/>
          </w:tcPr>
          <w:p>
            <w:pPr>
              <w:ind w:left="100"/>
              <w:spacing w:after="0"/>
              <w:rPr>
                <w:sz w:val="20"/>
                <w:szCs w:val="20"/>
                <w:color w:val="auto"/>
              </w:rPr>
            </w:pPr>
            <w:r>
              <w:rPr>
                <w:rFonts w:ascii="Arial" w:cs="Arial" w:eastAsia="Arial" w:hAnsi="Arial"/>
                <w:sz w:val="16"/>
                <w:szCs w:val="16"/>
                <w:b w:val="1"/>
                <w:bCs w:val="1"/>
                <w:color w:val="F06A6A"/>
              </w:rPr>
              <w:t>Name</w:t>
            </w:r>
          </w:p>
        </w:tc>
        <w:tc>
          <w:tcPr>
            <w:tcW w:w="200" w:type="dxa"/>
            <w:vAlign w:val="bottom"/>
            <w:shd w:val="clear" w:color="auto" w:fill="EEEBEA"/>
          </w:tcPr>
          <w:p>
            <w:pPr>
              <w:spacing w:after="0"/>
              <w:rPr>
                <w:sz w:val="4"/>
                <w:szCs w:val="4"/>
                <w:color w:val="auto"/>
              </w:rPr>
            </w:pPr>
          </w:p>
        </w:tc>
        <w:tc>
          <w:tcPr>
            <w:tcW w:w="820" w:type="dxa"/>
            <w:vAlign w:val="bottom"/>
            <w:vMerge w:val="restart"/>
            <w:shd w:val="clear" w:color="auto" w:fill="EEEBEA"/>
          </w:tcPr>
          <w:p>
            <w:pPr>
              <w:spacing w:after="0"/>
              <w:rPr>
                <w:sz w:val="20"/>
                <w:szCs w:val="20"/>
                <w:color w:val="auto"/>
              </w:rPr>
            </w:pPr>
            <w:r>
              <w:rPr>
                <w:rFonts w:ascii="Arial" w:cs="Arial" w:eastAsia="Arial" w:hAnsi="Arial"/>
                <w:sz w:val="16"/>
                <w:szCs w:val="16"/>
                <w:b w:val="1"/>
                <w:bCs w:val="1"/>
                <w:color w:val="F06A6A"/>
                <w:w w:val="97"/>
                <w:shd w:val="clear" w:color="auto" w:fill="EEEBEA"/>
              </w:rPr>
              <w:t>Grant Date</w:t>
            </w:r>
          </w:p>
        </w:tc>
        <w:tc>
          <w:tcPr>
            <w:tcW w:w="140" w:type="dxa"/>
            <w:vAlign w:val="bottom"/>
            <w:vMerge w:val="restart"/>
            <w:shd w:val="clear" w:color="auto" w:fill="EEEBEA"/>
          </w:tcPr>
          <w:p>
            <w:pPr>
              <w:jc w:val="right"/>
              <w:spacing w:after="0"/>
              <w:rPr>
                <w:sz w:val="20"/>
                <w:szCs w:val="20"/>
                <w:color w:val="auto"/>
              </w:rPr>
            </w:pPr>
            <w:r>
              <w:rPr>
                <w:rFonts w:ascii="Arial" w:cs="Arial" w:eastAsia="Arial" w:hAnsi="Arial"/>
                <w:sz w:val="11"/>
                <w:szCs w:val="11"/>
                <w:b w:val="1"/>
                <w:bCs w:val="1"/>
                <w:color w:val="F06A6A"/>
                <w:w w:val="88"/>
                <w:shd w:val="clear" w:color="auto" w:fill="EEEBEA"/>
              </w:rPr>
              <w:t>(1)</w:t>
            </w:r>
          </w:p>
        </w:tc>
        <w:tc>
          <w:tcPr>
            <w:tcW w:w="200" w:type="dxa"/>
            <w:vAlign w:val="bottom"/>
            <w:shd w:val="clear" w:color="auto" w:fill="EEEBEA"/>
          </w:tcPr>
          <w:p>
            <w:pPr>
              <w:spacing w:after="0"/>
              <w:rPr>
                <w:sz w:val="4"/>
                <w:szCs w:val="4"/>
                <w:color w:val="auto"/>
              </w:rPr>
            </w:pPr>
          </w:p>
        </w:tc>
        <w:tc>
          <w:tcPr>
            <w:tcW w:w="1240" w:type="dxa"/>
            <w:vAlign w:val="bottom"/>
            <w:vMerge w:val="restart"/>
            <w:shd w:val="clear" w:color="auto" w:fill="EEEBEA"/>
          </w:tcPr>
          <w:p>
            <w:pPr>
              <w:ind w:left="160"/>
              <w:spacing w:after="0"/>
              <w:rPr>
                <w:sz w:val="20"/>
                <w:szCs w:val="20"/>
                <w:color w:val="auto"/>
              </w:rPr>
            </w:pPr>
            <w:r>
              <w:rPr>
                <w:rFonts w:ascii="Arial" w:cs="Arial" w:eastAsia="Arial" w:hAnsi="Arial"/>
                <w:sz w:val="16"/>
                <w:szCs w:val="16"/>
                <w:b w:val="1"/>
                <w:bCs w:val="1"/>
                <w:color w:val="F06A6A"/>
              </w:rPr>
              <w:t>Exercisable</w:t>
            </w:r>
          </w:p>
        </w:tc>
        <w:tc>
          <w:tcPr>
            <w:tcW w:w="152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Unexercisable</w:t>
            </w:r>
          </w:p>
        </w:tc>
        <w:tc>
          <w:tcPr>
            <w:tcW w:w="1460" w:type="dxa"/>
            <w:vAlign w:val="bottom"/>
            <w:vMerge w:val="continue"/>
            <w:shd w:val="clear" w:color="auto" w:fill="EEEBEA"/>
          </w:tcPr>
          <w:p>
            <w:pPr>
              <w:spacing w:after="0"/>
              <w:rPr>
                <w:sz w:val="4"/>
                <w:szCs w:val="4"/>
                <w:color w:val="auto"/>
              </w:rPr>
            </w:pPr>
          </w:p>
        </w:tc>
        <w:tc>
          <w:tcPr>
            <w:tcW w:w="1220" w:type="dxa"/>
            <w:vAlign w:val="bottom"/>
            <w:vMerge w:val="continue"/>
            <w:shd w:val="clear" w:color="auto" w:fill="EEEBEA"/>
          </w:tcPr>
          <w:p>
            <w:pPr>
              <w:spacing w:after="0"/>
              <w:rPr>
                <w:sz w:val="4"/>
                <w:szCs w:val="4"/>
                <w:color w:val="auto"/>
              </w:rPr>
            </w:pPr>
          </w:p>
        </w:tc>
        <w:tc>
          <w:tcPr>
            <w:tcW w:w="1300" w:type="dxa"/>
            <w:vAlign w:val="bottom"/>
            <w:vMerge w:val="continue"/>
            <w:shd w:val="clear" w:color="auto" w:fill="EEEBEA"/>
          </w:tcPr>
          <w:p>
            <w:pPr>
              <w:spacing w:after="0"/>
              <w:rPr>
                <w:sz w:val="4"/>
                <w:szCs w:val="4"/>
                <w:color w:val="auto"/>
              </w:rPr>
            </w:pPr>
          </w:p>
        </w:tc>
        <w:tc>
          <w:tcPr>
            <w:tcW w:w="100" w:type="dxa"/>
            <w:vAlign w:val="bottom"/>
            <w:shd w:val="clear" w:color="auto" w:fill="EEEBEA"/>
          </w:tcPr>
          <w:p>
            <w:pPr>
              <w:spacing w:after="0"/>
              <w:rPr>
                <w:sz w:val="4"/>
                <w:szCs w:val="4"/>
                <w:color w:val="auto"/>
              </w:rPr>
            </w:pPr>
          </w:p>
        </w:tc>
        <w:tc>
          <w:tcPr>
            <w:tcW w:w="120" w:type="dxa"/>
            <w:vAlign w:val="bottom"/>
            <w:shd w:val="clear" w:color="auto" w:fill="EEEBEA"/>
          </w:tcPr>
          <w:p>
            <w:pPr>
              <w:spacing w:after="0"/>
              <w:rPr>
                <w:sz w:val="4"/>
                <w:szCs w:val="4"/>
                <w:color w:val="auto"/>
              </w:rPr>
            </w:pPr>
          </w:p>
        </w:tc>
        <w:tc>
          <w:tcPr>
            <w:tcW w:w="820" w:type="dxa"/>
            <w:vAlign w:val="bottom"/>
            <w:gridSpan w:val="3"/>
            <w:vMerge w:val="continue"/>
            <w:shd w:val="clear" w:color="auto" w:fill="EEEBEA"/>
          </w:tcPr>
          <w:p>
            <w:pPr>
              <w:spacing w:after="0"/>
              <w:rPr>
                <w:sz w:val="4"/>
                <w:szCs w:val="4"/>
                <w:color w:val="auto"/>
              </w:rPr>
            </w:pPr>
          </w:p>
        </w:tc>
        <w:tc>
          <w:tcPr>
            <w:tcW w:w="260" w:type="dxa"/>
            <w:vAlign w:val="bottom"/>
            <w:shd w:val="clear" w:color="auto" w:fill="EEEBEA"/>
          </w:tcPr>
          <w:p>
            <w:pPr>
              <w:spacing w:after="0"/>
              <w:rPr>
                <w:sz w:val="4"/>
                <w:szCs w:val="4"/>
                <w:color w:val="auto"/>
              </w:rPr>
            </w:pPr>
          </w:p>
        </w:tc>
        <w:tc>
          <w:tcPr>
            <w:tcW w:w="60" w:type="dxa"/>
            <w:vAlign w:val="bottom"/>
            <w:shd w:val="clear" w:color="auto" w:fill="EEEBEA"/>
          </w:tcPr>
          <w:p>
            <w:pPr>
              <w:spacing w:after="0"/>
              <w:rPr>
                <w:sz w:val="4"/>
                <w:szCs w:val="4"/>
                <w:color w:val="auto"/>
              </w:rPr>
            </w:pPr>
          </w:p>
        </w:tc>
        <w:tc>
          <w:tcPr>
            <w:tcW w:w="40" w:type="dxa"/>
            <w:vAlign w:val="bottom"/>
            <w:shd w:val="clear" w:color="auto" w:fill="EEEBEA"/>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740" w:type="dxa"/>
            <w:vAlign w:val="bottom"/>
            <w:vMerge w:val="continue"/>
            <w:shd w:val="clear" w:color="auto" w:fill="EEEBEA"/>
          </w:tcPr>
          <w:p>
            <w:pPr>
              <w:spacing w:after="0"/>
              <w:rPr>
                <w:sz w:val="12"/>
                <w:szCs w:val="12"/>
                <w:color w:val="auto"/>
              </w:rPr>
            </w:pPr>
          </w:p>
        </w:tc>
        <w:tc>
          <w:tcPr>
            <w:tcW w:w="200" w:type="dxa"/>
            <w:vAlign w:val="bottom"/>
            <w:shd w:val="clear" w:color="auto" w:fill="EEEBEA"/>
          </w:tcPr>
          <w:p>
            <w:pPr>
              <w:spacing w:after="0"/>
              <w:rPr>
                <w:sz w:val="12"/>
                <w:szCs w:val="12"/>
                <w:color w:val="auto"/>
              </w:rPr>
            </w:pPr>
          </w:p>
        </w:tc>
        <w:tc>
          <w:tcPr>
            <w:tcW w:w="820" w:type="dxa"/>
            <w:vAlign w:val="bottom"/>
            <w:vMerge w:val="continue"/>
            <w:shd w:val="clear" w:color="auto" w:fill="EEEBEA"/>
          </w:tcPr>
          <w:p>
            <w:pPr>
              <w:spacing w:after="0"/>
              <w:rPr>
                <w:sz w:val="12"/>
                <w:szCs w:val="12"/>
                <w:color w:val="auto"/>
              </w:rPr>
            </w:pPr>
          </w:p>
        </w:tc>
        <w:tc>
          <w:tcPr>
            <w:tcW w:w="140" w:type="dxa"/>
            <w:vAlign w:val="bottom"/>
            <w:vMerge w:val="continue"/>
            <w:shd w:val="clear" w:color="auto" w:fill="EEEBEA"/>
          </w:tcPr>
          <w:p>
            <w:pPr>
              <w:spacing w:after="0"/>
              <w:rPr>
                <w:sz w:val="12"/>
                <w:szCs w:val="12"/>
                <w:color w:val="auto"/>
              </w:rPr>
            </w:pPr>
          </w:p>
        </w:tc>
        <w:tc>
          <w:tcPr>
            <w:tcW w:w="200" w:type="dxa"/>
            <w:vAlign w:val="bottom"/>
            <w:shd w:val="clear" w:color="auto" w:fill="EEEBEA"/>
          </w:tcPr>
          <w:p>
            <w:pPr>
              <w:spacing w:after="0"/>
              <w:rPr>
                <w:sz w:val="12"/>
                <w:szCs w:val="12"/>
                <w:color w:val="auto"/>
              </w:rPr>
            </w:pPr>
          </w:p>
        </w:tc>
        <w:tc>
          <w:tcPr>
            <w:tcW w:w="1240" w:type="dxa"/>
            <w:vAlign w:val="bottom"/>
            <w:vMerge w:val="continue"/>
            <w:shd w:val="clear" w:color="auto" w:fill="EEEBEA"/>
          </w:tcPr>
          <w:p>
            <w:pPr>
              <w:spacing w:after="0"/>
              <w:rPr>
                <w:sz w:val="12"/>
                <w:szCs w:val="12"/>
                <w:color w:val="auto"/>
              </w:rPr>
            </w:pPr>
          </w:p>
        </w:tc>
        <w:tc>
          <w:tcPr>
            <w:tcW w:w="1520" w:type="dxa"/>
            <w:vAlign w:val="bottom"/>
            <w:vMerge w:val="continue"/>
            <w:shd w:val="clear" w:color="auto" w:fill="EEEBEA"/>
          </w:tcPr>
          <w:p>
            <w:pPr>
              <w:spacing w:after="0"/>
              <w:rPr>
                <w:sz w:val="12"/>
                <w:szCs w:val="12"/>
                <w:color w:val="auto"/>
              </w:rPr>
            </w:pPr>
          </w:p>
        </w:tc>
        <w:tc>
          <w:tcPr>
            <w:tcW w:w="146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122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Date</w:t>
            </w:r>
          </w:p>
        </w:tc>
        <w:tc>
          <w:tcPr>
            <w:tcW w:w="130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600" w:type="dxa"/>
            <w:vAlign w:val="bottom"/>
            <w:gridSpan w:val="3"/>
            <w:shd w:val="clear" w:color="auto" w:fill="EEEBEA"/>
          </w:tcPr>
          <w:p>
            <w:pPr>
              <w:spacing w:after="0"/>
              <w:rPr>
                <w:sz w:val="12"/>
                <w:szCs w:val="12"/>
                <w:color w:val="auto"/>
              </w:rPr>
            </w:pPr>
          </w:p>
        </w:tc>
        <w:tc>
          <w:tcPr>
            <w:tcW w:w="20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w:t>
            </w:r>
          </w:p>
        </w:tc>
        <w:tc>
          <w:tcPr>
            <w:tcW w:w="240" w:type="dxa"/>
            <w:vAlign w:val="bottom"/>
            <w:shd w:val="clear" w:color="auto" w:fill="EEEBEA"/>
          </w:tcPr>
          <w:p>
            <w:pPr>
              <w:spacing w:after="0"/>
              <w:rPr>
                <w:sz w:val="12"/>
                <w:szCs w:val="12"/>
                <w:color w:val="auto"/>
              </w:rPr>
            </w:pPr>
          </w:p>
        </w:tc>
        <w:tc>
          <w:tcPr>
            <w:tcW w:w="260" w:type="dxa"/>
            <w:vAlign w:val="bottom"/>
            <w:shd w:val="clear" w:color="auto" w:fill="EEEBEA"/>
          </w:tcPr>
          <w:p>
            <w:pPr>
              <w:spacing w:after="0"/>
              <w:rPr>
                <w:sz w:val="12"/>
                <w:szCs w:val="12"/>
                <w:color w:val="auto"/>
              </w:rPr>
            </w:pPr>
          </w:p>
        </w:tc>
        <w:tc>
          <w:tcPr>
            <w:tcW w:w="60" w:type="dxa"/>
            <w:vAlign w:val="bottom"/>
            <w:shd w:val="clear" w:color="auto" w:fill="EEEBEA"/>
          </w:tcPr>
          <w:p>
            <w:pPr>
              <w:spacing w:after="0"/>
              <w:rPr>
                <w:sz w:val="12"/>
                <w:szCs w:val="12"/>
                <w:color w:val="auto"/>
              </w:rPr>
            </w:pPr>
          </w:p>
        </w:tc>
        <w:tc>
          <w:tcPr>
            <w:tcW w:w="40" w:type="dxa"/>
            <w:vAlign w:val="bottom"/>
            <w:shd w:val="clear" w:color="auto" w:fill="EEEBEA"/>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740" w:type="dxa"/>
            <w:vAlign w:val="bottom"/>
            <w:vMerge w:val="continue"/>
            <w:shd w:val="clear" w:color="auto" w:fill="EEEBEA"/>
          </w:tcPr>
          <w:p>
            <w:pPr>
              <w:spacing w:after="0"/>
              <w:rPr>
                <w:sz w:val="4"/>
                <w:szCs w:val="4"/>
                <w:color w:val="auto"/>
              </w:rPr>
            </w:pPr>
          </w:p>
        </w:tc>
        <w:tc>
          <w:tcPr>
            <w:tcW w:w="200" w:type="dxa"/>
            <w:vAlign w:val="bottom"/>
            <w:shd w:val="clear" w:color="auto" w:fill="EEEBEA"/>
          </w:tcPr>
          <w:p>
            <w:pPr>
              <w:spacing w:after="0"/>
              <w:rPr>
                <w:sz w:val="4"/>
                <w:szCs w:val="4"/>
                <w:color w:val="auto"/>
              </w:rPr>
            </w:pPr>
          </w:p>
        </w:tc>
        <w:tc>
          <w:tcPr>
            <w:tcW w:w="820" w:type="dxa"/>
            <w:vAlign w:val="bottom"/>
            <w:vMerge w:val="continue"/>
            <w:shd w:val="clear" w:color="auto" w:fill="EEEBEA"/>
          </w:tcPr>
          <w:p>
            <w:pPr>
              <w:spacing w:after="0"/>
              <w:rPr>
                <w:sz w:val="4"/>
                <w:szCs w:val="4"/>
                <w:color w:val="auto"/>
              </w:rPr>
            </w:pPr>
          </w:p>
        </w:tc>
        <w:tc>
          <w:tcPr>
            <w:tcW w:w="140" w:type="dxa"/>
            <w:vAlign w:val="bottom"/>
            <w:shd w:val="clear" w:color="auto" w:fill="EEEBEA"/>
          </w:tcPr>
          <w:p>
            <w:pPr>
              <w:spacing w:after="0"/>
              <w:rPr>
                <w:sz w:val="4"/>
                <w:szCs w:val="4"/>
                <w:color w:val="auto"/>
              </w:rPr>
            </w:pPr>
          </w:p>
        </w:tc>
        <w:tc>
          <w:tcPr>
            <w:tcW w:w="200" w:type="dxa"/>
            <w:vAlign w:val="bottom"/>
            <w:shd w:val="clear" w:color="auto" w:fill="EEEBEA"/>
          </w:tcPr>
          <w:p>
            <w:pPr>
              <w:spacing w:after="0"/>
              <w:rPr>
                <w:sz w:val="4"/>
                <w:szCs w:val="4"/>
                <w:color w:val="auto"/>
              </w:rPr>
            </w:pPr>
          </w:p>
        </w:tc>
        <w:tc>
          <w:tcPr>
            <w:tcW w:w="1240" w:type="dxa"/>
            <w:vAlign w:val="bottom"/>
            <w:vMerge w:val="continue"/>
            <w:shd w:val="clear" w:color="auto" w:fill="EEEBEA"/>
          </w:tcPr>
          <w:p>
            <w:pPr>
              <w:spacing w:after="0"/>
              <w:rPr>
                <w:sz w:val="4"/>
                <w:szCs w:val="4"/>
                <w:color w:val="auto"/>
              </w:rPr>
            </w:pPr>
          </w:p>
        </w:tc>
        <w:tc>
          <w:tcPr>
            <w:tcW w:w="1520" w:type="dxa"/>
            <w:vAlign w:val="bottom"/>
            <w:vMerge w:val="continue"/>
            <w:shd w:val="clear" w:color="auto" w:fill="EEEBEA"/>
          </w:tcPr>
          <w:p>
            <w:pPr>
              <w:spacing w:after="0"/>
              <w:rPr>
                <w:sz w:val="4"/>
                <w:szCs w:val="4"/>
                <w:color w:val="auto"/>
              </w:rPr>
            </w:pPr>
          </w:p>
        </w:tc>
        <w:tc>
          <w:tcPr>
            <w:tcW w:w="1460" w:type="dxa"/>
            <w:vAlign w:val="bottom"/>
            <w:vMerge w:val="continue"/>
            <w:shd w:val="clear" w:color="auto" w:fill="EEEBEA"/>
          </w:tcPr>
          <w:p>
            <w:pPr>
              <w:spacing w:after="0"/>
              <w:rPr>
                <w:sz w:val="4"/>
                <w:szCs w:val="4"/>
                <w:color w:val="auto"/>
              </w:rPr>
            </w:pPr>
          </w:p>
        </w:tc>
        <w:tc>
          <w:tcPr>
            <w:tcW w:w="1220" w:type="dxa"/>
            <w:vAlign w:val="bottom"/>
            <w:vMerge w:val="continue"/>
            <w:shd w:val="clear" w:color="auto" w:fill="EEEBEA"/>
          </w:tcPr>
          <w:p>
            <w:pPr>
              <w:spacing w:after="0"/>
              <w:rPr>
                <w:sz w:val="4"/>
                <w:szCs w:val="4"/>
                <w:color w:val="auto"/>
              </w:rPr>
            </w:pPr>
          </w:p>
        </w:tc>
        <w:tc>
          <w:tcPr>
            <w:tcW w:w="1300" w:type="dxa"/>
            <w:vAlign w:val="bottom"/>
            <w:vMerge w:val="continue"/>
            <w:shd w:val="clear" w:color="auto" w:fill="EEEBEA"/>
          </w:tcPr>
          <w:p>
            <w:pPr>
              <w:spacing w:after="0"/>
              <w:rPr>
                <w:sz w:val="4"/>
                <w:szCs w:val="4"/>
                <w:color w:val="auto"/>
              </w:rPr>
            </w:pPr>
          </w:p>
        </w:tc>
        <w:tc>
          <w:tcPr>
            <w:tcW w:w="100" w:type="dxa"/>
            <w:vAlign w:val="bottom"/>
            <w:shd w:val="clear" w:color="auto" w:fill="EEEBEA"/>
          </w:tcPr>
          <w:p>
            <w:pPr>
              <w:spacing w:after="0"/>
              <w:rPr>
                <w:sz w:val="4"/>
                <w:szCs w:val="4"/>
                <w:color w:val="auto"/>
              </w:rPr>
            </w:pPr>
          </w:p>
        </w:tc>
        <w:tc>
          <w:tcPr>
            <w:tcW w:w="120" w:type="dxa"/>
            <w:vAlign w:val="bottom"/>
            <w:shd w:val="clear" w:color="auto" w:fill="EEEBEA"/>
          </w:tcPr>
          <w:p>
            <w:pPr>
              <w:spacing w:after="0"/>
              <w:rPr>
                <w:sz w:val="4"/>
                <w:szCs w:val="4"/>
                <w:color w:val="auto"/>
              </w:rPr>
            </w:pPr>
          </w:p>
        </w:tc>
        <w:tc>
          <w:tcPr>
            <w:tcW w:w="380" w:type="dxa"/>
            <w:vAlign w:val="bottom"/>
            <w:shd w:val="clear" w:color="auto" w:fill="EEEBEA"/>
          </w:tcPr>
          <w:p>
            <w:pPr>
              <w:spacing w:after="0"/>
              <w:rPr>
                <w:sz w:val="4"/>
                <w:szCs w:val="4"/>
                <w:color w:val="auto"/>
              </w:rPr>
            </w:pPr>
          </w:p>
        </w:tc>
        <w:tc>
          <w:tcPr>
            <w:tcW w:w="200" w:type="dxa"/>
            <w:vAlign w:val="bottom"/>
            <w:vMerge w:val="continue"/>
            <w:shd w:val="clear" w:color="auto" w:fill="EEEBEA"/>
          </w:tcPr>
          <w:p>
            <w:pPr>
              <w:spacing w:after="0"/>
              <w:rPr>
                <w:sz w:val="4"/>
                <w:szCs w:val="4"/>
                <w:color w:val="auto"/>
              </w:rPr>
            </w:pPr>
          </w:p>
        </w:tc>
        <w:tc>
          <w:tcPr>
            <w:tcW w:w="240" w:type="dxa"/>
            <w:vAlign w:val="bottom"/>
            <w:shd w:val="clear" w:color="auto" w:fill="EEEBEA"/>
          </w:tcPr>
          <w:p>
            <w:pPr>
              <w:spacing w:after="0"/>
              <w:rPr>
                <w:sz w:val="4"/>
                <w:szCs w:val="4"/>
                <w:color w:val="auto"/>
              </w:rPr>
            </w:pPr>
          </w:p>
        </w:tc>
        <w:tc>
          <w:tcPr>
            <w:tcW w:w="260" w:type="dxa"/>
            <w:vAlign w:val="bottom"/>
            <w:shd w:val="clear" w:color="auto" w:fill="EEEBEA"/>
          </w:tcPr>
          <w:p>
            <w:pPr>
              <w:spacing w:after="0"/>
              <w:rPr>
                <w:sz w:val="4"/>
                <w:szCs w:val="4"/>
                <w:color w:val="auto"/>
              </w:rPr>
            </w:pPr>
          </w:p>
        </w:tc>
        <w:tc>
          <w:tcPr>
            <w:tcW w:w="60" w:type="dxa"/>
            <w:vAlign w:val="bottom"/>
            <w:shd w:val="clear" w:color="auto" w:fill="EEEBEA"/>
          </w:tcPr>
          <w:p>
            <w:pPr>
              <w:spacing w:after="0"/>
              <w:rPr>
                <w:sz w:val="4"/>
                <w:szCs w:val="4"/>
                <w:color w:val="auto"/>
              </w:rPr>
            </w:pPr>
          </w:p>
        </w:tc>
        <w:tc>
          <w:tcPr>
            <w:tcW w:w="40" w:type="dxa"/>
            <w:vAlign w:val="bottom"/>
            <w:shd w:val="clear" w:color="auto" w:fill="EEEBEA"/>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40" w:type="dxa"/>
            <w:vAlign w:val="bottom"/>
            <w:tcBorders>
              <w:bottom w:val="single" w:sz="8" w:color="A5A4A3"/>
            </w:tcBorders>
            <w:shd w:val="clear" w:color="auto" w:fill="EEEBEA"/>
          </w:tcPr>
          <w:p>
            <w:pPr>
              <w:spacing w:after="0"/>
              <w:rPr>
                <w:sz w:val="12"/>
                <w:szCs w:val="12"/>
                <w:color w:val="auto"/>
              </w:rPr>
            </w:pPr>
          </w:p>
        </w:tc>
        <w:tc>
          <w:tcPr>
            <w:tcW w:w="200" w:type="dxa"/>
            <w:vAlign w:val="bottom"/>
            <w:tcBorders>
              <w:bottom w:val="single" w:sz="8" w:color="A5A4A3"/>
            </w:tcBorders>
            <w:shd w:val="clear" w:color="auto" w:fill="EEEBEA"/>
          </w:tcPr>
          <w:p>
            <w:pPr>
              <w:spacing w:after="0"/>
              <w:rPr>
                <w:sz w:val="12"/>
                <w:szCs w:val="12"/>
                <w:color w:val="auto"/>
              </w:rPr>
            </w:pPr>
          </w:p>
        </w:tc>
        <w:tc>
          <w:tcPr>
            <w:tcW w:w="820" w:type="dxa"/>
            <w:vAlign w:val="bottom"/>
            <w:tcBorders>
              <w:bottom w:val="single" w:sz="8" w:color="A5A4A3"/>
            </w:tcBorders>
            <w:shd w:val="clear" w:color="auto" w:fill="EEEBEA"/>
          </w:tcPr>
          <w:p>
            <w:pPr>
              <w:spacing w:after="0"/>
              <w:rPr>
                <w:sz w:val="12"/>
                <w:szCs w:val="12"/>
                <w:color w:val="auto"/>
              </w:rPr>
            </w:pPr>
          </w:p>
        </w:tc>
        <w:tc>
          <w:tcPr>
            <w:tcW w:w="140" w:type="dxa"/>
            <w:vAlign w:val="bottom"/>
            <w:tcBorders>
              <w:bottom w:val="single" w:sz="8" w:color="A5A4A3"/>
            </w:tcBorders>
            <w:shd w:val="clear" w:color="auto" w:fill="EEEBEA"/>
          </w:tcPr>
          <w:p>
            <w:pPr>
              <w:spacing w:after="0"/>
              <w:rPr>
                <w:sz w:val="12"/>
                <w:szCs w:val="12"/>
                <w:color w:val="auto"/>
              </w:rPr>
            </w:pPr>
          </w:p>
        </w:tc>
        <w:tc>
          <w:tcPr>
            <w:tcW w:w="200" w:type="dxa"/>
            <w:vAlign w:val="bottom"/>
            <w:tcBorders>
              <w:bottom w:val="single" w:sz="8" w:color="A5A4A3"/>
            </w:tcBorders>
            <w:shd w:val="clear" w:color="auto" w:fill="EEEBEA"/>
          </w:tcPr>
          <w:p>
            <w:pPr>
              <w:spacing w:after="0"/>
              <w:rPr>
                <w:sz w:val="12"/>
                <w:szCs w:val="12"/>
                <w:color w:val="auto"/>
              </w:rPr>
            </w:pPr>
          </w:p>
        </w:tc>
        <w:tc>
          <w:tcPr>
            <w:tcW w:w="1240" w:type="dxa"/>
            <w:vAlign w:val="bottom"/>
            <w:tcBorders>
              <w:bottom w:val="single" w:sz="8" w:color="A5A4A3"/>
            </w:tcBorders>
            <w:shd w:val="clear" w:color="auto" w:fill="EEEBEA"/>
          </w:tcPr>
          <w:p>
            <w:pPr>
              <w:spacing w:after="0"/>
              <w:rPr>
                <w:sz w:val="12"/>
                <w:szCs w:val="12"/>
                <w:color w:val="auto"/>
              </w:rPr>
            </w:pPr>
          </w:p>
        </w:tc>
        <w:tc>
          <w:tcPr>
            <w:tcW w:w="1520" w:type="dxa"/>
            <w:vAlign w:val="bottom"/>
            <w:tcBorders>
              <w:bottom w:val="single" w:sz="8" w:color="A5A4A3"/>
            </w:tcBorders>
            <w:shd w:val="clear" w:color="auto" w:fill="EEEBEA"/>
          </w:tcPr>
          <w:p>
            <w:pPr>
              <w:spacing w:after="0"/>
              <w:rPr>
                <w:sz w:val="12"/>
                <w:szCs w:val="12"/>
                <w:color w:val="auto"/>
              </w:rPr>
            </w:pPr>
          </w:p>
        </w:tc>
        <w:tc>
          <w:tcPr>
            <w:tcW w:w="1460" w:type="dxa"/>
            <w:vAlign w:val="bottom"/>
            <w:tcBorders>
              <w:bottom w:val="single" w:sz="8" w:color="A5A4A3"/>
            </w:tcBorders>
            <w:shd w:val="clear" w:color="auto" w:fill="EEEBEA"/>
          </w:tcPr>
          <w:p>
            <w:pPr>
              <w:spacing w:after="0"/>
              <w:rPr>
                <w:sz w:val="12"/>
                <w:szCs w:val="12"/>
                <w:color w:val="auto"/>
              </w:rPr>
            </w:pPr>
          </w:p>
        </w:tc>
        <w:tc>
          <w:tcPr>
            <w:tcW w:w="1220" w:type="dxa"/>
            <w:vAlign w:val="bottom"/>
            <w:tcBorders>
              <w:bottom w:val="single" w:sz="8" w:color="A5A4A3"/>
            </w:tcBorders>
            <w:shd w:val="clear" w:color="auto" w:fill="EEEBEA"/>
          </w:tcPr>
          <w:p>
            <w:pPr>
              <w:spacing w:after="0"/>
              <w:rPr>
                <w:sz w:val="12"/>
                <w:szCs w:val="12"/>
                <w:color w:val="auto"/>
              </w:rPr>
            </w:pPr>
          </w:p>
        </w:tc>
        <w:tc>
          <w:tcPr>
            <w:tcW w:w="1300" w:type="dxa"/>
            <w:vAlign w:val="bottom"/>
            <w:tcBorders>
              <w:bottom w:val="single" w:sz="8" w:color="A5A4A3"/>
            </w:tcBorders>
            <w:shd w:val="clear" w:color="auto" w:fill="EEEBEA"/>
          </w:tcPr>
          <w:p>
            <w:pPr>
              <w:spacing w:after="0"/>
              <w:rPr>
                <w:sz w:val="12"/>
                <w:szCs w:val="12"/>
                <w:color w:val="auto"/>
              </w:rPr>
            </w:pPr>
          </w:p>
        </w:tc>
        <w:tc>
          <w:tcPr>
            <w:tcW w:w="100" w:type="dxa"/>
            <w:vAlign w:val="bottom"/>
            <w:tcBorders>
              <w:bottom w:val="single" w:sz="8" w:color="A5A4A3"/>
            </w:tcBorders>
            <w:shd w:val="clear" w:color="auto" w:fill="EEEBEA"/>
          </w:tcPr>
          <w:p>
            <w:pPr>
              <w:spacing w:after="0"/>
              <w:rPr>
                <w:sz w:val="12"/>
                <w:szCs w:val="12"/>
                <w:color w:val="auto"/>
              </w:rPr>
            </w:pPr>
          </w:p>
        </w:tc>
        <w:tc>
          <w:tcPr>
            <w:tcW w:w="120" w:type="dxa"/>
            <w:vAlign w:val="bottom"/>
            <w:tcBorders>
              <w:bottom w:val="single" w:sz="8" w:color="A5A4A3"/>
            </w:tcBorders>
            <w:shd w:val="clear" w:color="auto" w:fill="EEEBEA"/>
          </w:tcPr>
          <w:p>
            <w:pPr>
              <w:spacing w:after="0"/>
              <w:rPr>
                <w:sz w:val="12"/>
                <w:szCs w:val="12"/>
                <w:color w:val="auto"/>
              </w:rPr>
            </w:pPr>
          </w:p>
        </w:tc>
        <w:tc>
          <w:tcPr>
            <w:tcW w:w="380" w:type="dxa"/>
            <w:vAlign w:val="bottom"/>
            <w:tcBorders>
              <w:bottom w:val="single" w:sz="8" w:color="A5A4A3"/>
            </w:tcBorders>
            <w:shd w:val="clear" w:color="auto" w:fill="EEEBEA"/>
          </w:tcPr>
          <w:p>
            <w:pPr>
              <w:spacing w:after="0"/>
              <w:rPr>
                <w:sz w:val="12"/>
                <w:szCs w:val="12"/>
                <w:color w:val="auto"/>
              </w:rPr>
            </w:pPr>
          </w:p>
        </w:tc>
        <w:tc>
          <w:tcPr>
            <w:tcW w:w="200" w:type="dxa"/>
            <w:vAlign w:val="bottom"/>
            <w:tcBorders>
              <w:bottom w:val="single" w:sz="8" w:color="A5A4A3"/>
            </w:tcBorders>
            <w:shd w:val="clear" w:color="auto" w:fill="EEEBEA"/>
          </w:tcPr>
          <w:p>
            <w:pPr>
              <w:spacing w:after="0"/>
              <w:rPr>
                <w:sz w:val="12"/>
                <w:szCs w:val="12"/>
                <w:color w:val="auto"/>
              </w:rPr>
            </w:pPr>
          </w:p>
        </w:tc>
        <w:tc>
          <w:tcPr>
            <w:tcW w:w="240" w:type="dxa"/>
            <w:vAlign w:val="bottom"/>
            <w:tcBorders>
              <w:bottom w:val="single" w:sz="8" w:color="A5A4A3"/>
            </w:tcBorders>
            <w:shd w:val="clear" w:color="auto" w:fill="EEEBEA"/>
          </w:tcPr>
          <w:p>
            <w:pPr>
              <w:spacing w:after="0"/>
              <w:rPr>
                <w:sz w:val="12"/>
                <w:szCs w:val="12"/>
                <w:color w:val="auto"/>
              </w:rPr>
            </w:pPr>
          </w:p>
        </w:tc>
        <w:tc>
          <w:tcPr>
            <w:tcW w:w="260" w:type="dxa"/>
            <w:vAlign w:val="bottom"/>
            <w:tcBorders>
              <w:bottom w:val="single" w:sz="8" w:color="A5A4A3"/>
            </w:tcBorders>
            <w:shd w:val="clear" w:color="auto" w:fill="EEEBEA"/>
          </w:tcPr>
          <w:p>
            <w:pPr>
              <w:spacing w:after="0"/>
              <w:rPr>
                <w:sz w:val="12"/>
                <w:szCs w:val="12"/>
                <w:color w:val="auto"/>
              </w:rPr>
            </w:pPr>
          </w:p>
        </w:tc>
        <w:tc>
          <w:tcPr>
            <w:tcW w:w="60" w:type="dxa"/>
            <w:vAlign w:val="bottom"/>
            <w:tcBorders>
              <w:bottom w:val="single" w:sz="8" w:color="A5A4A3"/>
            </w:tcBorders>
            <w:shd w:val="clear" w:color="auto" w:fill="EEEBEA"/>
          </w:tcPr>
          <w:p>
            <w:pPr>
              <w:spacing w:after="0"/>
              <w:rPr>
                <w:sz w:val="12"/>
                <w:szCs w:val="12"/>
                <w:color w:val="auto"/>
              </w:rPr>
            </w:pPr>
          </w:p>
        </w:tc>
        <w:tc>
          <w:tcPr>
            <w:tcW w:w="40" w:type="dxa"/>
            <w:vAlign w:val="bottom"/>
            <w:tcBorders>
              <w:bottom w:val="single" w:sz="8" w:color="A5A4A3"/>
            </w:tcBorders>
            <w:shd w:val="clear" w:color="auto" w:fill="EEEBEA"/>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74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200" w:type="dxa"/>
            <w:vAlign w:val="bottom"/>
          </w:tcPr>
          <w:p>
            <w:pPr>
              <w:spacing w:after="0"/>
              <w:rPr>
                <w:sz w:val="19"/>
                <w:szCs w:val="19"/>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6"/>
                <w:szCs w:val="16"/>
                <w:color w:val="0D0E10"/>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5"/>
          </w:tcPr>
          <w:p>
            <w:pPr>
              <w:jc w:val="center"/>
              <w:ind w:right="600"/>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29"/>
        </w:trPr>
        <w:tc>
          <w:tcPr>
            <w:tcW w:w="1740" w:type="dxa"/>
            <w:vAlign w:val="bottom"/>
            <w:tcBorders>
              <w:bottom w:val="single" w:sz="8" w:color="A5A4A3"/>
            </w:tcBorders>
          </w:tcPr>
          <w:p>
            <w:pPr>
              <w:spacing w:after="0"/>
              <w:rPr>
                <w:sz w:val="2"/>
                <w:szCs w:val="2"/>
                <w:color w:val="auto"/>
              </w:rPr>
            </w:pPr>
          </w:p>
        </w:tc>
        <w:tc>
          <w:tcPr>
            <w:tcW w:w="200" w:type="dxa"/>
            <w:vAlign w:val="bottom"/>
            <w:tcBorders>
              <w:bottom w:val="single" w:sz="8" w:color="A5A4A3"/>
            </w:tcBorders>
          </w:tcPr>
          <w:p>
            <w:pPr>
              <w:spacing w:after="0"/>
              <w:rPr>
                <w:sz w:val="2"/>
                <w:szCs w:val="2"/>
                <w:color w:val="auto"/>
              </w:rPr>
            </w:pPr>
          </w:p>
        </w:tc>
        <w:tc>
          <w:tcPr>
            <w:tcW w:w="820" w:type="dxa"/>
            <w:vAlign w:val="bottom"/>
            <w:tcBorders>
              <w:bottom w:val="single" w:sz="8" w:color="A5A4A3"/>
            </w:tcBorders>
          </w:tcPr>
          <w:p>
            <w:pPr>
              <w:spacing w:after="0"/>
              <w:rPr>
                <w:sz w:val="2"/>
                <w:szCs w:val="2"/>
                <w:color w:val="auto"/>
              </w:rPr>
            </w:pPr>
          </w:p>
        </w:tc>
        <w:tc>
          <w:tcPr>
            <w:tcW w:w="140" w:type="dxa"/>
            <w:vAlign w:val="bottom"/>
            <w:tcBorders>
              <w:bottom w:val="single" w:sz="8" w:color="A5A4A3"/>
            </w:tcBorders>
          </w:tcPr>
          <w:p>
            <w:pPr>
              <w:spacing w:after="0"/>
              <w:rPr>
                <w:sz w:val="2"/>
                <w:szCs w:val="2"/>
                <w:color w:val="auto"/>
              </w:rPr>
            </w:pPr>
          </w:p>
        </w:tc>
        <w:tc>
          <w:tcPr>
            <w:tcW w:w="200" w:type="dxa"/>
            <w:vAlign w:val="bottom"/>
            <w:tcBorders>
              <w:bottom w:val="single" w:sz="8" w:color="A5A4A3"/>
            </w:tcBorders>
          </w:tcPr>
          <w:p>
            <w:pPr>
              <w:spacing w:after="0"/>
              <w:rPr>
                <w:sz w:val="2"/>
                <w:szCs w:val="2"/>
                <w:color w:val="auto"/>
              </w:rPr>
            </w:pPr>
          </w:p>
        </w:tc>
        <w:tc>
          <w:tcPr>
            <w:tcW w:w="1240" w:type="dxa"/>
            <w:vAlign w:val="bottom"/>
            <w:tcBorders>
              <w:bottom w:val="single" w:sz="8" w:color="A5A4A3"/>
            </w:tcBorders>
          </w:tcPr>
          <w:p>
            <w:pPr>
              <w:spacing w:after="0"/>
              <w:rPr>
                <w:sz w:val="2"/>
                <w:szCs w:val="2"/>
                <w:color w:val="auto"/>
              </w:rPr>
            </w:pPr>
          </w:p>
        </w:tc>
        <w:tc>
          <w:tcPr>
            <w:tcW w:w="1520" w:type="dxa"/>
            <w:vAlign w:val="bottom"/>
            <w:tcBorders>
              <w:bottom w:val="single" w:sz="8" w:color="A5A4A3"/>
            </w:tcBorders>
          </w:tcPr>
          <w:p>
            <w:pPr>
              <w:spacing w:after="0"/>
              <w:rPr>
                <w:sz w:val="2"/>
                <w:szCs w:val="2"/>
                <w:color w:val="auto"/>
              </w:rPr>
            </w:pPr>
          </w:p>
        </w:tc>
        <w:tc>
          <w:tcPr>
            <w:tcW w:w="1460" w:type="dxa"/>
            <w:vAlign w:val="bottom"/>
            <w:tcBorders>
              <w:bottom w:val="single" w:sz="8" w:color="A5A4A3"/>
            </w:tcBorders>
          </w:tcPr>
          <w:p>
            <w:pPr>
              <w:spacing w:after="0"/>
              <w:rPr>
                <w:sz w:val="2"/>
                <w:szCs w:val="2"/>
                <w:color w:val="auto"/>
              </w:rPr>
            </w:pPr>
          </w:p>
        </w:tc>
        <w:tc>
          <w:tcPr>
            <w:tcW w:w="1220" w:type="dxa"/>
            <w:vAlign w:val="bottom"/>
            <w:tcBorders>
              <w:bottom w:val="single" w:sz="8" w:color="A5A4A3"/>
            </w:tcBorders>
          </w:tcPr>
          <w:p>
            <w:pPr>
              <w:spacing w:after="0"/>
              <w:rPr>
                <w:sz w:val="2"/>
                <w:szCs w:val="2"/>
                <w:color w:val="auto"/>
              </w:rPr>
            </w:pPr>
          </w:p>
        </w:tc>
        <w:tc>
          <w:tcPr>
            <w:tcW w:w="1300" w:type="dxa"/>
            <w:vAlign w:val="bottom"/>
            <w:tcBorders>
              <w:bottom w:val="single" w:sz="8" w:color="A5A4A3"/>
            </w:tcBorders>
          </w:tcPr>
          <w:p>
            <w:pPr>
              <w:spacing w:after="0"/>
              <w:rPr>
                <w:sz w:val="2"/>
                <w:szCs w:val="2"/>
                <w:color w:val="auto"/>
              </w:rPr>
            </w:pPr>
          </w:p>
        </w:tc>
        <w:tc>
          <w:tcPr>
            <w:tcW w:w="100" w:type="dxa"/>
            <w:vAlign w:val="bottom"/>
            <w:tcBorders>
              <w:bottom w:val="single" w:sz="8" w:color="A5A4A3"/>
            </w:tcBorders>
          </w:tcPr>
          <w:p>
            <w:pPr>
              <w:spacing w:after="0"/>
              <w:rPr>
                <w:sz w:val="2"/>
                <w:szCs w:val="2"/>
                <w:color w:val="auto"/>
              </w:rPr>
            </w:pPr>
          </w:p>
        </w:tc>
        <w:tc>
          <w:tcPr>
            <w:tcW w:w="120" w:type="dxa"/>
            <w:vAlign w:val="bottom"/>
            <w:tcBorders>
              <w:bottom w:val="single" w:sz="8" w:color="A5A4A3"/>
            </w:tcBorders>
          </w:tcPr>
          <w:p>
            <w:pPr>
              <w:spacing w:after="0"/>
              <w:rPr>
                <w:sz w:val="2"/>
                <w:szCs w:val="2"/>
                <w:color w:val="auto"/>
              </w:rPr>
            </w:pPr>
          </w:p>
        </w:tc>
        <w:tc>
          <w:tcPr>
            <w:tcW w:w="380" w:type="dxa"/>
            <w:vAlign w:val="bottom"/>
            <w:tcBorders>
              <w:bottom w:val="single" w:sz="8" w:color="A5A4A3"/>
            </w:tcBorders>
          </w:tcPr>
          <w:p>
            <w:pPr>
              <w:spacing w:after="0"/>
              <w:rPr>
                <w:sz w:val="2"/>
                <w:szCs w:val="2"/>
                <w:color w:val="auto"/>
              </w:rPr>
            </w:pPr>
          </w:p>
        </w:tc>
        <w:tc>
          <w:tcPr>
            <w:tcW w:w="200" w:type="dxa"/>
            <w:vAlign w:val="bottom"/>
            <w:tcBorders>
              <w:bottom w:val="single" w:sz="8" w:color="A5A4A3"/>
            </w:tcBorders>
          </w:tcPr>
          <w:p>
            <w:pPr>
              <w:spacing w:after="0"/>
              <w:rPr>
                <w:sz w:val="2"/>
                <w:szCs w:val="2"/>
                <w:color w:val="auto"/>
              </w:rPr>
            </w:pPr>
          </w:p>
        </w:tc>
        <w:tc>
          <w:tcPr>
            <w:tcW w:w="240" w:type="dxa"/>
            <w:vAlign w:val="bottom"/>
            <w:tcBorders>
              <w:bottom w:val="single" w:sz="8" w:color="A5A4A3"/>
            </w:tcBorders>
          </w:tcPr>
          <w:p>
            <w:pPr>
              <w:spacing w:after="0"/>
              <w:rPr>
                <w:sz w:val="2"/>
                <w:szCs w:val="2"/>
                <w:color w:val="auto"/>
              </w:rPr>
            </w:pPr>
          </w:p>
        </w:tc>
        <w:tc>
          <w:tcPr>
            <w:tcW w:w="260" w:type="dxa"/>
            <w:vAlign w:val="bottom"/>
            <w:tcBorders>
              <w:bottom w:val="single" w:sz="8" w:color="A5A4A3"/>
            </w:tcBorders>
          </w:tcPr>
          <w:p>
            <w:pPr>
              <w:spacing w:after="0"/>
              <w:rPr>
                <w:sz w:val="2"/>
                <w:szCs w:val="2"/>
                <w:color w:val="auto"/>
              </w:rPr>
            </w:pPr>
          </w:p>
        </w:tc>
        <w:tc>
          <w:tcPr>
            <w:tcW w:w="60" w:type="dxa"/>
            <w:vAlign w:val="bottom"/>
            <w:tcBorders>
              <w:bottom w:val="single" w:sz="8" w:color="A5A4A3"/>
            </w:tcBorders>
          </w:tcPr>
          <w:p>
            <w:pPr>
              <w:spacing w:after="0"/>
              <w:rPr>
                <w:sz w:val="2"/>
                <w:szCs w:val="2"/>
                <w:color w:val="auto"/>
              </w:rPr>
            </w:pPr>
          </w:p>
        </w:tc>
        <w:tc>
          <w:tcPr>
            <w:tcW w:w="4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5/3/2017</w:t>
            </w:r>
            <w:r>
              <w:rPr>
                <w:rFonts w:ascii="Arial" w:cs="Arial" w:eastAsia="Arial" w:hAnsi="Arial"/>
                <w:sz w:val="21"/>
                <w:szCs w:val="21"/>
                <w:color w:val="0D0E10"/>
                <w:w w:val="95"/>
                <w:vertAlign w:val="superscript"/>
              </w:rPr>
              <w:t>(4)</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740,899</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1.60</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5/2/2027</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00" w:type="dxa"/>
            <w:vAlign w:val="bottom"/>
            <w:tcBorders>
              <w:bottom w:val="single" w:sz="8" w:color="A5A4A3"/>
            </w:tcBorders>
          </w:tcPr>
          <w:p>
            <w:pPr>
              <w:spacing w:after="0"/>
              <w:rPr>
                <w:sz w:val="24"/>
                <w:szCs w:val="24"/>
                <w:color w:val="auto"/>
              </w:rPr>
            </w:pPr>
          </w:p>
        </w:tc>
        <w:tc>
          <w:tcPr>
            <w:tcW w:w="120" w:type="dxa"/>
            <w:vAlign w:val="bottom"/>
            <w:tcBorders>
              <w:bottom w:val="single" w:sz="8" w:color="A5A4A3"/>
            </w:tcBorders>
          </w:tcPr>
          <w:p>
            <w:pPr>
              <w:spacing w:after="0"/>
              <w:rPr>
                <w:sz w:val="24"/>
                <w:szCs w:val="24"/>
                <w:color w:val="auto"/>
              </w:rPr>
            </w:pPr>
          </w:p>
        </w:tc>
        <w:tc>
          <w:tcPr>
            <w:tcW w:w="380" w:type="dxa"/>
            <w:vAlign w:val="bottom"/>
            <w:tcBorders>
              <w:bottom w:val="single" w:sz="8" w:color="A5A4A3"/>
            </w:tcBorders>
          </w:tcPr>
          <w:p>
            <w:pPr>
              <w:spacing w:after="0"/>
              <w:rPr>
                <w:sz w:val="24"/>
                <w:szCs w:val="24"/>
                <w:color w:val="auto"/>
              </w:rPr>
            </w:pPr>
          </w:p>
        </w:tc>
        <w:tc>
          <w:tcPr>
            <w:tcW w:w="800" w:type="dxa"/>
            <w:vAlign w:val="bottom"/>
            <w:tcBorders>
              <w:bottom w:val="single" w:sz="8" w:color="A5A4A3"/>
            </w:tcBorders>
            <w:gridSpan w:val="5"/>
          </w:tcPr>
          <w:p>
            <w:pPr>
              <w:jc w:val="center"/>
              <w:ind w:right="600"/>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4/29/2019</w:t>
            </w:r>
            <w:r>
              <w:rPr>
                <w:rFonts w:ascii="Arial" w:cs="Arial" w:eastAsia="Arial" w:hAnsi="Arial"/>
                <w:sz w:val="21"/>
                <w:szCs w:val="21"/>
                <w:color w:val="0D0E10"/>
                <w:w w:val="95"/>
                <w:vertAlign w:val="superscript"/>
              </w:rPr>
              <w:t>(5)</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162,633</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3.70</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4/28/2029</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00" w:type="dxa"/>
            <w:vAlign w:val="bottom"/>
            <w:tcBorders>
              <w:bottom w:val="single" w:sz="8" w:color="A5A4A3"/>
            </w:tcBorders>
          </w:tcPr>
          <w:p>
            <w:pPr>
              <w:spacing w:after="0"/>
              <w:rPr>
                <w:sz w:val="24"/>
                <w:szCs w:val="24"/>
                <w:color w:val="auto"/>
              </w:rPr>
            </w:pPr>
          </w:p>
        </w:tc>
        <w:tc>
          <w:tcPr>
            <w:tcW w:w="120" w:type="dxa"/>
            <w:vAlign w:val="bottom"/>
            <w:tcBorders>
              <w:bottom w:val="single" w:sz="8" w:color="A5A4A3"/>
            </w:tcBorders>
          </w:tcPr>
          <w:p>
            <w:pPr>
              <w:spacing w:after="0"/>
              <w:rPr>
                <w:sz w:val="24"/>
                <w:szCs w:val="24"/>
                <w:color w:val="auto"/>
              </w:rPr>
            </w:pPr>
          </w:p>
        </w:tc>
        <w:tc>
          <w:tcPr>
            <w:tcW w:w="380" w:type="dxa"/>
            <w:vAlign w:val="bottom"/>
            <w:tcBorders>
              <w:bottom w:val="single" w:sz="8" w:color="A5A4A3"/>
            </w:tcBorders>
          </w:tcPr>
          <w:p>
            <w:pPr>
              <w:spacing w:after="0"/>
              <w:rPr>
                <w:sz w:val="24"/>
                <w:szCs w:val="24"/>
                <w:color w:val="auto"/>
              </w:rPr>
            </w:pPr>
          </w:p>
        </w:tc>
        <w:tc>
          <w:tcPr>
            <w:tcW w:w="800" w:type="dxa"/>
            <w:vAlign w:val="bottom"/>
            <w:tcBorders>
              <w:bottom w:val="single" w:sz="8" w:color="A5A4A3"/>
            </w:tcBorders>
            <w:gridSpan w:val="5"/>
          </w:tcPr>
          <w:p>
            <w:pPr>
              <w:jc w:val="center"/>
              <w:ind w:right="600"/>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2/27/2020</w:t>
            </w:r>
            <w:r>
              <w:rPr>
                <w:rFonts w:ascii="Arial" w:cs="Arial" w:eastAsia="Arial" w:hAnsi="Arial"/>
                <w:sz w:val="21"/>
                <w:szCs w:val="21"/>
                <w:color w:val="0D0E10"/>
                <w:w w:val="95"/>
                <w:vertAlign w:val="superscript"/>
              </w:rPr>
              <w:t>(6)</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9,938</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rPr>
              <w:t>173,120</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Pr>
          <w:p>
            <w:pPr>
              <w:ind w:left="100"/>
              <w:spacing w:after="0"/>
              <w:rPr>
                <w:sz w:val="20"/>
                <w:szCs w:val="20"/>
                <w:color w:val="auto"/>
              </w:rPr>
            </w:pPr>
            <w:r>
              <w:rPr>
                <w:rFonts w:ascii="Arial" w:cs="Arial" w:eastAsia="Arial" w:hAnsi="Arial"/>
                <w:sz w:val="16"/>
                <w:szCs w:val="16"/>
                <w:color w:val="0D0E10"/>
              </w:rPr>
              <w:t>Tim Wan</w:t>
            </w: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3/2/2021</w:t>
            </w:r>
            <w:r>
              <w:rPr>
                <w:rFonts w:ascii="Arial" w:cs="Arial" w:eastAsia="Arial" w:hAnsi="Arial"/>
                <w:sz w:val="21"/>
                <w:szCs w:val="21"/>
                <w:color w:val="0D0E10"/>
                <w:w w:val="95"/>
                <w:vertAlign w:val="superscript"/>
              </w:rPr>
              <w:t>(7)</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34,063</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rPr>
              <w:t>593,377</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3/10/2022</w:t>
            </w:r>
            <w:r>
              <w:rPr>
                <w:rFonts w:ascii="Arial" w:cs="Arial" w:eastAsia="Arial" w:hAnsi="Arial"/>
                <w:sz w:val="21"/>
                <w:szCs w:val="21"/>
                <w:color w:val="0D0E10"/>
                <w:w w:val="95"/>
                <w:vertAlign w:val="superscript"/>
              </w:rPr>
              <w:t>(8)</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50,831</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rPr>
              <w:t>885,476</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5/24/2022</w:t>
            </w:r>
            <w:r>
              <w:rPr>
                <w:rFonts w:ascii="Arial" w:cs="Arial" w:eastAsia="Arial" w:hAnsi="Arial"/>
                <w:sz w:val="21"/>
                <w:szCs w:val="21"/>
                <w:color w:val="0D0E10"/>
                <w:w w:val="95"/>
                <w:vertAlign w:val="superscript"/>
              </w:rPr>
              <w:t>(9)</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2,123</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w w:val="98"/>
              </w:rPr>
              <w:t>36,983</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Borders>
              <w:bottom w:val="single" w:sz="8" w:color="A5A4A3"/>
            </w:tcBorders>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 xml:space="preserve">5/23/2023 </w:t>
            </w:r>
            <w:r>
              <w:rPr>
                <w:rFonts w:ascii="Arial" w:cs="Arial" w:eastAsia="Arial" w:hAnsi="Arial"/>
                <w:sz w:val="21"/>
                <w:szCs w:val="21"/>
                <w:color w:val="0D0E10"/>
                <w:w w:val="95"/>
                <w:vertAlign w:val="superscript"/>
              </w:rPr>
              <w:t>(10)</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161,014</w:t>
            </w:r>
          </w:p>
        </w:tc>
        <w:tc>
          <w:tcPr>
            <w:tcW w:w="1300" w:type="dxa"/>
            <w:vAlign w:val="bottom"/>
            <w:tcBorders>
              <w:bottom w:val="single" w:sz="8" w:color="A5A4A3"/>
            </w:tcBorders>
            <w:gridSpan w:val="6"/>
          </w:tcPr>
          <w:p>
            <w:pPr>
              <w:jc w:val="center"/>
              <w:ind w:left="19"/>
              <w:spacing w:after="0"/>
              <w:rPr>
                <w:sz w:val="20"/>
                <w:szCs w:val="20"/>
                <w:color w:val="auto"/>
              </w:rPr>
            </w:pPr>
            <w:r>
              <w:rPr>
                <w:rFonts w:ascii="Arial" w:cs="Arial" w:eastAsia="Arial" w:hAnsi="Arial"/>
                <w:sz w:val="16"/>
                <w:szCs w:val="16"/>
                <w:color w:val="0D0E10"/>
              </w:rPr>
              <w:t>2,804,864</w:t>
            </w: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99"/>
              <w:spacing w:after="0"/>
              <w:rPr>
                <w:sz w:val="20"/>
                <w:szCs w:val="20"/>
                <w:color w:val="auto"/>
              </w:rPr>
            </w:pPr>
            <w:r>
              <w:rPr>
                <w:rFonts w:ascii="Arial" w:cs="Arial" w:eastAsia="Arial" w:hAnsi="Arial"/>
                <w:sz w:val="16"/>
                <w:szCs w:val="16"/>
                <w:color w:val="0D0E10"/>
                <w:w w:val="93"/>
              </w:rPr>
              <w:t>7/30/2019</w:t>
            </w:r>
            <w:r>
              <w:rPr>
                <w:rFonts w:ascii="Arial" w:cs="Arial" w:eastAsia="Arial" w:hAnsi="Arial"/>
                <w:sz w:val="21"/>
                <w:szCs w:val="21"/>
                <w:color w:val="0D0E10"/>
                <w:w w:val="93"/>
                <w:vertAlign w:val="superscript"/>
              </w:rPr>
              <w:t>(11)</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125,000</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4.02</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7/29/2029</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00" w:type="dxa"/>
            <w:vAlign w:val="bottom"/>
            <w:tcBorders>
              <w:bottom w:val="single" w:sz="8" w:color="A5A4A3"/>
            </w:tcBorders>
          </w:tcPr>
          <w:p>
            <w:pPr>
              <w:spacing w:after="0"/>
              <w:rPr>
                <w:sz w:val="24"/>
                <w:szCs w:val="24"/>
                <w:color w:val="auto"/>
              </w:rPr>
            </w:pPr>
          </w:p>
        </w:tc>
        <w:tc>
          <w:tcPr>
            <w:tcW w:w="120" w:type="dxa"/>
            <w:vAlign w:val="bottom"/>
            <w:tcBorders>
              <w:bottom w:val="single" w:sz="8" w:color="A5A4A3"/>
            </w:tcBorders>
          </w:tcPr>
          <w:p>
            <w:pPr>
              <w:spacing w:after="0"/>
              <w:rPr>
                <w:sz w:val="24"/>
                <w:szCs w:val="24"/>
                <w:color w:val="auto"/>
              </w:rPr>
            </w:pPr>
          </w:p>
        </w:tc>
        <w:tc>
          <w:tcPr>
            <w:tcW w:w="380" w:type="dxa"/>
            <w:vAlign w:val="bottom"/>
            <w:tcBorders>
              <w:bottom w:val="single" w:sz="8" w:color="A5A4A3"/>
            </w:tcBorders>
          </w:tcPr>
          <w:p>
            <w:pPr>
              <w:spacing w:after="0"/>
              <w:rPr>
                <w:sz w:val="24"/>
                <w:szCs w:val="24"/>
                <w:color w:val="auto"/>
              </w:rPr>
            </w:pPr>
          </w:p>
        </w:tc>
        <w:tc>
          <w:tcPr>
            <w:tcW w:w="800" w:type="dxa"/>
            <w:vAlign w:val="bottom"/>
            <w:tcBorders>
              <w:bottom w:val="single" w:sz="8" w:color="A5A4A3"/>
            </w:tcBorders>
            <w:gridSpan w:val="5"/>
          </w:tcPr>
          <w:p>
            <w:pPr>
              <w:jc w:val="center"/>
              <w:ind w:right="600"/>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2/27/2020</w:t>
            </w:r>
            <w:r>
              <w:rPr>
                <w:rFonts w:ascii="Arial" w:cs="Arial" w:eastAsia="Arial" w:hAnsi="Arial"/>
                <w:sz w:val="21"/>
                <w:szCs w:val="21"/>
                <w:color w:val="0D0E10"/>
                <w:w w:val="95"/>
                <w:vertAlign w:val="superscript"/>
              </w:rPr>
              <w:t>(6)</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3,875</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w w:val="98"/>
              </w:rPr>
              <w:t>67,503</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vMerge w:val="restart"/>
          </w:tcPr>
          <w:p>
            <w:pPr>
              <w:ind w:left="100"/>
              <w:spacing w:after="0"/>
              <w:rPr>
                <w:sz w:val="20"/>
                <w:szCs w:val="20"/>
                <w:color w:val="auto"/>
              </w:rPr>
            </w:pPr>
            <w:r>
              <w:rPr>
                <w:rFonts w:ascii="Arial" w:cs="Arial" w:eastAsia="Arial" w:hAnsi="Arial"/>
                <w:sz w:val="16"/>
                <w:szCs w:val="16"/>
                <w:color w:val="0D0E10"/>
              </w:rPr>
              <w:t>Eleanor Lacey</w:t>
            </w: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3/2/2021</w:t>
            </w:r>
            <w:r>
              <w:rPr>
                <w:rFonts w:ascii="Arial" w:cs="Arial" w:eastAsia="Arial" w:hAnsi="Arial"/>
                <w:sz w:val="21"/>
                <w:szCs w:val="21"/>
                <w:color w:val="0D0E10"/>
                <w:w w:val="95"/>
                <w:vertAlign w:val="superscript"/>
              </w:rPr>
              <w:t>(7)</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12,813</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rPr>
              <w:t>223,202</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1740" w:type="dxa"/>
            <w:vAlign w:val="bottom"/>
            <w:vMerge w:val="continue"/>
          </w:tcPr>
          <w:p>
            <w:pPr>
              <w:spacing w:after="0"/>
              <w:rPr>
                <w:sz w:val="8"/>
                <w:szCs w:val="8"/>
                <w:color w:val="auto"/>
              </w:rPr>
            </w:pPr>
          </w:p>
        </w:tc>
        <w:tc>
          <w:tcPr>
            <w:tcW w:w="1160" w:type="dxa"/>
            <w:vAlign w:val="bottom"/>
            <w:gridSpan w:val="3"/>
            <w:vMerge w:val="restart"/>
          </w:tcPr>
          <w:p>
            <w:pPr>
              <w:jc w:val="center"/>
              <w:ind w:left="119"/>
              <w:spacing w:after="0"/>
              <w:rPr>
                <w:sz w:val="20"/>
                <w:szCs w:val="20"/>
                <w:color w:val="auto"/>
              </w:rPr>
            </w:pPr>
            <w:r>
              <w:rPr>
                <w:rFonts w:ascii="Arial" w:cs="Arial" w:eastAsia="Arial" w:hAnsi="Arial"/>
                <w:sz w:val="16"/>
                <w:szCs w:val="16"/>
                <w:color w:val="0D0E10"/>
                <w:w w:val="95"/>
              </w:rPr>
              <w:t>3/10/2022</w:t>
            </w:r>
            <w:r>
              <w:rPr>
                <w:rFonts w:ascii="Arial" w:cs="Arial" w:eastAsia="Arial" w:hAnsi="Arial"/>
                <w:sz w:val="21"/>
                <w:szCs w:val="21"/>
                <w:color w:val="0D0E10"/>
                <w:w w:val="95"/>
                <w:vertAlign w:val="superscript"/>
              </w:rPr>
              <w:t>(8)</w:t>
            </w:r>
          </w:p>
        </w:tc>
        <w:tc>
          <w:tcPr>
            <w:tcW w:w="200" w:type="dxa"/>
            <w:vAlign w:val="bottom"/>
          </w:tcPr>
          <w:p>
            <w:pPr>
              <w:spacing w:after="0"/>
              <w:rPr>
                <w:sz w:val="8"/>
                <w:szCs w:val="8"/>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0D0E10"/>
              </w:rPr>
              <w:t>20,360</w:t>
            </w:r>
          </w:p>
        </w:tc>
        <w:tc>
          <w:tcPr>
            <w:tcW w:w="1040" w:type="dxa"/>
            <w:vAlign w:val="bottom"/>
            <w:gridSpan w:val="5"/>
            <w:vMerge w:val="restart"/>
          </w:tcPr>
          <w:p>
            <w:pPr>
              <w:jc w:val="center"/>
              <w:ind w:left="279"/>
              <w:spacing w:after="0"/>
              <w:rPr>
                <w:sz w:val="20"/>
                <w:szCs w:val="20"/>
                <w:color w:val="auto"/>
              </w:rPr>
            </w:pPr>
            <w:r>
              <w:rPr>
                <w:rFonts w:ascii="Arial" w:cs="Arial" w:eastAsia="Arial" w:hAnsi="Arial"/>
                <w:sz w:val="16"/>
                <w:szCs w:val="16"/>
                <w:color w:val="0D0E10"/>
              </w:rPr>
              <w:t>354,671</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1740" w:type="dxa"/>
            <w:vAlign w:val="bottom"/>
          </w:tcPr>
          <w:p>
            <w:pPr>
              <w:spacing w:after="0"/>
              <w:rPr>
                <w:sz w:val="23"/>
                <w:szCs w:val="23"/>
                <w:color w:val="auto"/>
              </w:rPr>
            </w:pPr>
          </w:p>
        </w:tc>
        <w:tc>
          <w:tcPr>
            <w:tcW w:w="1160" w:type="dxa"/>
            <w:vAlign w:val="bottom"/>
            <w:tcBorders>
              <w:bottom w:val="single" w:sz="8" w:color="B6B6B6"/>
            </w:tcBorders>
            <w:gridSpan w:val="3"/>
            <w:vMerge w:val="continue"/>
          </w:tcPr>
          <w:p>
            <w:pPr>
              <w:spacing w:after="0"/>
              <w:rPr>
                <w:sz w:val="23"/>
                <w:szCs w:val="23"/>
                <w:color w:val="auto"/>
              </w:rPr>
            </w:pPr>
          </w:p>
        </w:tc>
        <w:tc>
          <w:tcPr>
            <w:tcW w:w="200" w:type="dxa"/>
            <w:vAlign w:val="bottom"/>
            <w:tcBorders>
              <w:bottom w:val="single" w:sz="8" w:color="B6B6B6"/>
            </w:tcBorders>
          </w:tcPr>
          <w:p>
            <w:pPr>
              <w:spacing w:after="0"/>
              <w:rPr>
                <w:sz w:val="23"/>
                <w:szCs w:val="23"/>
                <w:color w:val="auto"/>
              </w:rPr>
            </w:pPr>
          </w:p>
        </w:tc>
        <w:tc>
          <w:tcPr>
            <w:tcW w:w="1240" w:type="dxa"/>
            <w:vAlign w:val="bottom"/>
            <w:tcBorders>
              <w:bottom w:val="single" w:sz="8" w:color="A5A4A3"/>
            </w:tcBorders>
            <w:vMerge w:val="continue"/>
          </w:tcPr>
          <w:p>
            <w:pPr>
              <w:spacing w:after="0"/>
              <w:rPr>
                <w:sz w:val="23"/>
                <w:szCs w:val="23"/>
                <w:color w:val="auto"/>
              </w:rPr>
            </w:pPr>
          </w:p>
        </w:tc>
        <w:tc>
          <w:tcPr>
            <w:tcW w:w="1520" w:type="dxa"/>
            <w:vAlign w:val="bottom"/>
            <w:tcBorders>
              <w:bottom w:val="single" w:sz="8" w:color="A5A4A3"/>
            </w:tcBorders>
            <w:vMerge w:val="continue"/>
          </w:tcPr>
          <w:p>
            <w:pPr>
              <w:spacing w:after="0"/>
              <w:rPr>
                <w:sz w:val="23"/>
                <w:szCs w:val="23"/>
                <w:color w:val="auto"/>
              </w:rPr>
            </w:pPr>
          </w:p>
        </w:tc>
        <w:tc>
          <w:tcPr>
            <w:tcW w:w="1460" w:type="dxa"/>
            <w:vAlign w:val="bottom"/>
            <w:tcBorders>
              <w:bottom w:val="single" w:sz="8" w:color="A5A4A3"/>
            </w:tcBorders>
            <w:vMerge w:val="continue"/>
          </w:tcPr>
          <w:p>
            <w:pPr>
              <w:spacing w:after="0"/>
              <w:rPr>
                <w:sz w:val="23"/>
                <w:szCs w:val="23"/>
                <w:color w:val="auto"/>
              </w:rPr>
            </w:pPr>
          </w:p>
        </w:tc>
        <w:tc>
          <w:tcPr>
            <w:tcW w:w="1220" w:type="dxa"/>
            <w:vAlign w:val="bottom"/>
            <w:tcBorders>
              <w:bottom w:val="single" w:sz="8" w:color="A5A4A3"/>
            </w:tcBorders>
            <w:vMerge w:val="continue"/>
          </w:tcPr>
          <w:p>
            <w:pPr>
              <w:spacing w:after="0"/>
              <w:rPr>
                <w:sz w:val="23"/>
                <w:szCs w:val="23"/>
                <w:color w:val="auto"/>
              </w:rPr>
            </w:pPr>
          </w:p>
        </w:tc>
        <w:tc>
          <w:tcPr>
            <w:tcW w:w="1300" w:type="dxa"/>
            <w:vAlign w:val="bottom"/>
            <w:tcBorders>
              <w:bottom w:val="single" w:sz="8" w:color="A5A4A3"/>
            </w:tcBorders>
            <w:vMerge w:val="continue"/>
          </w:tcPr>
          <w:p>
            <w:pPr>
              <w:spacing w:after="0"/>
              <w:rPr>
                <w:sz w:val="23"/>
                <w:szCs w:val="23"/>
                <w:color w:val="auto"/>
              </w:rPr>
            </w:pPr>
          </w:p>
        </w:tc>
        <w:tc>
          <w:tcPr>
            <w:tcW w:w="1040" w:type="dxa"/>
            <w:vAlign w:val="bottom"/>
            <w:tcBorders>
              <w:bottom w:val="single" w:sz="8" w:color="A5A4A3"/>
            </w:tcBorders>
            <w:gridSpan w:val="5"/>
            <w:vMerge w:val="continue"/>
          </w:tcPr>
          <w:p>
            <w:pPr>
              <w:spacing w:after="0"/>
              <w:rPr>
                <w:sz w:val="23"/>
                <w:szCs w:val="23"/>
                <w:color w:val="auto"/>
              </w:rPr>
            </w:pPr>
          </w:p>
        </w:tc>
        <w:tc>
          <w:tcPr>
            <w:tcW w:w="260" w:type="dxa"/>
            <w:vAlign w:val="bottom"/>
            <w:tcBorders>
              <w:bottom w:val="single" w:sz="8" w:color="A5A4A3"/>
            </w:tcBorders>
          </w:tcPr>
          <w:p>
            <w:pPr>
              <w:spacing w:after="0"/>
              <w:rPr>
                <w:sz w:val="23"/>
                <w:szCs w:val="23"/>
                <w:color w:val="auto"/>
              </w:rPr>
            </w:pPr>
          </w:p>
        </w:tc>
        <w:tc>
          <w:tcPr>
            <w:tcW w:w="60" w:type="dxa"/>
            <w:vAlign w:val="bottom"/>
            <w:tcBorders>
              <w:bottom w:val="single" w:sz="8" w:color="A5A4A3"/>
            </w:tcBorders>
          </w:tcPr>
          <w:p>
            <w:pPr>
              <w:spacing w:after="0"/>
              <w:rPr>
                <w:sz w:val="23"/>
                <w:szCs w:val="23"/>
                <w:color w:val="auto"/>
              </w:rPr>
            </w:pPr>
          </w:p>
        </w:tc>
        <w:tc>
          <w:tcPr>
            <w:tcW w:w="40" w:type="dxa"/>
            <w:vAlign w:val="bottom"/>
            <w:tcBorders>
              <w:bottom w:val="single" w:sz="8" w:color="A5A4A3"/>
            </w:tcBorders>
          </w:tcPr>
          <w:p>
            <w:pPr>
              <w:spacing w:after="0"/>
              <w:rPr>
                <w:sz w:val="23"/>
                <w:szCs w:val="23"/>
                <w:color w:val="auto"/>
              </w:rPr>
            </w:pP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B6B6B6"/>
            </w:tcBorders>
            <w:gridSpan w:val="3"/>
          </w:tcPr>
          <w:p>
            <w:pPr>
              <w:jc w:val="center"/>
              <w:ind w:left="119"/>
              <w:spacing w:after="0"/>
              <w:rPr>
                <w:sz w:val="20"/>
                <w:szCs w:val="20"/>
                <w:color w:val="auto"/>
              </w:rPr>
            </w:pPr>
            <w:r>
              <w:rPr>
                <w:rFonts w:ascii="Arial" w:cs="Arial" w:eastAsia="Arial" w:hAnsi="Arial"/>
                <w:sz w:val="16"/>
                <w:szCs w:val="16"/>
                <w:color w:val="0D0E10"/>
                <w:w w:val="95"/>
              </w:rPr>
              <w:t>5/24/2022</w:t>
            </w:r>
            <w:r>
              <w:rPr>
                <w:rFonts w:ascii="Arial" w:cs="Arial" w:eastAsia="Arial" w:hAnsi="Arial"/>
                <w:sz w:val="21"/>
                <w:szCs w:val="21"/>
                <w:color w:val="0D0E10"/>
                <w:w w:val="95"/>
                <w:vertAlign w:val="superscript"/>
              </w:rPr>
              <w:t>(9)</w:t>
            </w:r>
          </w:p>
        </w:tc>
        <w:tc>
          <w:tcPr>
            <w:tcW w:w="200" w:type="dxa"/>
            <w:vAlign w:val="bottom"/>
            <w:tcBorders>
              <w:bottom w:val="single" w:sz="8" w:color="B6B6B6"/>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7"/>
              </w:rPr>
              <w:t>851</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w w:val="98"/>
              </w:rPr>
              <w:t>14,824</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Borders>
              <w:bottom w:val="single" w:sz="8" w:color="B6B6B6"/>
            </w:tcBorders>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5/23/2023</w:t>
            </w:r>
            <w:r>
              <w:rPr>
                <w:rFonts w:ascii="Arial" w:cs="Arial" w:eastAsia="Arial" w:hAnsi="Arial"/>
                <w:sz w:val="21"/>
                <w:szCs w:val="21"/>
                <w:color w:val="0D0E10"/>
                <w:w w:val="95"/>
                <w:vertAlign w:val="superscript"/>
              </w:rPr>
              <w:t>(10)</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66,057</w:t>
            </w:r>
          </w:p>
        </w:tc>
        <w:tc>
          <w:tcPr>
            <w:tcW w:w="1300" w:type="dxa"/>
            <w:vAlign w:val="bottom"/>
            <w:tcBorders>
              <w:bottom w:val="single" w:sz="8" w:color="A5A4A3"/>
            </w:tcBorders>
            <w:gridSpan w:val="6"/>
          </w:tcPr>
          <w:p>
            <w:pPr>
              <w:jc w:val="center"/>
              <w:ind w:left="19"/>
              <w:spacing w:after="0"/>
              <w:rPr>
                <w:sz w:val="20"/>
                <w:szCs w:val="20"/>
                <w:color w:val="auto"/>
              </w:rPr>
            </w:pPr>
            <w:r>
              <w:rPr>
                <w:rFonts w:ascii="Arial" w:cs="Arial" w:eastAsia="Arial" w:hAnsi="Arial"/>
                <w:sz w:val="16"/>
                <w:szCs w:val="16"/>
                <w:color w:val="0D0E10"/>
              </w:rPr>
              <w:t>1,150,713</w:t>
            </w: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74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Arial" w:cs="Arial" w:eastAsia="Arial" w:hAnsi="Arial"/>
                <w:sz w:val="16"/>
                <w:szCs w:val="16"/>
                <w:color w:val="0D0E10"/>
                <w:w w:val="99"/>
              </w:rPr>
              <w:t>11/16/2021</w:t>
            </w:r>
            <w:r>
              <w:rPr>
                <w:rFonts w:ascii="Arial" w:cs="Arial" w:eastAsia="Arial" w:hAnsi="Arial"/>
                <w:sz w:val="9"/>
                <w:szCs w:val="9"/>
                <w:color w:val="0D0E10"/>
                <w:w w:val="99"/>
              </w:rPr>
              <w:t>(12)</w:t>
            </w:r>
          </w:p>
        </w:tc>
        <w:tc>
          <w:tcPr>
            <w:tcW w:w="124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Pr>
          <w:p>
            <w:pPr>
              <w:jc w:val="center"/>
              <w:spacing w:after="0"/>
              <w:rPr>
                <w:sz w:val="20"/>
                <w:szCs w:val="20"/>
                <w:color w:val="auto"/>
              </w:rPr>
            </w:pPr>
            <w:r>
              <w:rPr>
                <w:rFonts w:ascii="Arial" w:cs="Arial" w:eastAsia="Arial" w:hAnsi="Arial"/>
                <w:sz w:val="16"/>
                <w:szCs w:val="16"/>
                <w:color w:val="0D0E10"/>
              </w:rPr>
              <w:t>52,489</w:t>
            </w:r>
          </w:p>
        </w:tc>
        <w:tc>
          <w:tcPr>
            <w:tcW w:w="1040" w:type="dxa"/>
            <w:vAlign w:val="bottom"/>
            <w:gridSpan w:val="5"/>
          </w:tcPr>
          <w:p>
            <w:pPr>
              <w:jc w:val="center"/>
              <w:ind w:left="279"/>
              <w:spacing w:after="0"/>
              <w:rPr>
                <w:sz w:val="20"/>
                <w:szCs w:val="20"/>
                <w:color w:val="auto"/>
              </w:rPr>
            </w:pPr>
            <w:r>
              <w:rPr>
                <w:rFonts w:ascii="Arial" w:cs="Arial" w:eastAsia="Arial" w:hAnsi="Arial"/>
                <w:sz w:val="16"/>
                <w:szCs w:val="16"/>
                <w:color w:val="0D0E10"/>
              </w:rPr>
              <w:t>914,358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740" w:type="dxa"/>
            <w:vAlign w:val="bottom"/>
          </w:tcPr>
          <w:p>
            <w:pPr>
              <w:spacing w:after="0"/>
              <w:rPr>
                <w:sz w:val="7"/>
                <w:szCs w:val="7"/>
                <w:color w:val="auto"/>
              </w:rPr>
            </w:pPr>
          </w:p>
        </w:tc>
        <w:tc>
          <w:tcPr>
            <w:tcW w:w="200" w:type="dxa"/>
            <w:vAlign w:val="bottom"/>
            <w:tcBorders>
              <w:bottom w:val="single" w:sz="8" w:color="A5A4A3"/>
            </w:tcBorders>
          </w:tcPr>
          <w:p>
            <w:pPr>
              <w:spacing w:after="0"/>
              <w:rPr>
                <w:sz w:val="7"/>
                <w:szCs w:val="7"/>
                <w:color w:val="auto"/>
              </w:rPr>
            </w:pPr>
          </w:p>
        </w:tc>
        <w:tc>
          <w:tcPr>
            <w:tcW w:w="820" w:type="dxa"/>
            <w:vAlign w:val="bottom"/>
            <w:tcBorders>
              <w:bottom w:val="single" w:sz="8" w:color="A5A4A3"/>
            </w:tcBorders>
          </w:tcPr>
          <w:p>
            <w:pPr>
              <w:spacing w:after="0"/>
              <w:rPr>
                <w:sz w:val="7"/>
                <w:szCs w:val="7"/>
                <w:color w:val="auto"/>
              </w:rPr>
            </w:pPr>
          </w:p>
        </w:tc>
        <w:tc>
          <w:tcPr>
            <w:tcW w:w="140" w:type="dxa"/>
            <w:vAlign w:val="bottom"/>
            <w:tcBorders>
              <w:bottom w:val="single" w:sz="8" w:color="A5A4A3"/>
            </w:tcBorders>
          </w:tcPr>
          <w:p>
            <w:pPr>
              <w:spacing w:after="0"/>
              <w:rPr>
                <w:sz w:val="7"/>
                <w:szCs w:val="7"/>
                <w:color w:val="auto"/>
              </w:rPr>
            </w:pPr>
          </w:p>
        </w:tc>
        <w:tc>
          <w:tcPr>
            <w:tcW w:w="200" w:type="dxa"/>
            <w:vAlign w:val="bottom"/>
            <w:tcBorders>
              <w:bottom w:val="single" w:sz="8" w:color="A5A4A3"/>
            </w:tcBorders>
          </w:tcPr>
          <w:p>
            <w:pPr>
              <w:spacing w:after="0"/>
              <w:rPr>
                <w:sz w:val="7"/>
                <w:szCs w:val="7"/>
                <w:color w:val="auto"/>
              </w:rPr>
            </w:pPr>
          </w:p>
        </w:tc>
        <w:tc>
          <w:tcPr>
            <w:tcW w:w="1240" w:type="dxa"/>
            <w:vAlign w:val="bottom"/>
            <w:tcBorders>
              <w:bottom w:val="single" w:sz="8" w:color="A5A4A3"/>
            </w:tcBorders>
          </w:tcPr>
          <w:p>
            <w:pPr>
              <w:spacing w:after="0"/>
              <w:rPr>
                <w:sz w:val="7"/>
                <w:szCs w:val="7"/>
                <w:color w:val="auto"/>
              </w:rPr>
            </w:pPr>
          </w:p>
        </w:tc>
        <w:tc>
          <w:tcPr>
            <w:tcW w:w="1520" w:type="dxa"/>
            <w:vAlign w:val="bottom"/>
            <w:tcBorders>
              <w:bottom w:val="single" w:sz="8" w:color="A5A4A3"/>
            </w:tcBorders>
          </w:tcPr>
          <w:p>
            <w:pPr>
              <w:spacing w:after="0"/>
              <w:rPr>
                <w:sz w:val="7"/>
                <w:szCs w:val="7"/>
                <w:color w:val="auto"/>
              </w:rPr>
            </w:pPr>
          </w:p>
        </w:tc>
        <w:tc>
          <w:tcPr>
            <w:tcW w:w="1460" w:type="dxa"/>
            <w:vAlign w:val="bottom"/>
            <w:tcBorders>
              <w:bottom w:val="single" w:sz="8" w:color="A5A4A3"/>
            </w:tcBorders>
          </w:tcPr>
          <w:p>
            <w:pPr>
              <w:spacing w:after="0"/>
              <w:rPr>
                <w:sz w:val="7"/>
                <w:szCs w:val="7"/>
                <w:color w:val="auto"/>
              </w:rPr>
            </w:pPr>
          </w:p>
        </w:tc>
        <w:tc>
          <w:tcPr>
            <w:tcW w:w="1220" w:type="dxa"/>
            <w:vAlign w:val="bottom"/>
            <w:tcBorders>
              <w:bottom w:val="single" w:sz="8" w:color="A5A4A3"/>
            </w:tcBorders>
          </w:tcPr>
          <w:p>
            <w:pPr>
              <w:spacing w:after="0"/>
              <w:rPr>
                <w:sz w:val="7"/>
                <w:szCs w:val="7"/>
                <w:color w:val="auto"/>
              </w:rPr>
            </w:pPr>
          </w:p>
        </w:tc>
        <w:tc>
          <w:tcPr>
            <w:tcW w:w="1300" w:type="dxa"/>
            <w:vAlign w:val="bottom"/>
            <w:tcBorders>
              <w:bottom w:val="single" w:sz="8" w:color="A5A4A3"/>
            </w:tcBorders>
          </w:tcPr>
          <w:p>
            <w:pPr>
              <w:spacing w:after="0"/>
              <w:rPr>
                <w:sz w:val="7"/>
                <w:szCs w:val="7"/>
                <w:color w:val="auto"/>
              </w:rPr>
            </w:pPr>
          </w:p>
        </w:tc>
        <w:tc>
          <w:tcPr>
            <w:tcW w:w="100" w:type="dxa"/>
            <w:vAlign w:val="bottom"/>
            <w:tcBorders>
              <w:bottom w:val="single" w:sz="8" w:color="A5A4A3"/>
            </w:tcBorders>
          </w:tcPr>
          <w:p>
            <w:pPr>
              <w:spacing w:after="0"/>
              <w:rPr>
                <w:sz w:val="7"/>
                <w:szCs w:val="7"/>
                <w:color w:val="auto"/>
              </w:rPr>
            </w:pPr>
          </w:p>
        </w:tc>
        <w:tc>
          <w:tcPr>
            <w:tcW w:w="120" w:type="dxa"/>
            <w:vAlign w:val="bottom"/>
            <w:tcBorders>
              <w:bottom w:val="single" w:sz="8" w:color="A5A4A3"/>
            </w:tcBorders>
          </w:tcPr>
          <w:p>
            <w:pPr>
              <w:spacing w:after="0"/>
              <w:rPr>
                <w:sz w:val="7"/>
                <w:szCs w:val="7"/>
                <w:color w:val="auto"/>
              </w:rPr>
            </w:pPr>
          </w:p>
        </w:tc>
        <w:tc>
          <w:tcPr>
            <w:tcW w:w="380" w:type="dxa"/>
            <w:vAlign w:val="bottom"/>
            <w:tcBorders>
              <w:bottom w:val="single" w:sz="8" w:color="A5A4A3"/>
            </w:tcBorders>
          </w:tcPr>
          <w:p>
            <w:pPr>
              <w:spacing w:after="0"/>
              <w:rPr>
                <w:sz w:val="7"/>
                <w:szCs w:val="7"/>
                <w:color w:val="auto"/>
              </w:rPr>
            </w:pPr>
          </w:p>
        </w:tc>
        <w:tc>
          <w:tcPr>
            <w:tcW w:w="200" w:type="dxa"/>
            <w:vAlign w:val="bottom"/>
            <w:tcBorders>
              <w:bottom w:val="single" w:sz="8" w:color="A5A4A3"/>
            </w:tcBorders>
          </w:tcPr>
          <w:p>
            <w:pPr>
              <w:spacing w:after="0"/>
              <w:rPr>
                <w:sz w:val="7"/>
                <w:szCs w:val="7"/>
                <w:color w:val="auto"/>
              </w:rPr>
            </w:pPr>
          </w:p>
        </w:tc>
        <w:tc>
          <w:tcPr>
            <w:tcW w:w="240" w:type="dxa"/>
            <w:vAlign w:val="bottom"/>
            <w:tcBorders>
              <w:bottom w:val="single" w:sz="8" w:color="A5A4A3"/>
            </w:tcBorders>
          </w:tcPr>
          <w:p>
            <w:pPr>
              <w:spacing w:after="0"/>
              <w:rPr>
                <w:sz w:val="7"/>
                <w:szCs w:val="7"/>
                <w:color w:val="auto"/>
              </w:rPr>
            </w:pPr>
          </w:p>
        </w:tc>
        <w:tc>
          <w:tcPr>
            <w:tcW w:w="260" w:type="dxa"/>
            <w:vAlign w:val="bottom"/>
            <w:tcBorders>
              <w:bottom w:val="single" w:sz="8" w:color="A5A4A3"/>
            </w:tcBorders>
          </w:tcPr>
          <w:p>
            <w:pPr>
              <w:spacing w:after="0"/>
              <w:rPr>
                <w:sz w:val="7"/>
                <w:szCs w:val="7"/>
                <w:color w:val="auto"/>
              </w:rPr>
            </w:pPr>
          </w:p>
        </w:tc>
        <w:tc>
          <w:tcPr>
            <w:tcW w:w="60" w:type="dxa"/>
            <w:vAlign w:val="bottom"/>
            <w:tcBorders>
              <w:bottom w:val="single" w:sz="8" w:color="A5A4A3"/>
            </w:tcBorders>
          </w:tcPr>
          <w:p>
            <w:pPr>
              <w:spacing w:after="0"/>
              <w:rPr>
                <w:sz w:val="7"/>
                <w:szCs w:val="7"/>
                <w:color w:val="auto"/>
              </w:rPr>
            </w:pPr>
          </w:p>
        </w:tc>
        <w:tc>
          <w:tcPr>
            <w:tcW w:w="40" w:type="dxa"/>
            <w:vAlign w:val="bottom"/>
            <w:tcBorders>
              <w:bottom w:val="single" w:sz="8" w:color="A5A4A3"/>
            </w:tcBorders>
          </w:tcPr>
          <w:p>
            <w:pPr>
              <w:spacing w:after="0"/>
              <w:rPr>
                <w:sz w:val="7"/>
                <w:szCs w:val="7"/>
                <w:color w:val="auto"/>
              </w:rPr>
            </w:pPr>
          </w:p>
        </w:tc>
        <w:tc>
          <w:tcPr>
            <w:tcW w:w="0" w:type="dxa"/>
            <w:vAlign w:val="bottom"/>
          </w:tcPr>
          <w:p>
            <w:pPr>
              <w:spacing w:after="0"/>
              <w:rPr>
                <w:sz w:val="1"/>
                <w:szCs w:val="1"/>
                <w:color w:val="auto"/>
              </w:rPr>
            </w:pPr>
          </w:p>
        </w:tc>
      </w:tr>
      <w:tr>
        <w:trPr>
          <w:trHeight w:val="352"/>
        </w:trPr>
        <w:tc>
          <w:tcPr>
            <w:tcW w:w="1740" w:type="dxa"/>
            <w:vAlign w:val="bottom"/>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3/10/2022</w:t>
            </w:r>
            <w:r>
              <w:rPr>
                <w:rFonts w:ascii="Arial" w:cs="Arial" w:eastAsia="Arial" w:hAnsi="Arial"/>
                <w:sz w:val="21"/>
                <w:szCs w:val="21"/>
                <w:color w:val="0D0E10"/>
                <w:w w:val="95"/>
                <w:vertAlign w:val="superscript"/>
              </w:rPr>
              <w:t>(8)</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26,848</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rPr>
              <w:t>467,692</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Pr>
          <w:p>
            <w:pPr>
              <w:ind w:left="100"/>
              <w:spacing w:after="0"/>
              <w:rPr>
                <w:sz w:val="20"/>
                <w:szCs w:val="20"/>
                <w:color w:val="auto"/>
              </w:rPr>
            </w:pPr>
            <w:r>
              <w:rPr>
                <w:rFonts w:ascii="Arial" w:cs="Arial" w:eastAsia="Arial" w:hAnsi="Arial"/>
                <w:sz w:val="16"/>
                <w:szCs w:val="16"/>
                <w:color w:val="0D0E10"/>
              </w:rPr>
              <w:t>Anne Raimondi</w:t>
            </w:r>
          </w:p>
        </w:tc>
        <w:tc>
          <w:tcPr>
            <w:tcW w:w="1160" w:type="dxa"/>
            <w:vAlign w:val="bottom"/>
            <w:tcBorders>
              <w:bottom w:val="single" w:sz="8" w:color="B6B6B6"/>
            </w:tcBorders>
            <w:gridSpan w:val="3"/>
          </w:tcPr>
          <w:p>
            <w:pPr>
              <w:jc w:val="center"/>
              <w:ind w:left="119"/>
              <w:spacing w:after="0"/>
              <w:rPr>
                <w:sz w:val="20"/>
                <w:szCs w:val="20"/>
                <w:color w:val="auto"/>
              </w:rPr>
            </w:pPr>
            <w:r>
              <w:rPr>
                <w:rFonts w:ascii="Arial" w:cs="Arial" w:eastAsia="Arial" w:hAnsi="Arial"/>
                <w:sz w:val="16"/>
                <w:szCs w:val="16"/>
                <w:color w:val="0D0E10"/>
                <w:w w:val="95"/>
              </w:rPr>
              <w:t>5/24/2022</w:t>
            </w:r>
            <w:r>
              <w:rPr>
                <w:rFonts w:ascii="Arial" w:cs="Arial" w:eastAsia="Arial" w:hAnsi="Arial"/>
                <w:sz w:val="21"/>
                <w:szCs w:val="21"/>
                <w:color w:val="0D0E10"/>
                <w:w w:val="95"/>
                <w:vertAlign w:val="superscript"/>
              </w:rPr>
              <w:t>(13)</w:t>
            </w:r>
          </w:p>
        </w:tc>
        <w:tc>
          <w:tcPr>
            <w:tcW w:w="200" w:type="dxa"/>
            <w:vAlign w:val="bottom"/>
            <w:tcBorders>
              <w:bottom w:val="single" w:sz="8" w:color="B6B6B6"/>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8,769</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rPr>
              <w:t>152,756</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Pr>
          <w:p>
            <w:pPr>
              <w:spacing w:after="0"/>
              <w:rPr>
                <w:sz w:val="24"/>
                <w:szCs w:val="24"/>
                <w:color w:val="auto"/>
              </w:rPr>
            </w:pPr>
          </w:p>
        </w:tc>
        <w:tc>
          <w:tcPr>
            <w:tcW w:w="1160" w:type="dxa"/>
            <w:vAlign w:val="bottom"/>
            <w:tcBorders>
              <w:bottom w:val="single" w:sz="8" w:color="B6B6B6"/>
            </w:tcBorders>
            <w:gridSpan w:val="3"/>
          </w:tcPr>
          <w:p>
            <w:pPr>
              <w:jc w:val="center"/>
              <w:ind w:left="119"/>
              <w:spacing w:after="0"/>
              <w:rPr>
                <w:sz w:val="20"/>
                <w:szCs w:val="20"/>
                <w:color w:val="auto"/>
              </w:rPr>
            </w:pPr>
            <w:r>
              <w:rPr>
                <w:rFonts w:ascii="Arial" w:cs="Arial" w:eastAsia="Arial" w:hAnsi="Arial"/>
                <w:sz w:val="16"/>
                <w:szCs w:val="16"/>
                <w:color w:val="0D0E10"/>
                <w:w w:val="95"/>
              </w:rPr>
              <w:t>5/24/2022</w:t>
            </w:r>
            <w:r>
              <w:rPr>
                <w:rFonts w:ascii="Arial" w:cs="Arial" w:eastAsia="Arial" w:hAnsi="Arial"/>
                <w:sz w:val="21"/>
                <w:szCs w:val="21"/>
                <w:color w:val="0D0E10"/>
                <w:w w:val="95"/>
                <w:vertAlign w:val="superscript"/>
              </w:rPr>
              <w:t>(9)</w:t>
            </w:r>
          </w:p>
        </w:tc>
        <w:tc>
          <w:tcPr>
            <w:tcW w:w="200" w:type="dxa"/>
            <w:vAlign w:val="bottom"/>
            <w:tcBorders>
              <w:bottom w:val="single" w:sz="8" w:color="B6B6B6"/>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1,122</w:t>
            </w:r>
          </w:p>
        </w:tc>
        <w:tc>
          <w:tcPr>
            <w:tcW w:w="1040" w:type="dxa"/>
            <w:vAlign w:val="bottom"/>
            <w:tcBorders>
              <w:bottom w:val="single" w:sz="8" w:color="A5A4A3"/>
            </w:tcBorders>
            <w:gridSpan w:val="5"/>
          </w:tcPr>
          <w:p>
            <w:pPr>
              <w:jc w:val="center"/>
              <w:ind w:left="279"/>
              <w:spacing w:after="0"/>
              <w:rPr>
                <w:sz w:val="20"/>
                <w:szCs w:val="20"/>
                <w:color w:val="auto"/>
              </w:rPr>
            </w:pPr>
            <w:r>
              <w:rPr>
                <w:rFonts w:ascii="Arial" w:cs="Arial" w:eastAsia="Arial" w:hAnsi="Arial"/>
                <w:sz w:val="16"/>
                <w:szCs w:val="16"/>
                <w:color w:val="0D0E10"/>
                <w:w w:val="98"/>
              </w:rPr>
              <w:t>19,545</w:t>
            </w:r>
          </w:p>
        </w:tc>
        <w:tc>
          <w:tcPr>
            <w:tcW w:w="260" w:type="dxa"/>
            <w:vAlign w:val="bottom"/>
            <w:tcBorders>
              <w:bottom w:val="single" w:sz="8" w:color="A5A4A3"/>
            </w:tcBorders>
          </w:tcPr>
          <w:p>
            <w:pPr>
              <w:spacing w:after="0"/>
              <w:rPr>
                <w:sz w:val="24"/>
                <w:szCs w:val="24"/>
                <w:color w:val="auto"/>
              </w:rPr>
            </w:pP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740" w:type="dxa"/>
            <w:vAlign w:val="bottom"/>
            <w:tcBorders>
              <w:bottom w:val="single" w:sz="8" w:color="B6B6B6"/>
            </w:tcBorders>
          </w:tcPr>
          <w:p>
            <w:pPr>
              <w:spacing w:after="0"/>
              <w:rPr>
                <w:sz w:val="24"/>
                <w:szCs w:val="24"/>
                <w:color w:val="auto"/>
              </w:rPr>
            </w:pPr>
          </w:p>
        </w:tc>
        <w:tc>
          <w:tcPr>
            <w:tcW w:w="1160" w:type="dxa"/>
            <w:vAlign w:val="bottom"/>
            <w:tcBorders>
              <w:bottom w:val="single" w:sz="8" w:color="A5A4A3"/>
            </w:tcBorders>
            <w:gridSpan w:val="3"/>
          </w:tcPr>
          <w:p>
            <w:pPr>
              <w:jc w:val="center"/>
              <w:ind w:left="119"/>
              <w:spacing w:after="0"/>
              <w:rPr>
                <w:sz w:val="20"/>
                <w:szCs w:val="20"/>
                <w:color w:val="auto"/>
              </w:rPr>
            </w:pPr>
            <w:r>
              <w:rPr>
                <w:rFonts w:ascii="Arial" w:cs="Arial" w:eastAsia="Arial" w:hAnsi="Arial"/>
                <w:sz w:val="16"/>
                <w:szCs w:val="16"/>
                <w:color w:val="0D0E10"/>
                <w:w w:val="95"/>
              </w:rPr>
              <w:t>5/23/2023</w:t>
            </w:r>
            <w:r>
              <w:rPr>
                <w:rFonts w:ascii="Arial" w:cs="Arial" w:eastAsia="Arial" w:hAnsi="Arial"/>
                <w:sz w:val="21"/>
                <w:szCs w:val="21"/>
                <w:color w:val="0D0E10"/>
                <w:w w:val="95"/>
                <w:vertAlign w:val="superscript"/>
              </w:rPr>
              <w:t>(10)</w:t>
            </w:r>
          </w:p>
        </w:tc>
        <w:tc>
          <w:tcPr>
            <w:tcW w:w="200" w:type="dxa"/>
            <w:vAlign w:val="bottom"/>
            <w:tcBorders>
              <w:bottom w:val="single" w:sz="8" w:color="A5A4A3"/>
            </w:tcBorders>
          </w:tcPr>
          <w:p>
            <w:pPr>
              <w:spacing w:after="0"/>
              <w:rPr>
                <w:sz w:val="24"/>
                <w:szCs w:val="24"/>
                <w:color w:val="auto"/>
              </w:rPr>
            </w:pPr>
          </w:p>
        </w:tc>
        <w:tc>
          <w:tcPr>
            <w:tcW w:w="1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5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46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22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1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161,014</w:t>
            </w:r>
          </w:p>
        </w:tc>
        <w:tc>
          <w:tcPr>
            <w:tcW w:w="1300" w:type="dxa"/>
            <w:vAlign w:val="bottom"/>
            <w:tcBorders>
              <w:bottom w:val="single" w:sz="8" w:color="A5A4A3"/>
            </w:tcBorders>
            <w:gridSpan w:val="6"/>
          </w:tcPr>
          <w:p>
            <w:pPr>
              <w:jc w:val="center"/>
              <w:ind w:left="19"/>
              <w:spacing w:after="0"/>
              <w:rPr>
                <w:sz w:val="20"/>
                <w:szCs w:val="20"/>
                <w:color w:val="auto"/>
              </w:rPr>
            </w:pPr>
            <w:r>
              <w:rPr>
                <w:rFonts w:ascii="Arial" w:cs="Arial" w:eastAsia="Arial" w:hAnsi="Arial"/>
                <w:sz w:val="16"/>
                <w:szCs w:val="16"/>
                <w:color w:val="0D0E10"/>
              </w:rPr>
              <w:t>2,804,864</w:t>
            </w:r>
          </w:p>
        </w:tc>
        <w:tc>
          <w:tcPr>
            <w:tcW w:w="60" w:type="dxa"/>
            <w:vAlign w:val="bottom"/>
            <w:tcBorders>
              <w:bottom w:val="single" w:sz="8" w:color="A5A4A3"/>
            </w:tcBorders>
          </w:tcPr>
          <w:p>
            <w:pPr>
              <w:spacing w:after="0"/>
              <w:rPr>
                <w:sz w:val="24"/>
                <w:szCs w:val="24"/>
                <w:color w:val="auto"/>
              </w:rPr>
            </w:pPr>
          </w:p>
        </w:tc>
        <w:tc>
          <w:tcPr>
            <w:tcW w:w="40" w:type="dxa"/>
            <w:vAlign w:val="bottom"/>
            <w:tcBorders>
              <w:bottom w:val="single" w:sz="8" w:color="A5A4A3"/>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right="460" w:hanging="332"/>
        <w:spacing w:after="0" w:line="324" w:lineRule="auto"/>
        <w:tabs>
          <w:tab w:leader="none" w:pos="343" w:val="left"/>
        </w:tabs>
        <w:numPr>
          <w:ilvl w:val="0"/>
          <w:numId w:val="47"/>
        </w:numPr>
        <w:rPr>
          <w:rFonts w:ascii="Arial" w:cs="Arial" w:eastAsia="Arial" w:hAnsi="Arial"/>
          <w:sz w:val="13"/>
          <w:szCs w:val="13"/>
          <w:color w:val="0D0E10"/>
        </w:rPr>
      </w:pPr>
      <w:r>
        <w:rPr>
          <w:rFonts w:ascii="Arial" w:cs="Arial" w:eastAsia="Arial" w:hAnsi="Arial"/>
          <w:sz w:val="13"/>
          <w:szCs w:val="13"/>
          <w:color w:val="0D0E10"/>
        </w:rPr>
        <w:t>All option and RSU awards listed in this table were granted pursuant to either our Amended and Restated 2012 Stock Plan or our 2020 Equity Incentive Plan and are subject to acceleration of vesting as described in the "Employment, Severance and Change in Control Arrangements" section below.</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53</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8" w:name="page59"/>
    <w:bookmarkEnd w:id="58"/>
    <w:p>
      <w:pPr>
        <w:ind w:left="772"/>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332" w:right="60" w:hanging="332"/>
        <w:spacing w:after="0" w:line="314"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All of the outstanding stock options were immediately exercisable as of the date of grant, with any unvested shares acquired on exercise subject to a right of repurchase in favor of us at the original exercise price and which lapses in accordance with the vesting schedule of the related option. Accordingly, the columns and footnotes below reflect the extent to which stock options held by our named executive officers were vested (as opposed to exercisable) as of January 31, 2024.</w:t>
      </w:r>
    </w:p>
    <w:p>
      <w:pPr>
        <w:spacing w:after="0" w:line="20" w:lineRule="exact"/>
        <w:rPr>
          <w:rFonts w:ascii="Arial" w:cs="Arial" w:eastAsia="Arial" w:hAnsi="Arial"/>
          <w:sz w:val="13"/>
          <w:szCs w:val="13"/>
          <w:color w:val="0D0E10"/>
        </w:rPr>
      </w:pPr>
    </w:p>
    <w:p>
      <w:pPr>
        <w:jc w:val="both"/>
        <w:ind w:left="332" w:hanging="332"/>
        <w:spacing w:after="0" w:line="314"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amounts represent the number of unvested restricted stock units multiplied by $17.42, which was the closing market price of our Class A common stock on January 31, 2024, the last trading day of fiscal year 2024. These amounts do not reflect the actual economic value that may be realized by our named executive officers upon the vesting or settlement of the equity awards.</w:t>
      </w:r>
    </w:p>
    <w:p>
      <w:pPr>
        <w:spacing w:after="0" w:line="7" w:lineRule="exact"/>
        <w:rPr>
          <w:rFonts w:ascii="Arial" w:cs="Arial" w:eastAsia="Arial" w:hAnsi="Arial"/>
          <w:sz w:val="13"/>
          <w:szCs w:val="13"/>
          <w:color w:val="0D0E10"/>
        </w:rPr>
      </w:pPr>
    </w:p>
    <w:p>
      <w:pPr>
        <w:ind w:left="332" w:right="320" w:hanging="332"/>
        <w:spacing w:after="0" w:line="335"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One-fourth of the shares subject to the option vested on January 17, 2018 and the remaining shares subject to the option vested in 36 equal monthly installments measured from January 17, 2018, subject to Mr. Wan’s continuous service through each applicable vesting date.</w:t>
      </w:r>
    </w:p>
    <w:p>
      <w:pPr>
        <w:spacing w:after="0" w:line="1" w:lineRule="exact"/>
        <w:rPr>
          <w:rFonts w:ascii="Arial" w:cs="Arial" w:eastAsia="Arial" w:hAnsi="Arial"/>
          <w:sz w:val="13"/>
          <w:szCs w:val="13"/>
          <w:color w:val="0D0E10"/>
        </w:rPr>
      </w:pPr>
    </w:p>
    <w:p>
      <w:pPr>
        <w:ind w:left="332" w:right="340" w:hanging="332"/>
        <w:spacing w:after="0" w:line="335"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shares subject to the option vest in 24 equal monthly installments measured from February 1, 2021, subject to Mr. Wan’s continuous service with us through each applicable vesting date.</w:t>
      </w:r>
    </w:p>
    <w:p>
      <w:pPr>
        <w:spacing w:after="0" w:line="1" w:lineRule="exact"/>
        <w:rPr>
          <w:rFonts w:ascii="Arial" w:cs="Arial" w:eastAsia="Arial" w:hAnsi="Arial"/>
          <w:sz w:val="13"/>
          <w:szCs w:val="13"/>
          <w:color w:val="0D0E10"/>
        </w:rPr>
      </w:pPr>
    </w:p>
    <w:p>
      <w:pPr>
        <w:jc w:val="both"/>
        <w:ind w:left="332" w:right="80" w:hanging="332"/>
        <w:spacing w:after="0" w:line="314"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shares subject to the RSU award vest in 16 equal quarterly installments, with the first installment beginning on June 20, 2020 subject to continuous service with us through each applicable vesting date. Shares are subject to a two-year holding period following the vesting date and will not be issued or delivered to the named executive officer until the earlier to occur of (a) the second anniversary of the applicable vesting date or (b) a “change in control event” within the meaning of Section 409A of the Code.</w:t>
      </w:r>
    </w:p>
    <w:p>
      <w:pPr>
        <w:spacing w:after="0" w:line="20" w:lineRule="exact"/>
        <w:rPr>
          <w:rFonts w:ascii="Arial" w:cs="Arial" w:eastAsia="Arial" w:hAnsi="Arial"/>
          <w:sz w:val="13"/>
          <w:szCs w:val="13"/>
          <w:color w:val="0D0E10"/>
        </w:rPr>
      </w:pPr>
    </w:p>
    <w:p>
      <w:pPr>
        <w:jc w:val="both"/>
        <w:ind w:left="332" w:right="80" w:hanging="332"/>
        <w:spacing w:after="0" w:line="314"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shares subject to the RSU award vest in 16 equal quarterly installments, with the first installment beginning on June 20, 2021, subject to continuous service with us through each applicable vesting date. Shares are subject to a two-year holding period following the vesting date and will not be issued or delivered to the named executive officer until the earlier to occur of (a) the second anniversary of the applicable vesting date or (b) a “change in control event” within the meaning of Section 409A of the Code.</w:t>
      </w:r>
    </w:p>
    <w:p>
      <w:pPr>
        <w:spacing w:after="0" w:line="7" w:lineRule="exact"/>
        <w:rPr>
          <w:rFonts w:ascii="Arial" w:cs="Arial" w:eastAsia="Arial" w:hAnsi="Arial"/>
          <w:sz w:val="13"/>
          <w:szCs w:val="13"/>
          <w:color w:val="0D0E10"/>
        </w:rPr>
      </w:pPr>
    </w:p>
    <w:p>
      <w:pPr>
        <w:jc w:val="both"/>
        <w:ind w:left="332" w:right="80" w:hanging="332"/>
        <w:spacing w:after="0" w:line="314"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shares subject to the RSU award vest in 16 equal quarterly installments, with the first installment beginning on June 20, 2022, subject to continuous service with us through each applicable vesting date. Shares are subject to a two-year holding period following the vesting date and will not be issued or delivered to the named executive officer until the earlier to occur of (a) the second anniversary of the applicable vesting date or (b) a “change in control event” within the meaning of Section 409A of the Code.</w:t>
      </w:r>
    </w:p>
    <w:p>
      <w:pPr>
        <w:spacing w:after="0" w:line="20" w:lineRule="exact"/>
        <w:rPr>
          <w:rFonts w:ascii="Arial" w:cs="Arial" w:eastAsia="Arial" w:hAnsi="Arial"/>
          <w:sz w:val="13"/>
          <w:szCs w:val="13"/>
          <w:color w:val="0D0E10"/>
        </w:rPr>
      </w:pPr>
    </w:p>
    <w:p>
      <w:pPr>
        <w:ind w:left="332" w:right="80" w:hanging="332"/>
        <w:spacing w:after="0" w:line="314" w:lineRule="auto"/>
        <w:tabs>
          <w:tab w:leader="none" w:pos="335"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shares subject to the RSU award vest in 8 equal quarterly installments, with the first installment beginning on June 20, 2022, subject to continuous service with us through each applicable vesting date. Shares are subject to a two-year holding period following the vesting date and will not be issued or delivered to the named executive officer until the earlier to occur of (a) the second anniversary of the applicable vesting date or (b) a “change in control event” within the meaning of Section 409A of the Code.</w:t>
      </w:r>
    </w:p>
    <w:p>
      <w:pPr>
        <w:spacing w:after="0" w:line="7" w:lineRule="exact"/>
        <w:rPr>
          <w:rFonts w:ascii="Arial" w:cs="Arial" w:eastAsia="Arial" w:hAnsi="Arial"/>
          <w:sz w:val="13"/>
          <w:szCs w:val="13"/>
          <w:color w:val="0D0E10"/>
        </w:rPr>
      </w:pPr>
    </w:p>
    <w:p>
      <w:pPr>
        <w:ind w:left="332" w:right="80" w:hanging="332"/>
        <w:spacing w:after="0" w:line="335" w:lineRule="auto"/>
        <w:tabs>
          <w:tab w:leader="none" w:pos="329"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shares subject to the RSU award vest in 16 equal quarterly installments, with the first installment beginning on June 20, 2023, subject to continuous service with us through each applicable vesting date.</w:t>
      </w:r>
    </w:p>
    <w:p>
      <w:pPr>
        <w:spacing w:after="0" w:line="1" w:lineRule="exact"/>
        <w:rPr>
          <w:rFonts w:ascii="Arial" w:cs="Arial" w:eastAsia="Arial" w:hAnsi="Arial"/>
          <w:sz w:val="13"/>
          <w:szCs w:val="13"/>
          <w:color w:val="0D0E10"/>
        </w:rPr>
      </w:pPr>
    </w:p>
    <w:p>
      <w:pPr>
        <w:ind w:left="332" w:right="240" w:hanging="332"/>
        <w:spacing w:after="0" w:line="335" w:lineRule="auto"/>
        <w:tabs>
          <w:tab w:leader="none" w:pos="319"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One-fourth of the shares subject to the option vested on July 22, 2020 and the remaining shares subject to the option vest in 36 equal monthly installments measured from July 22, 2020, subject to Ms. Lacey's continuous service with us as of each such vesting date.</w:t>
      </w:r>
    </w:p>
    <w:p>
      <w:pPr>
        <w:spacing w:after="0" w:line="1" w:lineRule="exact"/>
        <w:rPr>
          <w:rFonts w:ascii="Arial" w:cs="Arial" w:eastAsia="Arial" w:hAnsi="Arial"/>
          <w:sz w:val="13"/>
          <w:szCs w:val="13"/>
          <w:color w:val="0D0E10"/>
        </w:rPr>
      </w:pPr>
    </w:p>
    <w:p>
      <w:pPr>
        <w:ind w:left="332" w:right="40" w:hanging="332"/>
        <w:spacing w:after="0" w:line="303" w:lineRule="auto"/>
        <w:tabs>
          <w:tab w:leader="none" w:pos="329"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Subject to Ms. Raimondi’s continuous service with us, 35% of the shares subject to the RSU award will vest on September 20, 2022, 7.5% of the shares subject to the RSU award will vest in four equal quarterly installments, with the first installment beginning on December 20, 2022, 5% of the shares subject to the RSU award will vest in four equal quarterly installments, with the first installment beginning on December 20, 2023, and 3.75% of the subject to the RSU award will vest in four equal quarterly installments, with the first installment beginning on December 20, 2024. Vested shares subject to the RSU award will be settled as shares of our Class A common stock on the earlier to occur of (a) the first anniversary of the vesting date of such vested RSUs or (b) a “change in control event” within the meaning of Section 409A of the Code.</w:t>
      </w:r>
    </w:p>
    <w:p>
      <w:pPr>
        <w:spacing w:after="0" w:line="28" w:lineRule="exact"/>
        <w:rPr>
          <w:rFonts w:ascii="Arial" w:cs="Arial" w:eastAsia="Arial" w:hAnsi="Arial"/>
          <w:sz w:val="13"/>
          <w:szCs w:val="13"/>
          <w:color w:val="0D0E10"/>
        </w:rPr>
      </w:pPr>
    </w:p>
    <w:p>
      <w:pPr>
        <w:ind w:left="332" w:right="60" w:hanging="332"/>
        <w:spacing w:after="0" w:line="314" w:lineRule="auto"/>
        <w:tabs>
          <w:tab w:leader="none" w:pos="329" w:val="left"/>
        </w:tabs>
        <w:numPr>
          <w:ilvl w:val="0"/>
          <w:numId w:val="48"/>
        </w:numPr>
        <w:rPr>
          <w:rFonts w:ascii="Arial" w:cs="Arial" w:eastAsia="Arial" w:hAnsi="Arial"/>
          <w:sz w:val="13"/>
          <w:szCs w:val="13"/>
          <w:color w:val="0D0E10"/>
        </w:rPr>
      </w:pPr>
      <w:r>
        <w:rPr>
          <w:rFonts w:ascii="Arial" w:cs="Arial" w:eastAsia="Arial" w:hAnsi="Arial"/>
          <w:sz w:val="13"/>
          <w:szCs w:val="13"/>
          <w:color w:val="0D0E10"/>
        </w:rPr>
        <w:t>The shares subject to the RSU award vest in 8 equal quarterly installments, with the first installment beginning on June 20, 2022, subject to continuous service with us through each applicable vesting date. Shares are subject to a one-year holding period following the vesting date and will not be issued or delivered to the named executive officer until the earlier to occur of (a) the first anniversary of the applicable vesting date or (b) a “change in control event” within the meaning of Section 409A of the Code.</w:t>
      </w:r>
    </w:p>
    <w:p>
      <w:pPr>
        <w:spacing w:after="0" w:line="200" w:lineRule="exact"/>
        <w:rPr>
          <w:sz w:val="20"/>
          <w:szCs w:val="20"/>
          <w:color w:val="auto"/>
        </w:rPr>
      </w:pPr>
    </w:p>
    <w:p>
      <w:pPr>
        <w:spacing w:after="0" w:line="211" w:lineRule="exact"/>
        <w:rPr>
          <w:sz w:val="20"/>
          <w:szCs w:val="20"/>
          <w:color w:val="auto"/>
        </w:rPr>
      </w:pPr>
    </w:p>
    <w:p>
      <w:pPr>
        <w:ind w:left="12"/>
        <w:spacing w:after="0"/>
        <w:tabs>
          <w:tab w:leader="none" w:pos="5492" w:val="left"/>
          <w:tab w:leader="none" w:pos="9772"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54</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279" w:right="359" w:bottom="1440" w:gutter="0" w:footer="0" w:header="0"/>
        </w:sectPr>
      </w:pPr>
    </w:p>
    <w:bookmarkStart w:id="59" w:name="page60"/>
    <w:bookmarkEnd w:id="59"/>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Option Exercises and Stock Vested Table for Fiscal Year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shd w:val="clear" w:color="auto" w:fill="EEEBEA"/>
          </w:tcPr>
          <w:p>
            <w:pPr>
              <w:spacing w:after="0"/>
              <w:rPr>
                <w:sz w:val="18"/>
                <w:szCs w:val="18"/>
                <w:color w:val="auto"/>
              </w:rPr>
            </w:pPr>
          </w:p>
        </w:tc>
        <w:tc>
          <w:tcPr>
            <w:tcW w:w="2300" w:type="dxa"/>
            <w:vAlign w:val="bottom"/>
            <w:shd w:val="clear" w:color="auto" w:fill="EEEBEA"/>
          </w:tcPr>
          <w:p>
            <w:pPr>
              <w:spacing w:after="0"/>
              <w:rPr>
                <w:sz w:val="18"/>
                <w:szCs w:val="18"/>
                <w:color w:val="auto"/>
              </w:rPr>
            </w:pPr>
          </w:p>
        </w:tc>
        <w:tc>
          <w:tcPr>
            <w:tcW w:w="22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Value Realized on Exercise</w:t>
            </w:r>
          </w:p>
        </w:tc>
        <w:tc>
          <w:tcPr>
            <w:tcW w:w="2280" w:type="dxa"/>
            <w:vAlign w:val="bottom"/>
            <w:shd w:val="clear" w:color="auto" w:fill="EEEBEA"/>
          </w:tcPr>
          <w:p>
            <w:pPr>
              <w:spacing w:after="0"/>
              <w:rPr>
                <w:sz w:val="18"/>
                <w:szCs w:val="18"/>
                <w:color w:val="auto"/>
              </w:rPr>
            </w:pPr>
          </w:p>
        </w:tc>
        <w:tc>
          <w:tcPr>
            <w:tcW w:w="2300" w:type="dxa"/>
            <w:vAlign w:val="bottom"/>
            <w:shd w:val="clear" w:color="auto" w:fill="EEEBEA"/>
          </w:tcPr>
          <w:p>
            <w:pPr>
              <w:spacing w:after="0"/>
              <w:rPr>
                <w:sz w:val="18"/>
                <w:szCs w:val="18"/>
                <w:color w:val="auto"/>
              </w:rPr>
            </w:pPr>
          </w:p>
        </w:tc>
      </w:tr>
      <w:tr>
        <w:trPr>
          <w:trHeight w:val="203"/>
        </w:trPr>
        <w:tc>
          <w:tcPr>
            <w:tcW w:w="2120" w:type="dxa"/>
            <w:vAlign w:val="bottom"/>
            <w:shd w:val="clear" w:color="auto" w:fill="EEEBEA"/>
          </w:tcPr>
          <w:p>
            <w:pPr>
              <w:spacing w:after="0"/>
              <w:rPr>
                <w:sz w:val="17"/>
                <w:szCs w:val="17"/>
                <w:color w:val="auto"/>
              </w:rPr>
            </w:pPr>
          </w:p>
        </w:tc>
        <w:tc>
          <w:tcPr>
            <w:tcW w:w="23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Number of Shares Acquired</w:t>
            </w:r>
          </w:p>
        </w:tc>
        <w:tc>
          <w:tcPr>
            <w:tcW w:w="22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of</w:t>
            </w:r>
          </w:p>
        </w:tc>
        <w:tc>
          <w:tcPr>
            <w:tcW w:w="2280" w:type="dxa"/>
            <w:vAlign w:val="bottom"/>
            <w:shd w:val="clear" w:color="auto" w:fill="EEEBEA"/>
          </w:tcPr>
          <w:p>
            <w:pPr>
              <w:ind w:left="80"/>
              <w:spacing w:after="0"/>
              <w:rPr>
                <w:sz w:val="20"/>
                <w:szCs w:val="20"/>
                <w:color w:val="auto"/>
              </w:rPr>
            </w:pPr>
            <w:r>
              <w:rPr>
                <w:rFonts w:ascii="Arial" w:cs="Arial" w:eastAsia="Arial" w:hAnsi="Arial"/>
                <w:sz w:val="16"/>
                <w:szCs w:val="16"/>
                <w:b w:val="1"/>
                <w:bCs w:val="1"/>
                <w:color w:val="F06A6A"/>
              </w:rPr>
              <w:t>Number of Shares Acquired</w:t>
            </w:r>
          </w:p>
        </w:tc>
        <w:tc>
          <w:tcPr>
            <w:tcW w:w="23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Value Realized on Vesting of</w:t>
            </w:r>
          </w:p>
        </w:tc>
      </w:tr>
      <w:tr>
        <w:trPr>
          <w:trHeight w:val="216"/>
        </w:trPr>
        <w:tc>
          <w:tcPr>
            <w:tcW w:w="2120" w:type="dxa"/>
            <w:vAlign w:val="bottom"/>
            <w:shd w:val="clear" w:color="auto" w:fill="EEEBEA"/>
          </w:tcPr>
          <w:p>
            <w:pPr>
              <w:spacing w:after="0"/>
              <w:rPr>
                <w:sz w:val="18"/>
                <w:szCs w:val="18"/>
                <w:color w:val="auto"/>
              </w:rPr>
            </w:pPr>
          </w:p>
        </w:tc>
        <w:tc>
          <w:tcPr>
            <w:tcW w:w="23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on Exercise of Options</w:t>
            </w:r>
          </w:p>
        </w:tc>
        <w:tc>
          <w:tcPr>
            <w:tcW w:w="22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Options</w:t>
            </w:r>
          </w:p>
        </w:tc>
        <w:tc>
          <w:tcPr>
            <w:tcW w:w="228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on Vesting of Stock Awards</w:t>
            </w:r>
          </w:p>
        </w:tc>
        <w:tc>
          <w:tcPr>
            <w:tcW w:w="23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Stock Awards</w:t>
            </w:r>
          </w:p>
        </w:tc>
      </w:tr>
      <w:tr>
        <w:trPr>
          <w:trHeight w:val="257"/>
        </w:trPr>
        <w:tc>
          <w:tcPr>
            <w:tcW w:w="212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w:t>
            </w:r>
          </w:p>
        </w:tc>
        <w:tc>
          <w:tcPr>
            <w:tcW w:w="23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224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87"/>
              </w:rPr>
              <w:t>($)</w:t>
            </w:r>
            <w:r>
              <w:rPr>
                <w:rFonts w:ascii="Arial" w:cs="Arial" w:eastAsia="Arial" w:hAnsi="Arial"/>
                <w:sz w:val="21"/>
                <w:szCs w:val="21"/>
                <w:b w:val="1"/>
                <w:bCs w:val="1"/>
                <w:color w:val="F06A6A"/>
                <w:w w:val="87"/>
                <w:vertAlign w:val="superscript"/>
              </w:rPr>
              <w:t>(1)</w:t>
            </w:r>
          </w:p>
        </w:tc>
        <w:tc>
          <w:tcPr>
            <w:tcW w:w="22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23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87"/>
              </w:rPr>
              <w:t>($)</w:t>
            </w:r>
            <w:r>
              <w:rPr>
                <w:rFonts w:ascii="Arial" w:cs="Arial" w:eastAsia="Arial" w:hAnsi="Arial"/>
                <w:sz w:val="21"/>
                <w:szCs w:val="21"/>
                <w:b w:val="1"/>
                <w:bCs w:val="1"/>
                <w:color w:val="F06A6A"/>
                <w:w w:val="87"/>
                <w:vertAlign w:val="superscript"/>
              </w:rPr>
              <w:t>(2)</w:t>
            </w:r>
          </w:p>
        </w:tc>
      </w:tr>
      <w:tr>
        <w:trPr>
          <w:trHeight w:val="94"/>
        </w:trPr>
        <w:tc>
          <w:tcPr>
            <w:tcW w:w="2120" w:type="dxa"/>
            <w:vAlign w:val="bottom"/>
            <w:tcBorders>
              <w:bottom w:val="single" w:sz="8" w:color="A5A4A3"/>
            </w:tcBorders>
            <w:shd w:val="clear" w:color="auto" w:fill="EEEBEA"/>
          </w:tcPr>
          <w:p>
            <w:pPr>
              <w:spacing w:after="0"/>
              <w:rPr>
                <w:sz w:val="8"/>
                <w:szCs w:val="8"/>
                <w:color w:val="auto"/>
              </w:rPr>
            </w:pPr>
          </w:p>
        </w:tc>
        <w:tc>
          <w:tcPr>
            <w:tcW w:w="2300" w:type="dxa"/>
            <w:vAlign w:val="bottom"/>
            <w:tcBorders>
              <w:bottom w:val="single" w:sz="8" w:color="A5A4A3"/>
            </w:tcBorders>
            <w:shd w:val="clear" w:color="auto" w:fill="EEEBEA"/>
          </w:tcPr>
          <w:p>
            <w:pPr>
              <w:spacing w:after="0"/>
              <w:rPr>
                <w:sz w:val="8"/>
                <w:szCs w:val="8"/>
                <w:color w:val="auto"/>
              </w:rPr>
            </w:pPr>
          </w:p>
        </w:tc>
        <w:tc>
          <w:tcPr>
            <w:tcW w:w="2240" w:type="dxa"/>
            <w:vAlign w:val="bottom"/>
            <w:tcBorders>
              <w:bottom w:val="single" w:sz="8" w:color="A5A4A3"/>
            </w:tcBorders>
            <w:shd w:val="clear" w:color="auto" w:fill="EEEBEA"/>
          </w:tcPr>
          <w:p>
            <w:pPr>
              <w:spacing w:after="0"/>
              <w:rPr>
                <w:sz w:val="8"/>
                <w:szCs w:val="8"/>
                <w:color w:val="auto"/>
              </w:rPr>
            </w:pPr>
          </w:p>
        </w:tc>
        <w:tc>
          <w:tcPr>
            <w:tcW w:w="2280" w:type="dxa"/>
            <w:vAlign w:val="bottom"/>
            <w:tcBorders>
              <w:bottom w:val="single" w:sz="8" w:color="A5A4A3"/>
            </w:tcBorders>
            <w:shd w:val="clear" w:color="auto" w:fill="EEEBEA"/>
          </w:tcPr>
          <w:p>
            <w:pPr>
              <w:spacing w:after="0"/>
              <w:rPr>
                <w:sz w:val="8"/>
                <w:szCs w:val="8"/>
                <w:color w:val="auto"/>
              </w:rPr>
            </w:pPr>
          </w:p>
        </w:tc>
        <w:tc>
          <w:tcPr>
            <w:tcW w:w="2300" w:type="dxa"/>
            <w:vAlign w:val="bottom"/>
            <w:tcBorders>
              <w:bottom w:val="single" w:sz="8" w:color="A5A4A3"/>
            </w:tcBorders>
            <w:shd w:val="clear" w:color="auto" w:fill="EEEBEA"/>
          </w:tcPr>
          <w:p>
            <w:pPr>
              <w:spacing w:after="0"/>
              <w:rPr>
                <w:sz w:val="8"/>
                <w:szCs w:val="8"/>
                <w:color w:val="auto"/>
              </w:rPr>
            </w:pPr>
          </w:p>
        </w:tc>
      </w:tr>
      <w:tr>
        <w:trPr>
          <w:trHeight w:val="221"/>
        </w:trPr>
        <w:tc>
          <w:tcPr>
            <w:tcW w:w="212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2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224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228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2300" w:type="dxa"/>
            <w:vAlign w:val="bottom"/>
          </w:tcPr>
          <w:p>
            <w:pPr>
              <w:jc w:val="center"/>
              <w:spacing w:after="0"/>
              <w:rPr>
                <w:sz w:val="20"/>
                <w:szCs w:val="20"/>
                <w:color w:val="auto"/>
              </w:rPr>
            </w:pPr>
            <w:r>
              <w:rPr>
                <w:rFonts w:ascii="Arial" w:cs="Arial" w:eastAsia="Arial" w:hAnsi="Arial"/>
                <w:sz w:val="16"/>
                <w:szCs w:val="16"/>
                <w:color w:val="0D0E10"/>
                <w:w w:val="99"/>
              </w:rPr>
              <w:t>—</w:t>
            </w:r>
          </w:p>
        </w:tc>
      </w:tr>
      <w:tr>
        <w:trPr>
          <w:trHeight w:val="29"/>
        </w:trPr>
        <w:tc>
          <w:tcPr>
            <w:tcW w:w="2120" w:type="dxa"/>
            <w:vAlign w:val="bottom"/>
            <w:tcBorders>
              <w:bottom w:val="single" w:sz="8" w:color="A5A4A3"/>
            </w:tcBorders>
          </w:tcPr>
          <w:p>
            <w:pPr>
              <w:spacing w:after="0"/>
              <w:rPr>
                <w:sz w:val="2"/>
                <w:szCs w:val="2"/>
                <w:color w:val="auto"/>
              </w:rPr>
            </w:pPr>
          </w:p>
        </w:tc>
        <w:tc>
          <w:tcPr>
            <w:tcW w:w="2300" w:type="dxa"/>
            <w:vAlign w:val="bottom"/>
            <w:tcBorders>
              <w:bottom w:val="single" w:sz="8" w:color="A5A4A3"/>
            </w:tcBorders>
          </w:tcPr>
          <w:p>
            <w:pPr>
              <w:spacing w:after="0"/>
              <w:rPr>
                <w:sz w:val="2"/>
                <w:szCs w:val="2"/>
                <w:color w:val="auto"/>
              </w:rPr>
            </w:pPr>
          </w:p>
        </w:tc>
        <w:tc>
          <w:tcPr>
            <w:tcW w:w="2240" w:type="dxa"/>
            <w:vAlign w:val="bottom"/>
            <w:tcBorders>
              <w:bottom w:val="single" w:sz="8" w:color="A5A4A3"/>
            </w:tcBorders>
          </w:tcPr>
          <w:p>
            <w:pPr>
              <w:spacing w:after="0"/>
              <w:rPr>
                <w:sz w:val="2"/>
                <w:szCs w:val="2"/>
                <w:color w:val="auto"/>
              </w:rPr>
            </w:pPr>
          </w:p>
        </w:tc>
        <w:tc>
          <w:tcPr>
            <w:tcW w:w="2280" w:type="dxa"/>
            <w:vAlign w:val="bottom"/>
            <w:tcBorders>
              <w:bottom w:val="single" w:sz="8" w:color="A5A4A3"/>
            </w:tcBorders>
          </w:tcPr>
          <w:p>
            <w:pPr>
              <w:spacing w:after="0"/>
              <w:rPr>
                <w:sz w:val="2"/>
                <w:szCs w:val="2"/>
                <w:color w:val="auto"/>
              </w:rPr>
            </w:pPr>
          </w:p>
        </w:tc>
        <w:tc>
          <w:tcPr>
            <w:tcW w:w="2300" w:type="dxa"/>
            <w:vAlign w:val="bottom"/>
            <w:tcBorders>
              <w:bottom w:val="single" w:sz="8" w:color="A5A4A3"/>
            </w:tcBorders>
          </w:tcPr>
          <w:p>
            <w:pPr>
              <w:spacing w:after="0"/>
              <w:rPr>
                <w:sz w:val="2"/>
                <w:szCs w:val="2"/>
                <w:color w:val="auto"/>
              </w:rPr>
            </w:pPr>
          </w:p>
        </w:tc>
      </w:tr>
      <w:tr>
        <w:trPr>
          <w:trHeight w:val="250"/>
        </w:trPr>
        <w:tc>
          <w:tcPr>
            <w:tcW w:w="21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Tim Wan</w:t>
            </w:r>
          </w:p>
        </w:tc>
        <w:tc>
          <w:tcPr>
            <w:tcW w:w="2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105,000</w:t>
            </w:r>
          </w:p>
        </w:tc>
        <w:tc>
          <w:tcPr>
            <w:tcW w:w="2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2,110,152</w:t>
            </w:r>
          </w:p>
        </w:tc>
        <w:tc>
          <w:tcPr>
            <w:tcW w:w="22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135,241</w:t>
            </w:r>
          </w:p>
        </w:tc>
        <w:tc>
          <w:tcPr>
            <w:tcW w:w="2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2,817,480</w:t>
            </w:r>
            <w:r>
              <w:rPr>
                <w:rFonts w:ascii="Arial" w:cs="Arial" w:eastAsia="Arial" w:hAnsi="Arial"/>
                <w:sz w:val="21"/>
                <w:szCs w:val="21"/>
                <w:color w:val="0D0E10"/>
                <w:w w:val="95"/>
                <w:vertAlign w:val="superscript"/>
              </w:rPr>
              <w:t>(3)</w:t>
            </w:r>
          </w:p>
        </w:tc>
      </w:tr>
      <w:tr>
        <w:trPr>
          <w:trHeight w:val="250"/>
        </w:trPr>
        <w:tc>
          <w:tcPr>
            <w:tcW w:w="21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Eleanor Lacey</w:t>
            </w:r>
          </w:p>
        </w:tc>
        <w:tc>
          <w:tcPr>
            <w:tcW w:w="2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2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22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53,443</w:t>
            </w:r>
          </w:p>
        </w:tc>
        <w:tc>
          <w:tcPr>
            <w:tcW w:w="2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1,113,229</w:t>
            </w:r>
            <w:r>
              <w:rPr>
                <w:rFonts w:ascii="Arial" w:cs="Arial" w:eastAsia="Arial" w:hAnsi="Arial"/>
                <w:sz w:val="21"/>
                <w:szCs w:val="21"/>
                <w:color w:val="0D0E10"/>
                <w:w w:val="95"/>
                <w:vertAlign w:val="superscript"/>
              </w:rPr>
              <w:t>(4)</w:t>
            </w:r>
          </w:p>
        </w:tc>
      </w:tr>
      <w:tr>
        <w:trPr>
          <w:trHeight w:val="250"/>
        </w:trPr>
        <w:tc>
          <w:tcPr>
            <w:tcW w:w="212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Anne Raimondi</w:t>
            </w:r>
          </w:p>
        </w:tc>
        <w:tc>
          <w:tcPr>
            <w:tcW w:w="2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224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9"/>
              </w:rPr>
              <w:t>—</w:t>
            </w:r>
          </w:p>
        </w:tc>
        <w:tc>
          <w:tcPr>
            <w:tcW w:w="228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rPr>
              <w:t>136,761</w:t>
            </w:r>
          </w:p>
        </w:tc>
        <w:tc>
          <w:tcPr>
            <w:tcW w:w="23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2,853,366</w:t>
            </w:r>
            <w:r>
              <w:rPr>
                <w:rFonts w:ascii="Arial" w:cs="Arial" w:eastAsia="Arial" w:hAnsi="Arial"/>
                <w:sz w:val="21"/>
                <w:szCs w:val="21"/>
                <w:color w:val="0D0E10"/>
                <w:w w:val="95"/>
                <w:vertAlign w:val="superscript"/>
              </w:rPr>
              <w:t>(5)</w:t>
            </w:r>
          </w:p>
        </w:tc>
      </w:tr>
    </w:tbl>
    <w:p>
      <w:pPr>
        <w:spacing w:after="0" w:line="190" w:lineRule="exact"/>
        <w:rPr>
          <w:sz w:val="20"/>
          <w:szCs w:val="20"/>
          <w:color w:val="auto"/>
        </w:rPr>
      </w:pPr>
    </w:p>
    <w:p>
      <w:pPr>
        <w:ind w:left="340" w:right="60" w:hanging="332"/>
        <w:spacing w:after="0" w:line="314" w:lineRule="auto"/>
        <w:tabs>
          <w:tab w:leader="none" w:pos="343" w:val="left"/>
        </w:tabs>
        <w:numPr>
          <w:ilvl w:val="0"/>
          <w:numId w:val="49"/>
        </w:numPr>
        <w:rPr>
          <w:rFonts w:ascii="Arial" w:cs="Arial" w:eastAsia="Arial" w:hAnsi="Arial"/>
          <w:sz w:val="13"/>
          <w:szCs w:val="13"/>
          <w:color w:val="0D0E10"/>
        </w:rPr>
      </w:pPr>
      <w:r>
        <w:rPr>
          <w:rFonts w:ascii="Arial" w:cs="Arial" w:eastAsia="Arial" w:hAnsi="Arial"/>
          <w:sz w:val="13"/>
          <w:szCs w:val="13"/>
          <w:color w:val="0D0E10"/>
        </w:rPr>
        <w:t>Amounts below represent the aggregate value realized on exercise of option grants by our NEOs in fiscal year 2024. The value realized on each exercise is based on the difference between the closing price of our Class A common stock on the date of exercise and the applicable exercise price of those options, and does not represent actual amounts received by the NEOs as a result of the option exercises. Amounts are rounded to the nearest whole dollar.</w:t>
      </w:r>
    </w:p>
    <w:p>
      <w:pPr>
        <w:spacing w:after="0" w:line="20" w:lineRule="exact"/>
        <w:rPr>
          <w:rFonts w:ascii="Arial" w:cs="Arial" w:eastAsia="Arial" w:hAnsi="Arial"/>
          <w:sz w:val="13"/>
          <w:szCs w:val="13"/>
          <w:color w:val="0D0E10"/>
        </w:rPr>
      </w:pPr>
    </w:p>
    <w:p>
      <w:pPr>
        <w:ind w:left="340" w:right="120" w:hanging="332"/>
        <w:spacing w:after="0" w:line="303" w:lineRule="auto"/>
        <w:tabs>
          <w:tab w:leader="none" w:pos="343" w:val="left"/>
        </w:tabs>
        <w:numPr>
          <w:ilvl w:val="0"/>
          <w:numId w:val="49"/>
        </w:numPr>
        <w:rPr>
          <w:rFonts w:ascii="Arial" w:cs="Arial" w:eastAsia="Arial" w:hAnsi="Arial"/>
          <w:sz w:val="13"/>
          <w:szCs w:val="13"/>
          <w:color w:val="0D0E10"/>
        </w:rPr>
      </w:pPr>
      <w:r>
        <w:rPr>
          <w:rFonts w:ascii="Arial" w:cs="Arial" w:eastAsia="Arial" w:hAnsi="Arial"/>
          <w:sz w:val="13"/>
          <w:szCs w:val="13"/>
          <w:color w:val="0D0E10"/>
        </w:rPr>
        <w:t>Amounts below were calculated by: (a) multiplying the number of shares acquired on a given vesting date by either (i) the closing price of our Class A common stock on such vesting date or (ii) for vesting dates after August 22, 2023, the closing price of our Class A common stock on the day immediately prior to such vesting date (consistent with our RSU tax withholding policy, as adopted August 22, 2023), and (b) aggregating the value realized upon vesting for all shares or shares underlying RSUs that vested during fiscal year 2024.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spacing w:after="0" w:line="14" w:lineRule="exact"/>
        <w:rPr>
          <w:rFonts w:ascii="Arial" w:cs="Arial" w:eastAsia="Arial" w:hAnsi="Arial"/>
          <w:sz w:val="13"/>
          <w:szCs w:val="13"/>
          <w:color w:val="0D0E10"/>
        </w:rPr>
      </w:pPr>
    </w:p>
    <w:p>
      <w:pPr>
        <w:ind w:left="340" w:right="40" w:hanging="332"/>
        <w:spacing w:after="0" w:line="319" w:lineRule="auto"/>
        <w:tabs>
          <w:tab w:leader="none" w:pos="343" w:val="left"/>
        </w:tabs>
        <w:numPr>
          <w:ilvl w:val="0"/>
          <w:numId w:val="49"/>
        </w:numPr>
        <w:rPr>
          <w:rFonts w:ascii="Arial" w:cs="Arial" w:eastAsia="Arial" w:hAnsi="Arial"/>
          <w:sz w:val="13"/>
          <w:szCs w:val="13"/>
          <w:color w:val="0D0E10"/>
        </w:rPr>
      </w:pPr>
      <w:r>
        <w:rPr>
          <w:rFonts w:ascii="Arial" w:cs="Arial" w:eastAsia="Arial" w:hAnsi="Arial"/>
          <w:sz w:val="13"/>
          <w:szCs w:val="13"/>
          <w:color w:val="0D0E10"/>
        </w:rPr>
        <w:t>Represents vesting of (a) 98,084 shares underlying RSUs, which are currently subject to a holding period and will not be issued or delivered to Mr. Wan (and are, therefore, not available for sale by Mr. Wan) until the earlier to occur of (i) the second anniversary of the applicable vesting date or (ii) a “change in control event” within the meaning of Section 409A of the Code and (b) 37,157 shares underlying RSUs that are not subject to a holding period. The aggregate value of such shares, calculated in accordance with footnote 2 above, is $2,817,480.</w:t>
      </w:r>
    </w:p>
    <w:p>
      <w:pPr>
        <w:spacing w:after="0" w:line="186" w:lineRule="exact"/>
        <w:rPr>
          <w:rFonts w:ascii="Arial" w:cs="Arial" w:eastAsia="Arial" w:hAnsi="Arial"/>
          <w:sz w:val="13"/>
          <w:szCs w:val="13"/>
          <w:color w:val="0D0E10"/>
        </w:rPr>
      </w:pPr>
    </w:p>
    <w:p>
      <w:pPr>
        <w:ind w:left="340" w:right="260" w:hanging="332"/>
        <w:spacing w:after="0" w:line="310" w:lineRule="auto"/>
        <w:tabs>
          <w:tab w:leader="none" w:pos="343" w:val="left"/>
        </w:tabs>
        <w:numPr>
          <w:ilvl w:val="0"/>
          <w:numId w:val="49"/>
        </w:numPr>
        <w:rPr>
          <w:rFonts w:ascii="Arial" w:cs="Arial" w:eastAsia="Arial" w:hAnsi="Arial"/>
          <w:sz w:val="13"/>
          <w:szCs w:val="13"/>
          <w:color w:val="0D0E10"/>
        </w:rPr>
      </w:pPr>
      <w:r>
        <w:rPr>
          <w:rFonts w:ascii="Arial" w:cs="Arial" w:eastAsia="Arial" w:hAnsi="Arial"/>
          <w:sz w:val="13"/>
          <w:szCs w:val="13"/>
          <w:color w:val="0D0E10"/>
        </w:rPr>
        <w:t>Represents vesting of (a) 38,199 shares underlying RSUs, which are currently subject to a holding period and will not be issued or delivered to Ms. Lacey (and are, therefore, not available for sale by Ms. Lacey) until the earlier to occur of (i) the second anniversary of the applicable vesting date or (ii) a “change in control event” within the meaning of Section 409A of the Code and (b) 15,244 shares underlying RSUs that are not subject to a holding period. The aggregate value of such shares, calculated in accordance with footnote 2 above, is $1,113,229.</w:t>
      </w:r>
    </w:p>
    <w:p>
      <w:pPr>
        <w:spacing w:after="0" w:line="10" w:lineRule="exact"/>
        <w:rPr>
          <w:rFonts w:ascii="Arial" w:cs="Arial" w:eastAsia="Arial" w:hAnsi="Arial"/>
          <w:sz w:val="13"/>
          <w:szCs w:val="13"/>
          <w:color w:val="0D0E10"/>
        </w:rPr>
      </w:pPr>
    </w:p>
    <w:p>
      <w:pPr>
        <w:ind w:left="340" w:right="60" w:hanging="332"/>
        <w:spacing w:after="0" w:line="303" w:lineRule="auto"/>
        <w:tabs>
          <w:tab w:leader="none" w:pos="343" w:val="left"/>
        </w:tabs>
        <w:numPr>
          <w:ilvl w:val="0"/>
          <w:numId w:val="49"/>
        </w:numPr>
        <w:rPr>
          <w:rFonts w:ascii="Arial" w:cs="Arial" w:eastAsia="Arial" w:hAnsi="Arial"/>
          <w:sz w:val="13"/>
          <w:szCs w:val="13"/>
          <w:color w:val="0D0E10"/>
        </w:rPr>
      </w:pPr>
      <w:r>
        <w:rPr>
          <w:rFonts w:ascii="Arial" w:cs="Arial" w:eastAsia="Arial" w:hAnsi="Arial"/>
          <w:sz w:val="13"/>
          <w:szCs w:val="13"/>
          <w:color w:val="0D0E10"/>
        </w:rPr>
        <w:t>Represents vesting of (a) 83,187 shares of our Class A common stock underlying RSUs, which are currently subject to a holding period and will not be issued or delivered to Ms. Raimondi (and are, therefore, not available for sale by Ms. Raimondi) until the earlier to occur of (i) the first anniversary of the applicable vesting date or (ii) a “change in control event” within the meaning of Section 409A of the Code, (b) 16,417 shares underlying RSUs, which are currently subject to a holding period and will not be issued or delivered to Ms. Raimondi (and are, therefore, not available for sale by Ms. Raimondi) until the earlier to occur of (i) the second anniversary of the applicable vesting date or (ii) a “change in control event” within the meaning of Section 409A of the Code, and (c) 37,157 shares underlying RSUs that are not subject to a holding period. The aggregate value of such shares, calculated in accordance with footnote 2 above, is $2,853,366.</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55</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0" w:name="page61"/>
    <w:bookmarkEnd w:id="60"/>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Nonqualified Deferred Compensation Table for Fiscal Year 2024</w:t>
      </w:r>
    </w:p>
    <w:p>
      <w:pPr>
        <w:spacing w:after="0" w:line="195"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0D0E10"/>
        </w:rPr>
        <w:t>While we do not maintain a traditional nonqualified deferred compensation plan for our named executive officers, certain RSU awards granted prior to May 24, 2023 represent nonqualified deferred compensation because they are subject to either a one-year or two-year mandatory holding period (as applicable) following each vesting date and the underlying shares will not be issued or delivered to the named executive officers until the earlier to occur of (1) the first or second anniversary (as applicable) of the applicable vesting date or (2) a “change in control event” within the meaning of Section 409A of the Code. The following table provides information regarding the nonqualified deferred compensation of our named executive officers during the fiscal year ended January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shd w:val="clear" w:color="auto" w:fill="EEEBEA"/>
          </w:tcPr>
          <w:p>
            <w:pPr>
              <w:spacing w:after="0"/>
              <w:rPr>
                <w:sz w:val="18"/>
                <w:szCs w:val="18"/>
                <w:color w:val="auto"/>
              </w:rPr>
            </w:pPr>
          </w:p>
        </w:tc>
        <w:tc>
          <w:tcPr>
            <w:tcW w:w="1580" w:type="dxa"/>
            <w:vAlign w:val="bottom"/>
            <w:shd w:val="clear" w:color="auto" w:fill="EEEBEA"/>
          </w:tcPr>
          <w:p>
            <w:pPr>
              <w:spacing w:after="0"/>
              <w:rPr>
                <w:sz w:val="18"/>
                <w:szCs w:val="18"/>
                <w:color w:val="auto"/>
              </w:rPr>
            </w:pP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Company</w:t>
            </w:r>
          </w:p>
        </w:tc>
        <w:tc>
          <w:tcPr>
            <w:tcW w:w="15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Aggregate</w:t>
            </w:r>
          </w:p>
        </w:tc>
        <w:tc>
          <w:tcPr>
            <w:tcW w:w="2160" w:type="dxa"/>
            <w:vAlign w:val="bottom"/>
            <w:shd w:val="clear" w:color="auto" w:fill="EEEBEA"/>
          </w:tcPr>
          <w:p>
            <w:pPr>
              <w:spacing w:after="0"/>
              <w:rPr>
                <w:sz w:val="18"/>
                <w:szCs w:val="18"/>
                <w:color w:val="auto"/>
              </w:rPr>
            </w:pPr>
          </w:p>
        </w:tc>
        <w:tc>
          <w:tcPr>
            <w:tcW w:w="1500" w:type="dxa"/>
            <w:vAlign w:val="bottom"/>
            <w:shd w:val="clear" w:color="auto" w:fill="EEEBEA"/>
          </w:tcPr>
          <w:p>
            <w:pPr>
              <w:jc w:val="center"/>
              <w:ind w:right="19"/>
              <w:spacing w:after="0"/>
              <w:rPr>
                <w:sz w:val="20"/>
                <w:szCs w:val="20"/>
                <w:color w:val="auto"/>
              </w:rPr>
            </w:pPr>
            <w:r>
              <w:rPr>
                <w:rFonts w:ascii="Arial" w:cs="Arial" w:eastAsia="Arial" w:hAnsi="Arial"/>
                <w:sz w:val="16"/>
                <w:szCs w:val="16"/>
                <w:b w:val="1"/>
                <w:bCs w:val="1"/>
                <w:color w:val="F06A6A"/>
              </w:rPr>
              <w:t>Aggregate</w:t>
            </w:r>
          </w:p>
        </w:tc>
        <w:tc>
          <w:tcPr>
            <w:tcW w:w="0" w:type="dxa"/>
            <w:vAlign w:val="bottom"/>
          </w:tcPr>
          <w:p>
            <w:pPr>
              <w:spacing w:after="0"/>
              <w:rPr>
                <w:sz w:val="1"/>
                <w:szCs w:val="1"/>
                <w:color w:val="auto"/>
              </w:rPr>
            </w:pPr>
          </w:p>
        </w:tc>
      </w:tr>
      <w:tr>
        <w:trPr>
          <w:trHeight w:val="203"/>
        </w:trPr>
        <w:tc>
          <w:tcPr>
            <w:tcW w:w="2920" w:type="dxa"/>
            <w:vAlign w:val="bottom"/>
            <w:shd w:val="clear" w:color="auto" w:fill="EEEBEA"/>
          </w:tcPr>
          <w:p>
            <w:pPr>
              <w:spacing w:after="0"/>
              <w:rPr>
                <w:sz w:val="17"/>
                <w:szCs w:val="17"/>
                <w:color w:val="auto"/>
              </w:rPr>
            </w:pPr>
          </w:p>
        </w:tc>
        <w:tc>
          <w:tcPr>
            <w:tcW w:w="1580" w:type="dxa"/>
            <w:vAlign w:val="bottom"/>
            <w:shd w:val="clear" w:color="auto" w:fill="EEEBEA"/>
          </w:tcPr>
          <w:p>
            <w:pPr>
              <w:ind w:left="160"/>
              <w:spacing w:after="0"/>
              <w:rPr>
                <w:sz w:val="20"/>
                <w:szCs w:val="20"/>
                <w:color w:val="auto"/>
              </w:rPr>
            </w:pPr>
            <w:r>
              <w:rPr>
                <w:rFonts w:ascii="Arial" w:cs="Arial" w:eastAsia="Arial" w:hAnsi="Arial"/>
                <w:sz w:val="16"/>
                <w:szCs w:val="16"/>
                <w:b w:val="1"/>
                <w:bCs w:val="1"/>
                <w:color w:val="F06A6A"/>
              </w:rPr>
              <w:t>Contributions in</w:t>
            </w: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Contributions in</w:t>
            </w:r>
          </w:p>
        </w:tc>
        <w:tc>
          <w:tcPr>
            <w:tcW w:w="15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Earnings in Last</w:t>
            </w:r>
          </w:p>
        </w:tc>
        <w:tc>
          <w:tcPr>
            <w:tcW w:w="216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Aggregate</w:t>
            </w:r>
          </w:p>
        </w:tc>
        <w:tc>
          <w:tcPr>
            <w:tcW w:w="1500" w:type="dxa"/>
            <w:vAlign w:val="bottom"/>
            <w:shd w:val="clear" w:color="auto" w:fill="EEEBEA"/>
          </w:tcPr>
          <w:p>
            <w:pPr>
              <w:ind w:left="120"/>
              <w:spacing w:after="0"/>
              <w:rPr>
                <w:sz w:val="20"/>
                <w:szCs w:val="20"/>
                <w:color w:val="auto"/>
              </w:rPr>
            </w:pPr>
            <w:r>
              <w:rPr>
                <w:rFonts w:ascii="Arial" w:cs="Arial" w:eastAsia="Arial" w:hAnsi="Arial"/>
                <w:sz w:val="16"/>
                <w:szCs w:val="16"/>
                <w:b w:val="1"/>
                <w:bCs w:val="1"/>
                <w:color w:val="F06A6A"/>
              </w:rPr>
              <w:t>Balance at Last</w:t>
            </w:r>
          </w:p>
        </w:tc>
        <w:tc>
          <w:tcPr>
            <w:tcW w:w="0" w:type="dxa"/>
            <w:vAlign w:val="bottom"/>
          </w:tcPr>
          <w:p>
            <w:pPr>
              <w:spacing w:after="0"/>
              <w:rPr>
                <w:sz w:val="1"/>
                <w:szCs w:val="1"/>
                <w:color w:val="auto"/>
              </w:rPr>
            </w:pPr>
          </w:p>
        </w:tc>
      </w:tr>
      <w:tr>
        <w:trPr>
          <w:trHeight w:val="216"/>
        </w:trPr>
        <w:tc>
          <w:tcPr>
            <w:tcW w:w="2920" w:type="dxa"/>
            <w:vAlign w:val="bottom"/>
            <w:shd w:val="clear" w:color="auto" w:fill="EEEBEA"/>
          </w:tcPr>
          <w:p>
            <w:pPr>
              <w:spacing w:after="0"/>
              <w:rPr>
                <w:sz w:val="18"/>
                <w:szCs w:val="18"/>
                <w:color w:val="auto"/>
              </w:rPr>
            </w:pPr>
          </w:p>
        </w:tc>
        <w:tc>
          <w:tcPr>
            <w:tcW w:w="1580" w:type="dxa"/>
            <w:vAlign w:val="bottom"/>
            <w:shd w:val="clear" w:color="auto" w:fill="EEEBEA"/>
          </w:tcPr>
          <w:p>
            <w:pPr>
              <w:ind w:left="180"/>
              <w:spacing w:after="0"/>
              <w:rPr>
                <w:sz w:val="20"/>
                <w:szCs w:val="20"/>
                <w:color w:val="auto"/>
              </w:rPr>
            </w:pPr>
            <w:r>
              <w:rPr>
                <w:rFonts w:ascii="Arial" w:cs="Arial" w:eastAsia="Arial" w:hAnsi="Arial"/>
                <w:sz w:val="16"/>
                <w:szCs w:val="16"/>
                <w:b w:val="1"/>
                <w:bCs w:val="1"/>
                <w:color w:val="F06A6A"/>
              </w:rPr>
              <w:t>Last Fiscal Year</w:t>
            </w: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Last Fiscal Year</w:t>
            </w:r>
          </w:p>
        </w:tc>
        <w:tc>
          <w:tcPr>
            <w:tcW w:w="15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Fiscal Year</w:t>
            </w:r>
          </w:p>
        </w:tc>
        <w:tc>
          <w:tcPr>
            <w:tcW w:w="216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Withdrawals/Distributions</w:t>
            </w:r>
          </w:p>
        </w:tc>
        <w:tc>
          <w:tcPr>
            <w:tcW w:w="1500" w:type="dxa"/>
            <w:vAlign w:val="bottom"/>
            <w:shd w:val="clear" w:color="auto" w:fill="EEEBEA"/>
          </w:tcPr>
          <w:p>
            <w:pPr>
              <w:jc w:val="center"/>
              <w:ind w:right="19"/>
              <w:spacing w:after="0"/>
              <w:rPr>
                <w:sz w:val="20"/>
                <w:szCs w:val="20"/>
                <w:color w:val="auto"/>
              </w:rPr>
            </w:pPr>
            <w:r>
              <w:rPr>
                <w:rFonts w:ascii="Arial" w:cs="Arial" w:eastAsia="Arial" w:hAnsi="Arial"/>
                <w:sz w:val="16"/>
                <w:szCs w:val="16"/>
                <w:b w:val="1"/>
                <w:bCs w:val="1"/>
                <w:color w:val="F06A6A"/>
              </w:rPr>
              <w:t>Fiscal Year End</w:t>
            </w:r>
          </w:p>
        </w:tc>
        <w:tc>
          <w:tcPr>
            <w:tcW w:w="0" w:type="dxa"/>
            <w:vAlign w:val="bottom"/>
          </w:tcPr>
          <w:p>
            <w:pPr>
              <w:spacing w:after="0"/>
              <w:rPr>
                <w:sz w:val="1"/>
                <w:szCs w:val="1"/>
                <w:color w:val="auto"/>
              </w:rPr>
            </w:pPr>
          </w:p>
        </w:tc>
      </w:tr>
      <w:tr>
        <w:trPr>
          <w:trHeight w:val="257"/>
        </w:trPr>
        <w:tc>
          <w:tcPr>
            <w:tcW w:w="292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w:t>
            </w: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87"/>
              </w:rPr>
              <w:t>($)</w:t>
            </w:r>
            <w:r>
              <w:rPr>
                <w:rFonts w:ascii="Arial" w:cs="Arial" w:eastAsia="Arial" w:hAnsi="Arial"/>
                <w:sz w:val="21"/>
                <w:szCs w:val="21"/>
                <w:b w:val="1"/>
                <w:bCs w:val="1"/>
                <w:color w:val="F06A6A"/>
                <w:w w:val="87"/>
                <w:vertAlign w:val="superscript"/>
              </w:rPr>
              <w:t>(1)</w:t>
            </w:r>
          </w:p>
        </w:tc>
        <w:tc>
          <w:tcPr>
            <w:tcW w:w="158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15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87"/>
              </w:rPr>
              <w:t>($)</w:t>
            </w:r>
            <w:r>
              <w:rPr>
                <w:rFonts w:ascii="Arial" w:cs="Arial" w:eastAsia="Arial" w:hAnsi="Arial"/>
                <w:sz w:val="21"/>
                <w:szCs w:val="21"/>
                <w:b w:val="1"/>
                <w:bCs w:val="1"/>
                <w:color w:val="F06A6A"/>
                <w:w w:val="87"/>
                <w:vertAlign w:val="superscript"/>
              </w:rPr>
              <w:t>(2)</w:t>
            </w:r>
          </w:p>
        </w:tc>
        <w:tc>
          <w:tcPr>
            <w:tcW w:w="216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15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0" w:type="dxa"/>
            <w:vAlign w:val="bottom"/>
          </w:tcPr>
          <w:p>
            <w:pPr>
              <w:spacing w:after="0"/>
              <w:rPr>
                <w:sz w:val="1"/>
                <w:szCs w:val="1"/>
                <w:color w:val="auto"/>
              </w:rPr>
            </w:pPr>
          </w:p>
        </w:tc>
      </w:tr>
      <w:tr>
        <w:trPr>
          <w:trHeight w:val="95"/>
        </w:trPr>
        <w:tc>
          <w:tcPr>
            <w:tcW w:w="2920" w:type="dxa"/>
            <w:vAlign w:val="bottom"/>
            <w:tcBorders>
              <w:bottom w:val="single" w:sz="8" w:color="A5A4A3"/>
            </w:tcBorders>
            <w:shd w:val="clear" w:color="auto" w:fill="EEEBEA"/>
          </w:tcPr>
          <w:p>
            <w:pPr>
              <w:spacing w:after="0"/>
              <w:rPr>
                <w:sz w:val="8"/>
                <w:szCs w:val="8"/>
                <w:color w:val="auto"/>
              </w:rPr>
            </w:pPr>
          </w:p>
        </w:tc>
        <w:tc>
          <w:tcPr>
            <w:tcW w:w="1580" w:type="dxa"/>
            <w:vAlign w:val="bottom"/>
            <w:tcBorders>
              <w:bottom w:val="single" w:sz="8" w:color="A5A4A3"/>
            </w:tcBorders>
            <w:shd w:val="clear" w:color="auto" w:fill="EEEBEA"/>
          </w:tcPr>
          <w:p>
            <w:pPr>
              <w:spacing w:after="0"/>
              <w:rPr>
                <w:sz w:val="8"/>
                <w:szCs w:val="8"/>
                <w:color w:val="auto"/>
              </w:rPr>
            </w:pPr>
          </w:p>
        </w:tc>
        <w:tc>
          <w:tcPr>
            <w:tcW w:w="1580" w:type="dxa"/>
            <w:vAlign w:val="bottom"/>
            <w:tcBorders>
              <w:bottom w:val="single" w:sz="8" w:color="A5A4A3"/>
            </w:tcBorders>
            <w:shd w:val="clear" w:color="auto" w:fill="EEEBEA"/>
          </w:tcPr>
          <w:p>
            <w:pPr>
              <w:spacing w:after="0"/>
              <w:rPr>
                <w:sz w:val="8"/>
                <w:szCs w:val="8"/>
                <w:color w:val="auto"/>
              </w:rPr>
            </w:pPr>
          </w:p>
        </w:tc>
        <w:tc>
          <w:tcPr>
            <w:tcW w:w="1500" w:type="dxa"/>
            <w:vAlign w:val="bottom"/>
            <w:tcBorders>
              <w:bottom w:val="single" w:sz="8" w:color="A5A4A3"/>
            </w:tcBorders>
            <w:shd w:val="clear" w:color="auto" w:fill="EEEBEA"/>
          </w:tcPr>
          <w:p>
            <w:pPr>
              <w:spacing w:after="0"/>
              <w:rPr>
                <w:sz w:val="8"/>
                <w:szCs w:val="8"/>
                <w:color w:val="auto"/>
              </w:rPr>
            </w:pPr>
          </w:p>
        </w:tc>
        <w:tc>
          <w:tcPr>
            <w:tcW w:w="2160" w:type="dxa"/>
            <w:vAlign w:val="bottom"/>
            <w:tcBorders>
              <w:bottom w:val="single" w:sz="8" w:color="A5A4A3"/>
            </w:tcBorders>
            <w:shd w:val="clear" w:color="auto" w:fill="EEEBEA"/>
          </w:tcPr>
          <w:p>
            <w:pPr>
              <w:spacing w:after="0"/>
              <w:rPr>
                <w:sz w:val="8"/>
                <w:szCs w:val="8"/>
                <w:color w:val="auto"/>
              </w:rPr>
            </w:pPr>
          </w:p>
        </w:tc>
        <w:tc>
          <w:tcPr>
            <w:tcW w:w="1500" w:type="dxa"/>
            <w:vAlign w:val="bottom"/>
            <w:tcBorders>
              <w:bottom w:val="single" w:sz="8" w:color="A5A4A3"/>
            </w:tcBorders>
            <w:shd w:val="clear" w:color="auto" w:fill="EEEBEA"/>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00"/>
              <w:spacing w:after="0"/>
              <w:rPr>
                <w:sz w:val="20"/>
                <w:szCs w:val="20"/>
                <w:color w:val="auto"/>
              </w:rPr>
            </w:pPr>
            <w:r>
              <w:rPr>
                <w:rFonts w:ascii="Arial" w:cs="Arial" w:eastAsia="Arial" w:hAnsi="Arial"/>
                <w:sz w:val="16"/>
                <w:szCs w:val="16"/>
                <w:color w:val="0D0E10"/>
              </w:rPr>
              <w:t>Dustin Moskovitz</w:t>
            </w:r>
          </w:p>
        </w:tc>
        <w:tc>
          <w:tcPr>
            <w:tcW w:w="158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158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216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vMerge w:val="restart"/>
          </w:tcPr>
          <w:p>
            <w:pPr>
              <w:jc w:val="center"/>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1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920" w:type="dxa"/>
            <w:vAlign w:val="bottom"/>
            <w:tcBorders>
              <w:bottom w:val="single" w:sz="8" w:color="A5A4A3"/>
            </w:tcBorders>
          </w:tcPr>
          <w:p>
            <w:pPr>
              <w:spacing w:after="0"/>
              <w:rPr>
                <w:sz w:val="10"/>
                <w:szCs w:val="10"/>
                <w:color w:val="auto"/>
              </w:rPr>
            </w:pPr>
          </w:p>
        </w:tc>
        <w:tc>
          <w:tcPr>
            <w:tcW w:w="1580" w:type="dxa"/>
            <w:vAlign w:val="bottom"/>
            <w:tcBorders>
              <w:bottom w:val="single" w:sz="8" w:color="A5A4A3"/>
            </w:tcBorders>
          </w:tcPr>
          <w:p>
            <w:pPr>
              <w:spacing w:after="0"/>
              <w:rPr>
                <w:sz w:val="10"/>
                <w:szCs w:val="10"/>
                <w:color w:val="auto"/>
              </w:rPr>
            </w:pPr>
          </w:p>
        </w:tc>
        <w:tc>
          <w:tcPr>
            <w:tcW w:w="1580" w:type="dxa"/>
            <w:vAlign w:val="bottom"/>
            <w:tcBorders>
              <w:bottom w:val="single" w:sz="8" w:color="A5A4A3"/>
            </w:tcBorders>
          </w:tcPr>
          <w:p>
            <w:pPr>
              <w:spacing w:after="0"/>
              <w:rPr>
                <w:sz w:val="10"/>
                <w:szCs w:val="10"/>
                <w:color w:val="auto"/>
              </w:rPr>
            </w:pPr>
          </w:p>
        </w:tc>
        <w:tc>
          <w:tcPr>
            <w:tcW w:w="1500" w:type="dxa"/>
            <w:vAlign w:val="bottom"/>
            <w:tcBorders>
              <w:bottom w:val="single" w:sz="8" w:color="A5A4A3"/>
            </w:tcBorders>
          </w:tcPr>
          <w:p>
            <w:pPr>
              <w:spacing w:after="0"/>
              <w:rPr>
                <w:sz w:val="10"/>
                <w:szCs w:val="10"/>
                <w:color w:val="auto"/>
              </w:rPr>
            </w:pPr>
          </w:p>
        </w:tc>
        <w:tc>
          <w:tcPr>
            <w:tcW w:w="2160" w:type="dxa"/>
            <w:vAlign w:val="bottom"/>
            <w:tcBorders>
              <w:bottom w:val="single" w:sz="8" w:color="A5A4A3"/>
            </w:tcBorders>
          </w:tcPr>
          <w:p>
            <w:pPr>
              <w:spacing w:after="0"/>
              <w:rPr>
                <w:sz w:val="10"/>
                <w:szCs w:val="10"/>
                <w:color w:val="auto"/>
              </w:rPr>
            </w:pPr>
          </w:p>
        </w:tc>
        <w:tc>
          <w:tcPr>
            <w:tcW w:w="1500" w:type="dxa"/>
            <w:vAlign w:val="bottom"/>
            <w:tcBorders>
              <w:bottom w:val="single" w:sz="8" w:color="A5A4A3"/>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00"/>
              <w:spacing w:after="0"/>
              <w:rPr>
                <w:sz w:val="20"/>
                <w:szCs w:val="20"/>
                <w:color w:val="auto"/>
              </w:rPr>
            </w:pPr>
            <w:r>
              <w:rPr>
                <w:rFonts w:ascii="Arial" w:cs="Arial" w:eastAsia="Arial" w:hAnsi="Arial"/>
                <w:sz w:val="16"/>
                <w:szCs w:val="16"/>
                <w:color w:val="0D0E10"/>
              </w:rPr>
              <w:t>Tim Wan</w:t>
            </w:r>
          </w:p>
        </w:tc>
        <w:tc>
          <w:tcPr>
            <w:tcW w:w="1580" w:type="dxa"/>
            <w:vAlign w:val="bottom"/>
          </w:tcPr>
          <w:p>
            <w:pPr>
              <w:jc w:val="center"/>
              <w:spacing w:after="0"/>
              <w:rPr>
                <w:sz w:val="20"/>
                <w:szCs w:val="20"/>
                <w:color w:val="auto"/>
              </w:rPr>
            </w:pPr>
            <w:r>
              <w:rPr>
                <w:rFonts w:ascii="Arial" w:cs="Arial" w:eastAsia="Arial" w:hAnsi="Arial"/>
                <w:sz w:val="16"/>
                <w:szCs w:val="16"/>
                <w:color w:val="0D0E10"/>
              </w:rPr>
              <w:t>2,050,687</w:t>
            </w:r>
          </w:p>
        </w:tc>
        <w:tc>
          <w:tcPr>
            <w:tcW w:w="158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0D0E10"/>
                <w:w w:val="99"/>
              </w:rPr>
              <w:t>(342,063)</w:t>
            </w:r>
          </w:p>
        </w:tc>
        <w:tc>
          <w:tcPr>
            <w:tcW w:w="216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0D0E10"/>
              </w:rPr>
              <w:t>1,708,624</w:t>
            </w:r>
          </w:p>
        </w:tc>
        <w:tc>
          <w:tcPr>
            <w:tcW w:w="0" w:type="dxa"/>
            <w:vAlign w:val="bottom"/>
          </w:tcPr>
          <w:p>
            <w:pPr>
              <w:spacing w:after="0"/>
              <w:rPr>
                <w:sz w:val="1"/>
                <w:szCs w:val="1"/>
                <w:color w:val="auto"/>
              </w:rPr>
            </w:pPr>
          </w:p>
        </w:tc>
      </w:tr>
      <w:tr>
        <w:trPr>
          <w:trHeight w:val="43"/>
        </w:trPr>
        <w:tc>
          <w:tcPr>
            <w:tcW w:w="2920" w:type="dxa"/>
            <w:vAlign w:val="bottom"/>
            <w:tcBorders>
              <w:bottom w:val="single" w:sz="8" w:color="A5A4A3"/>
            </w:tcBorders>
          </w:tcPr>
          <w:p>
            <w:pPr>
              <w:spacing w:after="0"/>
              <w:rPr>
                <w:sz w:val="3"/>
                <w:szCs w:val="3"/>
                <w:color w:val="auto"/>
              </w:rPr>
            </w:pPr>
          </w:p>
        </w:tc>
        <w:tc>
          <w:tcPr>
            <w:tcW w:w="1580" w:type="dxa"/>
            <w:vAlign w:val="bottom"/>
            <w:tcBorders>
              <w:bottom w:val="single" w:sz="8" w:color="A5A4A3"/>
            </w:tcBorders>
          </w:tcPr>
          <w:p>
            <w:pPr>
              <w:spacing w:after="0"/>
              <w:rPr>
                <w:sz w:val="3"/>
                <w:szCs w:val="3"/>
                <w:color w:val="auto"/>
              </w:rPr>
            </w:pPr>
          </w:p>
        </w:tc>
        <w:tc>
          <w:tcPr>
            <w:tcW w:w="1580" w:type="dxa"/>
            <w:vAlign w:val="bottom"/>
            <w:tcBorders>
              <w:bottom w:val="single" w:sz="8" w:color="A5A4A3"/>
            </w:tcBorders>
          </w:tcPr>
          <w:p>
            <w:pPr>
              <w:spacing w:after="0"/>
              <w:rPr>
                <w:sz w:val="3"/>
                <w:szCs w:val="3"/>
                <w:color w:val="auto"/>
              </w:rPr>
            </w:pPr>
          </w:p>
        </w:tc>
        <w:tc>
          <w:tcPr>
            <w:tcW w:w="1500" w:type="dxa"/>
            <w:vAlign w:val="bottom"/>
            <w:tcBorders>
              <w:bottom w:val="single" w:sz="8" w:color="A5A4A3"/>
            </w:tcBorders>
          </w:tcPr>
          <w:p>
            <w:pPr>
              <w:spacing w:after="0"/>
              <w:rPr>
                <w:sz w:val="3"/>
                <w:szCs w:val="3"/>
                <w:color w:val="auto"/>
              </w:rPr>
            </w:pPr>
          </w:p>
        </w:tc>
        <w:tc>
          <w:tcPr>
            <w:tcW w:w="2160" w:type="dxa"/>
            <w:vAlign w:val="bottom"/>
            <w:tcBorders>
              <w:bottom w:val="single" w:sz="8" w:color="A5A4A3"/>
            </w:tcBorders>
          </w:tcPr>
          <w:p>
            <w:pPr>
              <w:spacing w:after="0"/>
              <w:rPr>
                <w:sz w:val="3"/>
                <w:szCs w:val="3"/>
                <w:color w:val="auto"/>
              </w:rPr>
            </w:pPr>
          </w:p>
        </w:tc>
        <w:tc>
          <w:tcPr>
            <w:tcW w:w="1500" w:type="dxa"/>
            <w:vAlign w:val="bottom"/>
            <w:tcBorders>
              <w:bottom w:val="single" w:sz="8" w:color="A5A4A3"/>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00"/>
              <w:spacing w:after="0"/>
              <w:rPr>
                <w:sz w:val="20"/>
                <w:szCs w:val="20"/>
                <w:color w:val="auto"/>
              </w:rPr>
            </w:pPr>
            <w:r>
              <w:rPr>
                <w:rFonts w:ascii="Arial" w:cs="Arial" w:eastAsia="Arial" w:hAnsi="Arial"/>
                <w:sz w:val="16"/>
                <w:szCs w:val="16"/>
                <w:color w:val="0D0E10"/>
              </w:rPr>
              <w:t>Eleanor Lacey</w:t>
            </w:r>
          </w:p>
        </w:tc>
        <w:tc>
          <w:tcPr>
            <w:tcW w:w="1580" w:type="dxa"/>
            <w:vAlign w:val="bottom"/>
          </w:tcPr>
          <w:p>
            <w:pPr>
              <w:jc w:val="center"/>
              <w:spacing w:after="0"/>
              <w:rPr>
                <w:sz w:val="20"/>
                <w:szCs w:val="20"/>
                <w:color w:val="auto"/>
              </w:rPr>
            </w:pPr>
            <w:r>
              <w:rPr>
                <w:rFonts w:ascii="Arial" w:cs="Arial" w:eastAsia="Arial" w:hAnsi="Arial"/>
                <w:sz w:val="16"/>
                <w:szCs w:val="16"/>
                <w:color w:val="0D0E10"/>
              </w:rPr>
              <w:t>798,644</w:t>
            </w:r>
          </w:p>
        </w:tc>
        <w:tc>
          <w:tcPr>
            <w:tcW w:w="158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0D0E10"/>
                <w:w w:val="99"/>
              </w:rPr>
              <w:t>(133,217)</w:t>
            </w:r>
          </w:p>
        </w:tc>
        <w:tc>
          <w:tcPr>
            <w:tcW w:w="216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0D0E10"/>
              </w:rPr>
              <w:t>665,427</w:t>
            </w:r>
          </w:p>
        </w:tc>
        <w:tc>
          <w:tcPr>
            <w:tcW w:w="0" w:type="dxa"/>
            <w:vAlign w:val="bottom"/>
          </w:tcPr>
          <w:p>
            <w:pPr>
              <w:spacing w:after="0"/>
              <w:rPr>
                <w:sz w:val="1"/>
                <w:szCs w:val="1"/>
                <w:color w:val="auto"/>
              </w:rPr>
            </w:pPr>
          </w:p>
        </w:tc>
      </w:tr>
      <w:tr>
        <w:trPr>
          <w:trHeight w:val="43"/>
        </w:trPr>
        <w:tc>
          <w:tcPr>
            <w:tcW w:w="2920" w:type="dxa"/>
            <w:vAlign w:val="bottom"/>
            <w:tcBorders>
              <w:bottom w:val="single" w:sz="8" w:color="A5A4A3"/>
            </w:tcBorders>
          </w:tcPr>
          <w:p>
            <w:pPr>
              <w:spacing w:after="0"/>
              <w:rPr>
                <w:sz w:val="3"/>
                <w:szCs w:val="3"/>
                <w:color w:val="auto"/>
              </w:rPr>
            </w:pPr>
          </w:p>
        </w:tc>
        <w:tc>
          <w:tcPr>
            <w:tcW w:w="1580" w:type="dxa"/>
            <w:vAlign w:val="bottom"/>
            <w:tcBorders>
              <w:bottom w:val="single" w:sz="8" w:color="A5A4A3"/>
            </w:tcBorders>
          </w:tcPr>
          <w:p>
            <w:pPr>
              <w:spacing w:after="0"/>
              <w:rPr>
                <w:sz w:val="3"/>
                <w:szCs w:val="3"/>
                <w:color w:val="auto"/>
              </w:rPr>
            </w:pPr>
          </w:p>
        </w:tc>
        <w:tc>
          <w:tcPr>
            <w:tcW w:w="1580" w:type="dxa"/>
            <w:vAlign w:val="bottom"/>
            <w:tcBorders>
              <w:bottom w:val="single" w:sz="8" w:color="A5A4A3"/>
            </w:tcBorders>
          </w:tcPr>
          <w:p>
            <w:pPr>
              <w:spacing w:after="0"/>
              <w:rPr>
                <w:sz w:val="3"/>
                <w:szCs w:val="3"/>
                <w:color w:val="auto"/>
              </w:rPr>
            </w:pPr>
          </w:p>
        </w:tc>
        <w:tc>
          <w:tcPr>
            <w:tcW w:w="1500" w:type="dxa"/>
            <w:vAlign w:val="bottom"/>
            <w:tcBorders>
              <w:bottom w:val="single" w:sz="8" w:color="A5A4A3"/>
            </w:tcBorders>
          </w:tcPr>
          <w:p>
            <w:pPr>
              <w:spacing w:after="0"/>
              <w:rPr>
                <w:sz w:val="3"/>
                <w:szCs w:val="3"/>
                <w:color w:val="auto"/>
              </w:rPr>
            </w:pPr>
          </w:p>
        </w:tc>
        <w:tc>
          <w:tcPr>
            <w:tcW w:w="2160" w:type="dxa"/>
            <w:vAlign w:val="bottom"/>
            <w:tcBorders>
              <w:bottom w:val="single" w:sz="8" w:color="A5A4A3"/>
            </w:tcBorders>
          </w:tcPr>
          <w:p>
            <w:pPr>
              <w:spacing w:after="0"/>
              <w:rPr>
                <w:sz w:val="3"/>
                <w:szCs w:val="3"/>
                <w:color w:val="auto"/>
              </w:rPr>
            </w:pPr>
          </w:p>
        </w:tc>
        <w:tc>
          <w:tcPr>
            <w:tcW w:w="1500" w:type="dxa"/>
            <w:vAlign w:val="bottom"/>
            <w:tcBorders>
              <w:bottom w:val="single" w:sz="8" w:color="A5A4A3"/>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00"/>
              <w:spacing w:after="0"/>
              <w:rPr>
                <w:sz w:val="20"/>
                <w:szCs w:val="20"/>
                <w:color w:val="auto"/>
              </w:rPr>
            </w:pPr>
            <w:r>
              <w:rPr>
                <w:rFonts w:ascii="Arial" w:cs="Arial" w:eastAsia="Arial" w:hAnsi="Arial"/>
                <w:sz w:val="16"/>
                <w:szCs w:val="16"/>
                <w:color w:val="0D0E10"/>
              </w:rPr>
              <w:t>Anne Raimondi</w:t>
            </w:r>
          </w:p>
        </w:tc>
        <w:tc>
          <w:tcPr>
            <w:tcW w:w="1580" w:type="dxa"/>
            <w:vAlign w:val="bottom"/>
          </w:tcPr>
          <w:p>
            <w:pPr>
              <w:jc w:val="center"/>
              <w:spacing w:after="0"/>
              <w:rPr>
                <w:sz w:val="20"/>
                <w:szCs w:val="20"/>
                <w:color w:val="auto"/>
              </w:rPr>
            </w:pPr>
            <w:r>
              <w:rPr>
                <w:rFonts w:ascii="Arial" w:cs="Arial" w:eastAsia="Arial" w:hAnsi="Arial"/>
                <w:sz w:val="16"/>
                <w:szCs w:val="16"/>
                <w:color w:val="0D0E10"/>
              </w:rPr>
              <w:t>2,086,573</w:t>
            </w:r>
          </w:p>
        </w:tc>
        <w:tc>
          <w:tcPr>
            <w:tcW w:w="158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0D0E10"/>
                <w:w w:val="99"/>
              </w:rPr>
              <w:t>(351,471)</w:t>
            </w:r>
          </w:p>
        </w:tc>
        <w:tc>
          <w:tcPr>
            <w:tcW w:w="216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500" w:type="dxa"/>
            <w:vAlign w:val="bottom"/>
          </w:tcPr>
          <w:p>
            <w:pPr>
              <w:jc w:val="center"/>
              <w:spacing w:after="0"/>
              <w:rPr>
                <w:sz w:val="20"/>
                <w:szCs w:val="20"/>
                <w:color w:val="auto"/>
              </w:rPr>
            </w:pPr>
            <w:r>
              <w:rPr>
                <w:rFonts w:ascii="Arial" w:cs="Arial" w:eastAsia="Arial" w:hAnsi="Arial"/>
                <w:sz w:val="16"/>
                <w:szCs w:val="16"/>
                <w:color w:val="0D0E10"/>
              </w:rPr>
              <w:t>1,735,102</w:t>
            </w:r>
          </w:p>
        </w:tc>
        <w:tc>
          <w:tcPr>
            <w:tcW w:w="0" w:type="dxa"/>
            <w:vAlign w:val="bottom"/>
          </w:tcPr>
          <w:p>
            <w:pPr>
              <w:spacing w:after="0"/>
              <w:rPr>
                <w:sz w:val="1"/>
                <w:szCs w:val="1"/>
                <w:color w:val="auto"/>
              </w:rPr>
            </w:pPr>
          </w:p>
        </w:tc>
      </w:tr>
      <w:tr>
        <w:trPr>
          <w:trHeight w:val="43"/>
        </w:trPr>
        <w:tc>
          <w:tcPr>
            <w:tcW w:w="2920" w:type="dxa"/>
            <w:vAlign w:val="bottom"/>
            <w:tcBorders>
              <w:bottom w:val="single" w:sz="8" w:color="A5A4A3"/>
            </w:tcBorders>
          </w:tcPr>
          <w:p>
            <w:pPr>
              <w:spacing w:after="0"/>
              <w:rPr>
                <w:sz w:val="3"/>
                <w:szCs w:val="3"/>
                <w:color w:val="auto"/>
              </w:rPr>
            </w:pPr>
          </w:p>
        </w:tc>
        <w:tc>
          <w:tcPr>
            <w:tcW w:w="1580" w:type="dxa"/>
            <w:vAlign w:val="bottom"/>
            <w:tcBorders>
              <w:bottom w:val="single" w:sz="8" w:color="A5A4A3"/>
            </w:tcBorders>
          </w:tcPr>
          <w:p>
            <w:pPr>
              <w:spacing w:after="0"/>
              <w:rPr>
                <w:sz w:val="3"/>
                <w:szCs w:val="3"/>
                <w:color w:val="auto"/>
              </w:rPr>
            </w:pPr>
          </w:p>
        </w:tc>
        <w:tc>
          <w:tcPr>
            <w:tcW w:w="1580" w:type="dxa"/>
            <w:vAlign w:val="bottom"/>
            <w:tcBorders>
              <w:bottom w:val="single" w:sz="8" w:color="A5A4A3"/>
            </w:tcBorders>
          </w:tcPr>
          <w:p>
            <w:pPr>
              <w:spacing w:after="0"/>
              <w:rPr>
                <w:sz w:val="3"/>
                <w:szCs w:val="3"/>
                <w:color w:val="auto"/>
              </w:rPr>
            </w:pPr>
          </w:p>
        </w:tc>
        <w:tc>
          <w:tcPr>
            <w:tcW w:w="1500" w:type="dxa"/>
            <w:vAlign w:val="bottom"/>
            <w:tcBorders>
              <w:bottom w:val="single" w:sz="8" w:color="A5A4A3"/>
            </w:tcBorders>
          </w:tcPr>
          <w:p>
            <w:pPr>
              <w:spacing w:after="0"/>
              <w:rPr>
                <w:sz w:val="3"/>
                <w:szCs w:val="3"/>
                <w:color w:val="auto"/>
              </w:rPr>
            </w:pPr>
          </w:p>
        </w:tc>
        <w:tc>
          <w:tcPr>
            <w:tcW w:w="2160" w:type="dxa"/>
            <w:vAlign w:val="bottom"/>
            <w:tcBorders>
              <w:bottom w:val="single" w:sz="8" w:color="A5A4A3"/>
            </w:tcBorders>
          </w:tcPr>
          <w:p>
            <w:pPr>
              <w:spacing w:after="0"/>
              <w:rPr>
                <w:sz w:val="3"/>
                <w:szCs w:val="3"/>
                <w:color w:val="auto"/>
              </w:rPr>
            </w:pPr>
          </w:p>
        </w:tc>
        <w:tc>
          <w:tcPr>
            <w:tcW w:w="1500" w:type="dxa"/>
            <w:vAlign w:val="bottom"/>
            <w:tcBorders>
              <w:bottom w:val="single" w:sz="8" w:color="A5A4A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40" w:right="100" w:hanging="332"/>
        <w:spacing w:after="0" w:line="314" w:lineRule="auto"/>
        <w:tabs>
          <w:tab w:leader="none" w:pos="343" w:val="left"/>
        </w:tabs>
        <w:numPr>
          <w:ilvl w:val="0"/>
          <w:numId w:val="50"/>
        </w:numPr>
        <w:rPr>
          <w:rFonts w:ascii="Arial" w:cs="Arial" w:eastAsia="Arial" w:hAnsi="Arial"/>
          <w:sz w:val="13"/>
          <w:szCs w:val="13"/>
          <w:color w:val="0D0E10"/>
        </w:rPr>
      </w:pPr>
      <w:r>
        <w:rPr>
          <w:rFonts w:ascii="Arial" w:cs="Arial" w:eastAsia="Arial" w:hAnsi="Arial"/>
          <w:sz w:val="13"/>
          <w:szCs w:val="13"/>
          <w:color w:val="0D0E10"/>
        </w:rPr>
        <w:t>Amounts below represent the aggregate value of RSUs that vested in fiscal year 2024 (rounded to the nearest whole dollar) calculated using the product of the number of RSUs vested on a given day and the closing price of one share of our Class A common stock on the vesting date (or the next open trading day as applicable) (such amount, the "Aggregate Vesting Day Value").</w:t>
      </w:r>
    </w:p>
    <w:p>
      <w:pPr>
        <w:spacing w:after="0" w:line="20" w:lineRule="exact"/>
        <w:rPr>
          <w:rFonts w:ascii="Arial" w:cs="Arial" w:eastAsia="Arial" w:hAnsi="Arial"/>
          <w:sz w:val="13"/>
          <w:szCs w:val="13"/>
          <w:color w:val="0D0E10"/>
        </w:rPr>
      </w:pPr>
    </w:p>
    <w:p>
      <w:pPr>
        <w:ind w:left="340" w:right="40" w:hanging="332"/>
        <w:spacing w:after="0" w:line="303" w:lineRule="auto"/>
        <w:tabs>
          <w:tab w:leader="none" w:pos="343" w:val="left"/>
        </w:tabs>
        <w:numPr>
          <w:ilvl w:val="0"/>
          <w:numId w:val="50"/>
        </w:numPr>
        <w:rPr>
          <w:rFonts w:ascii="Arial" w:cs="Arial" w:eastAsia="Arial" w:hAnsi="Arial"/>
          <w:sz w:val="13"/>
          <w:szCs w:val="13"/>
          <w:color w:val="0D0E10"/>
        </w:rPr>
      </w:pPr>
      <w:r>
        <w:rPr>
          <w:rFonts w:ascii="Arial" w:cs="Arial" w:eastAsia="Arial" w:hAnsi="Arial"/>
          <w:sz w:val="13"/>
          <w:szCs w:val="13"/>
          <w:color w:val="0D0E10"/>
        </w:rPr>
        <w:t>With respect to RSUs that vested in fiscal year 2024, amounts below represent the difference between (a) the aggregate value of RSUs that vested in fiscal year 2024 (rounded to the nearest whole dollar) as of the last date of fiscal year 2024 (January 31, 2024) calculated as the product of (i) the number of RSUs vested in fiscal year 2024 and (ii) the closing price of one share of our Class A common stock on January 31, 2024 ($17.42) (such amount, the "Aggregate FY End Value") and (b) the Aggregate Vesting Day Value. The amounts reported in this column are not considered compensation reportable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56</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1" w:name="page62"/>
    <w:bookmarkEnd w:id="61"/>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Employment, Severance, and Change in Control Arrangements</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F06A6A"/>
        </w:rPr>
        <w:t>OFFER LETTERS AND EMPLOYMENT AGREEMENTS</w:t>
      </w:r>
    </w:p>
    <w:p>
      <w:pPr>
        <w:spacing w:after="0" w:line="95" w:lineRule="exact"/>
        <w:rPr>
          <w:sz w:val="20"/>
          <w:szCs w:val="20"/>
          <w:color w:val="auto"/>
        </w:rPr>
      </w:pPr>
    </w:p>
    <w:p>
      <w:pPr>
        <w:spacing w:after="0" w:line="302" w:lineRule="auto"/>
        <w:rPr>
          <w:sz w:val="20"/>
          <w:szCs w:val="20"/>
          <w:color w:val="auto"/>
        </w:rPr>
      </w:pPr>
      <w:r>
        <w:rPr>
          <w:rFonts w:ascii="Arial" w:cs="Arial" w:eastAsia="Arial" w:hAnsi="Arial"/>
          <w:sz w:val="18"/>
          <w:szCs w:val="18"/>
          <w:color w:val="0D0E10"/>
        </w:rPr>
        <w:t>In connection with our direct listing in September 2020, we entered into confirmatory offer letters with Mr. Moskovitz, Ms. Lacey, and Mr. Wan. We entered into an offer letter with Ms. Raimondi in August 2021 in connection with her appointment as our Chief Operating Officer. Each of these arrangements provide for at-will employment and generally includes the named executive officer’s base salary at the time of the listing or appointment. In addition, each of our named executive officers has executed our standard confidential information and invention assignment agreement.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F06A6A"/>
        </w:rPr>
        <w:t>EXECUTIVE SEVERANCE PLAN</w:t>
      </w:r>
    </w:p>
    <w:p>
      <w:pPr>
        <w:spacing w:after="0" w:line="108"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0D0E10"/>
        </w:rPr>
        <w:t>Our named executive officers and certain other executives and key employees participate in our Executive Severance and Change in Control Benefit Plan, or the Executive Severance Plan. Our Executive Severance Plan provides that upon termination of an eligible participant’s employment with us that is effected by us without “cause,” as defined in the Executive Severance Plan, outside of the change in control period (i.e., the period beginning three months prior to the date on which a “change in control,” as defined in the Executive Severance Plan, becomes effective and ending eighteen months following the effective date of such change in control), an eligible participant will be entitled to receive, subject to, among other things, the execution and delivery of an effective release of claims in our favor, (i) a lump sum cash payment equal to one-third of the sum of the eligible participant’s (a) annual base salary and (b) target annual bonus (if applicable) for the year in which the termination date occurs, (ii) a lump sum cash payment equal to four months of our contribution towards health insurance premiums, and (iii) accelerated vesting of certain outstanding and unvested time-based vesting equity awards held by such participant that are subject to a time-based cliff vesting period of one year or more, such that a prorated portion of the shares subject to cliff vesting will accelerate (with such proration calculated based on the number of completed months of employment during the applicable cliff vesting period prior to the covered termination divided by the total number of months during the applicable cliff vesting period).</w:t>
      </w:r>
    </w:p>
    <w:p>
      <w:pPr>
        <w:spacing w:after="0" w:line="133"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color w:val="0D0E10"/>
        </w:rPr>
        <w:t>The Executive Severance Plan also provides that if upon (i) a termination of an eligible participant’s employment with us that is effected by us without “cause,” as defined in the Executive Severance Plan or (ii) a resignation by an eligible participant for “good reason,” as defined in the Executive Severance Plan, in either case a “covered termination,” within the change in control period, the eligible participant will be entitled to receive, in lieu of the payments and benefits above and subject to, among other things, the execution and delivery of an effective release of claims in our favor, (i) a lump sum cash payment equal to the sum of the eligible participant’s (a) annual base salary plus (b) target annual bonus (if applicable), (ii) a lump sum cash payment equal to the eligible participant’s prorated target annual bonus for the year of termination (if applicable), (iii) a lump sum cash payment equal to 12 months of our contribution towards health insurance premiums, and (iv) accelerated vesting of certain outstanding and unvested equity awards held by such participant as to the applicable percentage set forth in the table below for each unvested tranche of shares subject to the equity award, with such accelerated vesting based on the number of years between the date of the covered termination and the date such tranche would have otherwise vested; provided, that any unvested and outstanding equity awards subject to performance conditions will be deemed satisfied at target levels specified in the applicable award agreements.</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57</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Number of Years from Covered Termination</w:t>
            </w:r>
          </w:p>
        </w:tc>
        <w:tc>
          <w:tcPr>
            <w:tcW w:w="56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Tranche’s Vesting Percentage for</w:t>
            </w:r>
          </w:p>
        </w:tc>
      </w:tr>
      <w:tr>
        <w:trPr>
          <w:trHeight w:val="223"/>
        </w:trPr>
        <w:tc>
          <w:tcPr>
            <w:tcW w:w="56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Date until the Tranche’s Vesting Date</w:t>
            </w:r>
          </w:p>
        </w:tc>
        <w:tc>
          <w:tcPr>
            <w:tcW w:w="56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Named Executive Officers</w:t>
            </w:r>
          </w:p>
        </w:tc>
      </w:tr>
      <w:tr>
        <w:trPr>
          <w:trHeight w:val="116"/>
        </w:trPr>
        <w:tc>
          <w:tcPr>
            <w:tcW w:w="5620" w:type="dxa"/>
            <w:vAlign w:val="bottom"/>
            <w:tcBorders>
              <w:bottom w:val="single" w:sz="8" w:color="A5A4A3"/>
            </w:tcBorders>
            <w:shd w:val="clear" w:color="auto" w:fill="EEEBEA"/>
          </w:tcPr>
          <w:p>
            <w:pPr>
              <w:spacing w:after="0"/>
              <w:rPr>
                <w:sz w:val="10"/>
                <w:szCs w:val="10"/>
                <w:color w:val="auto"/>
              </w:rPr>
            </w:pPr>
          </w:p>
        </w:tc>
        <w:tc>
          <w:tcPr>
            <w:tcW w:w="5620" w:type="dxa"/>
            <w:vAlign w:val="bottom"/>
            <w:tcBorders>
              <w:bottom w:val="single" w:sz="8" w:color="A5A4A3"/>
            </w:tcBorders>
            <w:shd w:val="clear" w:color="auto" w:fill="EEEBEA"/>
          </w:tcPr>
          <w:p>
            <w:pPr>
              <w:spacing w:after="0"/>
              <w:rPr>
                <w:sz w:val="10"/>
                <w:szCs w:val="10"/>
                <w:color w:val="auto"/>
              </w:rPr>
            </w:pPr>
          </w:p>
        </w:tc>
      </w:tr>
      <w:tr>
        <w:trPr>
          <w:trHeight w:val="221"/>
        </w:trPr>
        <w:tc>
          <w:tcPr>
            <w:tcW w:w="5620" w:type="dxa"/>
            <w:vAlign w:val="bottom"/>
          </w:tcPr>
          <w:p>
            <w:pPr>
              <w:jc w:val="center"/>
              <w:spacing w:after="0"/>
              <w:rPr>
                <w:sz w:val="20"/>
                <w:szCs w:val="20"/>
                <w:color w:val="auto"/>
              </w:rPr>
            </w:pPr>
            <w:r>
              <w:rPr>
                <w:rFonts w:ascii="Arial" w:cs="Arial" w:eastAsia="Arial" w:hAnsi="Arial"/>
                <w:sz w:val="16"/>
                <w:szCs w:val="16"/>
                <w:color w:val="0D0E10"/>
              </w:rPr>
              <w:t>Fewer than 4 years</w:t>
            </w:r>
          </w:p>
        </w:tc>
        <w:tc>
          <w:tcPr>
            <w:tcW w:w="5620" w:type="dxa"/>
            <w:vAlign w:val="bottom"/>
          </w:tcPr>
          <w:p>
            <w:pPr>
              <w:jc w:val="center"/>
              <w:spacing w:after="0"/>
              <w:rPr>
                <w:sz w:val="20"/>
                <w:szCs w:val="20"/>
                <w:color w:val="auto"/>
              </w:rPr>
            </w:pPr>
            <w:r>
              <w:rPr>
                <w:rFonts w:ascii="Arial" w:cs="Arial" w:eastAsia="Arial" w:hAnsi="Arial"/>
                <w:sz w:val="16"/>
                <w:szCs w:val="16"/>
                <w:color w:val="0D0E10"/>
              </w:rPr>
              <w:t>100%</w:t>
            </w:r>
          </w:p>
        </w:tc>
      </w:tr>
      <w:tr>
        <w:trPr>
          <w:trHeight w:val="29"/>
        </w:trPr>
        <w:tc>
          <w:tcPr>
            <w:tcW w:w="5620" w:type="dxa"/>
            <w:vAlign w:val="bottom"/>
            <w:tcBorders>
              <w:bottom w:val="single" w:sz="8" w:color="A5A4A3"/>
            </w:tcBorders>
          </w:tcPr>
          <w:p>
            <w:pPr>
              <w:spacing w:after="0"/>
              <w:rPr>
                <w:sz w:val="2"/>
                <w:szCs w:val="2"/>
                <w:color w:val="auto"/>
              </w:rPr>
            </w:pPr>
          </w:p>
        </w:tc>
        <w:tc>
          <w:tcPr>
            <w:tcW w:w="5620" w:type="dxa"/>
            <w:vAlign w:val="bottom"/>
            <w:tcBorders>
              <w:bottom w:val="single" w:sz="8" w:color="A5A4A3"/>
            </w:tcBorders>
          </w:tcPr>
          <w:p>
            <w:pPr>
              <w:spacing w:after="0"/>
              <w:rPr>
                <w:sz w:val="2"/>
                <w:szCs w:val="2"/>
                <w:color w:val="auto"/>
              </w:rPr>
            </w:pPr>
          </w:p>
        </w:tc>
      </w:tr>
      <w:tr>
        <w:trPr>
          <w:trHeight w:val="221"/>
        </w:trPr>
        <w:tc>
          <w:tcPr>
            <w:tcW w:w="5620" w:type="dxa"/>
            <w:vAlign w:val="bottom"/>
          </w:tcPr>
          <w:p>
            <w:pPr>
              <w:jc w:val="center"/>
              <w:spacing w:after="0"/>
              <w:rPr>
                <w:sz w:val="20"/>
                <w:szCs w:val="20"/>
                <w:color w:val="auto"/>
              </w:rPr>
            </w:pPr>
            <w:r>
              <w:rPr>
                <w:rFonts w:ascii="Arial" w:cs="Arial" w:eastAsia="Arial" w:hAnsi="Arial"/>
                <w:sz w:val="16"/>
                <w:szCs w:val="16"/>
                <w:color w:val="0D0E10"/>
              </w:rPr>
              <w:t>4-6 years</w:t>
            </w:r>
          </w:p>
        </w:tc>
        <w:tc>
          <w:tcPr>
            <w:tcW w:w="5620" w:type="dxa"/>
            <w:vAlign w:val="bottom"/>
          </w:tcPr>
          <w:p>
            <w:pPr>
              <w:jc w:val="center"/>
              <w:spacing w:after="0"/>
              <w:rPr>
                <w:sz w:val="20"/>
                <w:szCs w:val="20"/>
                <w:color w:val="auto"/>
              </w:rPr>
            </w:pPr>
            <w:r>
              <w:rPr>
                <w:rFonts w:ascii="Arial" w:cs="Arial" w:eastAsia="Arial" w:hAnsi="Arial"/>
                <w:sz w:val="16"/>
                <w:szCs w:val="16"/>
                <w:color w:val="0D0E10"/>
              </w:rPr>
              <w:t>50%</w:t>
            </w:r>
          </w:p>
        </w:tc>
      </w:tr>
      <w:tr>
        <w:trPr>
          <w:trHeight w:val="29"/>
        </w:trPr>
        <w:tc>
          <w:tcPr>
            <w:tcW w:w="5620" w:type="dxa"/>
            <w:vAlign w:val="bottom"/>
            <w:tcBorders>
              <w:bottom w:val="single" w:sz="8" w:color="A5A4A3"/>
            </w:tcBorders>
          </w:tcPr>
          <w:p>
            <w:pPr>
              <w:spacing w:after="0"/>
              <w:rPr>
                <w:sz w:val="2"/>
                <w:szCs w:val="2"/>
                <w:color w:val="auto"/>
              </w:rPr>
            </w:pPr>
          </w:p>
        </w:tc>
        <w:tc>
          <w:tcPr>
            <w:tcW w:w="5620" w:type="dxa"/>
            <w:vAlign w:val="bottom"/>
            <w:tcBorders>
              <w:bottom w:val="single" w:sz="8" w:color="A5A4A3"/>
            </w:tcBorders>
          </w:tcPr>
          <w:p>
            <w:pPr>
              <w:spacing w:after="0"/>
              <w:rPr>
                <w:sz w:val="2"/>
                <w:szCs w:val="2"/>
                <w:color w:val="auto"/>
              </w:rPr>
            </w:pPr>
          </w:p>
        </w:tc>
      </w:tr>
      <w:tr>
        <w:trPr>
          <w:trHeight w:val="221"/>
        </w:trPr>
        <w:tc>
          <w:tcPr>
            <w:tcW w:w="5620" w:type="dxa"/>
            <w:vAlign w:val="bottom"/>
          </w:tcPr>
          <w:p>
            <w:pPr>
              <w:jc w:val="center"/>
              <w:spacing w:after="0"/>
              <w:rPr>
                <w:sz w:val="20"/>
                <w:szCs w:val="20"/>
                <w:color w:val="auto"/>
              </w:rPr>
            </w:pPr>
            <w:r>
              <w:rPr>
                <w:rFonts w:ascii="Arial" w:cs="Arial" w:eastAsia="Arial" w:hAnsi="Arial"/>
                <w:sz w:val="16"/>
                <w:szCs w:val="16"/>
                <w:color w:val="0D0E10"/>
              </w:rPr>
              <w:t>Greater than 6 years</w:t>
            </w:r>
          </w:p>
        </w:tc>
        <w:tc>
          <w:tcPr>
            <w:tcW w:w="5620" w:type="dxa"/>
            <w:vAlign w:val="bottom"/>
          </w:tcPr>
          <w:p>
            <w:pPr>
              <w:jc w:val="center"/>
              <w:spacing w:after="0"/>
              <w:rPr>
                <w:sz w:val="20"/>
                <w:szCs w:val="20"/>
                <w:color w:val="auto"/>
              </w:rPr>
            </w:pPr>
            <w:r>
              <w:rPr>
                <w:rFonts w:ascii="Arial" w:cs="Arial" w:eastAsia="Arial" w:hAnsi="Arial"/>
                <w:sz w:val="16"/>
                <w:szCs w:val="16"/>
                <w:color w:val="0D0E10"/>
              </w:rPr>
              <w:t>25%</w:t>
            </w:r>
          </w:p>
        </w:tc>
      </w:tr>
      <w:tr>
        <w:trPr>
          <w:trHeight w:val="29"/>
        </w:trPr>
        <w:tc>
          <w:tcPr>
            <w:tcW w:w="5620" w:type="dxa"/>
            <w:vAlign w:val="bottom"/>
            <w:tcBorders>
              <w:bottom w:val="single" w:sz="8" w:color="A5A4A3"/>
            </w:tcBorders>
          </w:tcPr>
          <w:p>
            <w:pPr>
              <w:spacing w:after="0"/>
              <w:rPr>
                <w:sz w:val="2"/>
                <w:szCs w:val="2"/>
                <w:color w:val="auto"/>
              </w:rPr>
            </w:pPr>
          </w:p>
        </w:tc>
        <w:tc>
          <w:tcPr>
            <w:tcW w:w="5620" w:type="dxa"/>
            <w:vAlign w:val="bottom"/>
            <w:tcBorders>
              <w:bottom w:val="single" w:sz="8" w:color="A5A4A3"/>
            </w:tcBorders>
          </w:tcPr>
          <w:p>
            <w:pPr>
              <w:spacing w:after="0"/>
              <w:rPr>
                <w:sz w:val="2"/>
                <w:szCs w:val="2"/>
                <w:color w:val="auto"/>
              </w:rPr>
            </w:pPr>
          </w:p>
        </w:tc>
      </w:tr>
    </w:tbl>
    <w:p>
      <w:pPr>
        <w:spacing w:after="0" w:line="197"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color w:val="0D0E10"/>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F06A6A"/>
        </w:rPr>
        <w:t>AWARDS GRANTED UNDER 2020 EQUITY INCENTIVE PLAN</w:t>
      </w:r>
    </w:p>
    <w:p>
      <w:pPr>
        <w:spacing w:after="0" w:line="95"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In the event of a “corporate transaction,” as defined in our 2020 Equity Incentive Plan, in which the surviving corporation assumes or continues any or all awards outstanding under the 2020 Equity Incentive Plan, or substitutes similar awards for outstanding awards, such awards will continue to vest in accordance with their terms and any applicable employment agreement or severance plan. In the event of a corporate transaction in which the surviving corporation does not assume or continue the outstanding awards or substitute similar awards for such outstanding awards, the vesting schedule of all awards held by our named executive officers that are still employed upon the corporate transaction will be accelerated in full as of a date prior to the effective date of the transaction as determined by the Board. This accelerated vesting structure in the event awards are not assumed or substituted by the surviving company is designed to encourage our executives to remain employed with us through the date of the corporate transaction and to ensure that the equity incentives awarded to our executives are not eliminated by the surviving company.</w:t>
      </w:r>
    </w:p>
    <w:p>
      <w:pPr>
        <w:spacing w:after="0" w:line="135" w:lineRule="exact"/>
        <w:rPr>
          <w:sz w:val="20"/>
          <w:szCs w:val="20"/>
          <w:color w:val="auto"/>
        </w:rPr>
      </w:pPr>
    </w:p>
    <w:p>
      <w:pPr>
        <w:spacing w:after="0"/>
        <w:rPr>
          <w:sz w:val="20"/>
          <w:szCs w:val="20"/>
          <w:color w:val="auto"/>
        </w:rPr>
      </w:pPr>
      <w:r>
        <w:rPr>
          <w:rFonts w:ascii="Arial" w:cs="Arial" w:eastAsia="Arial" w:hAnsi="Arial"/>
          <w:sz w:val="32"/>
          <w:szCs w:val="32"/>
          <w:color w:val="0D0E10"/>
        </w:rPr>
        <w:t>Potential Payments upon Termination or Change in Control</w:t>
      </w:r>
    </w:p>
    <w:p>
      <w:pPr>
        <w:spacing w:after="0" w:line="235" w:lineRule="exact"/>
        <w:rPr>
          <w:sz w:val="20"/>
          <w:szCs w:val="20"/>
          <w:color w:val="auto"/>
        </w:rPr>
      </w:pPr>
    </w:p>
    <w:p>
      <w:pPr>
        <w:ind w:right="120"/>
        <w:spacing w:after="0" w:line="298" w:lineRule="auto"/>
        <w:rPr>
          <w:sz w:val="20"/>
          <w:szCs w:val="20"/>
          <w:color w:val="auto"/>
        </w:rPr>
      </w:pPr>
      <w:r>
        <w:rPr>
          <w:rFonts w:ascii="Arial" w:cs="Arial" w:eastAsia="Arial" w:hAnsi="Arial"/>
          <w:sz w:val="18"/>
          <w:szCs w:val="18"/>
          <w:color w:val="0D0E10"/>
        </w:rPr>
        <w:t>Each of our named executive officers participates in our Executive Severance Plan as described above. The following table summarizes the estimated payment and benefits that would be provided to our named executive officers in connection with (i) a corporate transaction in which the surviving corporation does not assume or continue the outstanding awards or substitute similar awards for such outstanding awards, (ii) a termination outside of a change in control period, or (iii) a termination within termination both outside and within a change in control period, assuming , in each case, that the applicable triggering event took place on January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shd w:val="clear" w:color="auto" w:fill="EEEBEA"/>
          </w:tcPr>
          <w:p>
            <w:pPr>
              <w:spacing w:after="0"/>
              <w:rPr>
                <w:sz w:val="19"/>
                <w:szCs w:val="19"/>
                <w:color w:val="auto"/>
              </w:rPr>
            </w:pPr>
          </w:p>
        </w:tc>
        <w:tc>
          <w:tcPr>
            <w:tcW w:w="2200" w:type="dxa"/>
            <w:vAlign w:val="bottom"/>
            <w:shd w:val="clear" w:color="auto" w:fill="EEEBEA"/>
          </w:tcPr>
          <w:p>
            <w:pPr>
              <w:spacing w:after="0"/>
              <w:rPr>
                <w:sz w:val="19"/>
                <w:szCs w:val="19"/>
                <w:color w:val="auto"/>
              </w:rPr>
            </w:pPr>
          </w:p>
        </w:tc>
        <w:tc>
          <w:tcPr>
            <w:tcW w:w="2480" w:type="dxa"/>
            <w:vAlign w:val="bottom"/>
            <w:shd w:val="clear" w:color="auto" w:fill="EEEBEA"/>
          </w:tcPr>
          <w:p>
            <w:pPr>
              <w:jc w:val="center"/>
              <w:ind w:right="59"/>
              <w:spacing w:after="0"/>
              <w:rPr>
                <w:sz w:val="20"/>
                <w:szCs w:val="20"/>
                <w:color w:val="auto"/>
              </w:rPr>
            </w:pPr>
            <w:r>
              <w:rPr>
                <w:rFonts w:ascii="Arial" w:cs="Arial" w:eastAsia="Arial" w:hAnsi="Arial"/>
                <w:sz w:val="16"/>
                <w:szCs w:val="16"/>
                <w:b w:val="1"/>
                <w:bCs w:val="1"/>
                <w:color w:val="F06A6A"/>
              </w:rPr>
              <w:t>Base Salary + Target Annual</w:t>
            </w:r>
          </w:p>
        </w:tc>
        <w:tc>
          <w:tcPr>
            <w:tcW w:w="2080" w:type="dxa"/>
            <w:vAlign w:val="bottom"/>
            <w:shd w:val="clear" w:color="auto" w:fill="EEEBEA"/>
          </w:tcPr>
          <w:p>
            <w:pPr>
              <w:jc w:val="center"/>
              <w:ind w:right="240"/>
              <w:spacing w:after="0"/>
              <w:rPr>
                <w:sz w:val="20"/>
                <w:szCs w:val="20"/>
                <w:color w:val="auto"/>
              </w:rPr>
            </w:pPr>
            <w:r>
              <w:rPr>
                <w:rFonts w:ascii="Arial" w:cs="Arial" w:eastAsia="Arial" w:hAnsi="Arial"/>
                <w:sz w:val="16"/>
                <w:szCs w:val="16"/>
                <w:b w:val="1"/>
                <w:bCs w:val="1"/>
                <w:color w:val="F06A6A"/>
              </w:rPr>
              <w:t>Health Insurance</w:t>
            </w:r>
          </w:p>
        </w:tc>
      </w:tr>
      <w:tr>
        <w:trPr>
          <w:trHeight w:val="203"/>
        </w:trPr>
        <w:tc>
          <w:tcPr>
            <w:tcW w:w="4480" w:type="dxa"/>
            <w:vAlign w:val="bottom"/>
            <w:shd w:val="clear" w:color="auto" w:fill="EEEBEA"/>
          </w:tcPr>
          <w:p>
            <w:pPr>
              <w:spacing w:after="0"/>
              <w:rPr>
                <w:sz w:val="17"/>
                <w:szCs w:val="17"/>
                <w:color w:val="auto"/>
              </w:rPr>
            </w:pPr>
          </w:p>
        </w:tc>
        <w:tc>
          <w:tcPr>
            <w:tcW w:w="2200" w:type="dxa"/>
            <w:vAlign w:val="bottom"/>
            <w:shd w:val="clear" w:color="auto" w:fill="EEEBEA"/>
          </w:tcPr>
          <w:p>
            <w:pPr>
              <w:jc w:val="right"/>
              <w:spacing w:after="0"/>
              <w:rPr>
                <w:sz w:val="20"/>
                <w:szCs w:val="20"/>
                <w:color w:val="auto"/>
              </w:rPr>
            </w:pPr>
            <w:r>
              <w:rPr>
                <w:rFonts w:ascii="Arial" w:cs="Arial" w:eastAsia="Arial" w:hAnsi="Arial"/>
                <w:sz w:val="16"/>
                <w:szCs w:val="16"/>
                <w:b w:val="1"/>
                <w:bCs w:val="1"/>
                <w:color w:val="F06A6A"/>
              </w:rPr>
              <w:t>Accelerated Equity Awards</w:t>
            </w:r>
          </w:p>
        </w:tc>
        <w:tc>
          <w:tcPr>
            <w:tcW w:w="2480" w:type="dxa"/>
            <w:vAlign w:val="bottom"/>
            <w:shd w:val="clear" w:color="auto" w:fill="EEEBEA"/>
          </w:tcPr>
          <w:p>
            <w:pPr>
              <w:jc w:val="center"/>
              <w:ind w:right="59"/>
              <w:spacing w:after="0"/>
              <w:rPr>
                <w:sz w:val="20"/>
                <w:szCs w:val="20"/>
                <w:color w:val="auto"/>
              </w:rPr>
            </w:pPr>
            <w:r>
              <w:rPr>
                <w:rFonts w:ascii="Arial" w:cs="Arial" w:eastAsia="Arial" w:hAnsi="Arial"/>
                <w:sz w:val="16"/>
                <w:szCs w:val="16"/>
                <w:b w:val="1"/>
                <w:bCs w:val="1"/>
                <w:color w:val="F06A6A"/>
              </w:rPr>
              <w:t>Bonus</w:t>
            </w:r>
          </w:p>
        </w:tc>
        <w:tc>
          <w:tcPr>
            <w:tcW w:w="2080" w:type="dxa"/>
            <w:vAlign w:val="bottom"/>
            <w:shd w:val="clear" w:color="auto" w:fill="EEEBEA"/>
          </w:tcPr>
          <w:p>
            <w:pPr>
              <w:jc w:val="center"/>
              <w:ind w:right="240"/>
              <w:spacing w:after="0"/>
              <w:rPr>
                <w:sz w:val="20"/>
                <w:szCs w:val="20"/>
                <w:color w:val="auto"/>
              </w:rPr>
            </w:pPr>
            <w:r>
              <w:rPr>
                <w:rFonts w:ascii="Arial" w:cs="Arial" w:eastAsia="Arial" w:hAnsi="Arial"/>
                <w:sz w:val="16"/>
                <w:szCs w:val="16"/>
                <w:b w:val="1"/>
                <w:bCs w:val="1"/>
                <w:color w:val="F06A6A"/>
              </w:rPr>
              <w:t>Premiums</w:t>
            </w:r>
          </w:p>
        </w:tc>
      </w:tr>
      <w:tr>
        <w:trPr>
          <w:trHeight w:val="236"/>
        </w:trPr>
        <w:tc>
          <w:tcPr>
            <w:tcW w:w="448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w:t>
            </w:r>
          </w:p>
        </w:tc>
        <w:tc>
          <w:tcPr>
            <w:tcW w:w="22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2480" w:type="dxa"/>
            <w:vAlign w:val="bottom"/>
            <w:shd w:val="clear" w:color="auto" w:fill="EEEBEA"/>
          </w:tcPr>
          <w:p>
            <w:pPr>
              <w:jc w:val="center"/>
              <w:ind w:right="79"/>
              <w:spacing w:after="0"/>
              <w:rPr>
                <w:sz w:val="20"/>
                <w:szCs w:val="20"/>
                <w:color w:val="auto"/>
              </w:rPr>
            </w:pPr>
            <w:r>
              <w:rPr>
                <w:rFonts w:ascii="Arial" w:cs="Arial" w:eastAsia="Arial" w:hAnsi="Arial"/>
                <w:sz w:val="16"/>
                <w:szCs w:val="16"/>
                <w:b w:val="1"/>
                <w:bCs w:val="1"/>
                <w:color w:val="F06A6A"/>
              </w:rPr>
              <w:t>($)</w:t>
            </w:r>
          </w:p>
        </w:tc>
        <w:tc>
          <w:tcPr>
            <w:tcW w:w="2080" w:type="dxa"/>
            <w:vAlign w:val="bottom"/>
            <w:shd w:val="clear" w:color="auto" w:fill="EEEBEA"/>
          </w:tcPr>
          <w:p>
            <w:pPr>
              <w:jc w:val="center"/>
              <w:ind w:right="240"/>
              <w:spacing w:after="0"/>
              <w:rPr>
                <w:sz w:val="20"/>
                <w:szCs w:val="20"/>
                <w:color w:val="auto"/>
              </w:rPr>
            </w:pPr>
            <w:r>
              <w:rPr>
                <w:rFonts w:ascii="Arial" w:cs="Arial" w:eastAsia="Arial" w:hAnsi="Arial"/>
                <w:sz w:val="16"/>
                <w:szCs w:val="16"/>
                <w:b w:val="1"/>
                <w:bCs w:val="1"/>
                <w:color w:val="F06A6A"/>
              </w:rPr>
              <w:t>($)</w:t>
            </w:r>
          </w:p>
        </w:tc>
      </w:tr>
      <w:tr>
        <w:trPr>
          <w:trHeight w:val="115"/>
        </w:trPr>
        <w:tc>
          <w:tcPr>
            <w:tcW w:w="4480" w:type="dxa"/>
            <w:vAlign w:val="bottom"/>
            <w:tcBorders>
              <w:bottom w:val="single" w:sz="8" w:color="A5A4A3"/>
            </w:tcBorders>
            <w:shd w:val="clear" w:color="auto" w:fill="EEEBEA"/>
          </w:tcPr>
          <w:p>
            <w:pPr>
              <w:spacing w:after="0"/>
              <w:rPr>
                <w:sz w:val="10"/>
                <w:szCs w:val="10"/>
                <w:color w:val="auto"/>
              </w:rPr>
            </w:pPr>
          </w:p>
        </w:tc>
        <w:tc>
          <w:tcPr>
            <w:tcW w:w="2200" w:type="dxa"/>
            <w:vAlign w:val="bottom"/>
            <w:tcBorders>
              <w:bottom w:val="single" w:sz="8" w:color="A5A4A3"/>
            </w:tcBorders>
            <w:shd w:val="clear" w:color="auto" w:fill="EEEBEA"/>
          </w:tcPr>
          <w:p>
            <w:pPr>
              <w:spacing w:after="0"/>
              <w:rPr>
                <w:sz w:val="10"/>
                <w:szCs w:val="10"/>
                <w:color w:val="auto"/>
              </w:rPr>
            </w:pPr>
          </w:p>
        </w:tc>
        <w:tc>
          <w:tcPr>
            <w:tcW w:w="2480" w:type="dxa"/>
            <w:vAlign w:val="bottom"/>
            <w:tcBorders>
              <w:bottom w:val="single" w:sz="8" w:color="A5A4A3"/>
            </w:tcBorders>
            <w:shd w:val="clear" w:color="auto" w:fill="EEEBEA"/>
          </w:tcPr>
          <w:p>
            <w:pPr>
              <w:spacing w:after="0"/>
              <w:rPr>
                <w:sz w:val="10"/>
                <w:szCs w:val="10"/>
                <w:color w:val="auto"/>
              </w:rPr>
            </w:pPr>
          </w:p>
        </w:tc>
        <w:tc>
          <w:tcPr>
            <w:tcW w:w="2080" w:type="dxa"/>
            <w:vAlign w:val="bottom"/>
            <w:tcBorders>
              <w:bottom w:val="single" w:sz="8" w:color="A5A4A3"/>
            </w:tcBorders>
            <w:shd w:val="clear" w:color="auto" w:fill="EEEBEA"/>
          </w:tcPr>
          <w:p>
            <w:pPr>
              <w:spacing w:after="0"/>
              <w:rPr>
                <w:sz w:val="10"/>
                <w:szCs w:val="10"/>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6"/>
                <w:szCs w:val="16"/>
                <w:b w:val="1"/>
                <w:bCs w:val="1"/>
                <w:color w:val="F06A6A"/>
              </w:rPr>
              <w:t>Dustin Moskovitz</w:t>
            </w:r>
          </w:p>
        </w:tc>
        <w:tc>
          <w:tcPr>
            <w:tcW w:w="2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5"/>
        </w:trPr>
        <w:tc>
          <w:tcPr>
            <w:tcW w:w="4480" w:type="dxa"/>
            <w:vAlign w:val="bottom"/>
            <w:tcBorders>
              <w:bottom w:val="single" w:sz="8" w:color="A5A4A3"/>
            </w:tcBorders>
          </w:tcPr>
          <w:p>
            <w:pPr>
              <w:spacing w:after="0"/>
              <w:rPr>
                <w:sz w:val="3"/>
                <w:szCs w:val="3"/>
                <w:color w:val="auto"/>
              </w:rPr>
            </w:pPr>
          </w:p>
        </w:tc>
        <w:tc>
          <w:tcPr>
            <w:tcW w:w="2200" w:type="dxa"/>
            <w:vAlign w:val="bottom"/>
            <w:tcBorders>
              <w:bottom w:val="single" w:sz="8" w:color="A5A4A3"/>
            </w:tcBorders>
          </w:tcPr>
          <w:p>
            <w:pPr>
              <w:spacing w:after="0"/>
              <w:rPr>
                <w:sz w:val="3"/>
                <w:szCs w:val="3"/>
                <w:color w:val="auto"/>
              </w:rPr>
            </w:pPr>
          </w:p>
        </w:tc>
        <w:tc>
          <w:tcPr>
            <w:tcW w:w="2480" w:type="dxa"/>
            <w:vAlign w:val="bottom"/>
            <w:tcBorders>
              <w:bottom w:val="single" w:sz="8" w:color="A5A4A3"/>
            </w:tcBorders>
          </w:tcPr>
          <w:p>
            <w:pPr>
              <w:spacing w:after="0"/>
              <w:rPr>
                <w:sz w:val="3"/>
                <w:szCs w:val="3"/>
                <w:color w:val="auto"/>
              </w:rPr>
            </w:pPr>
          </w:p>
        </w:tc>
        <w:tc>
          <w:tcPr>
            <w:tcW w:w="2080" w:type="dxa"/>
            <w:vAlign w:val="bottom"/>
            <w:tcBorders>
              <w:bottom w:val="single" w:sz="8" w:color="A5A4A3"/>
            </w:tcBorders>
          </w:tcPr>
          <w:p>
            <w:pPr>
              <w:spacing w:after="0"/>
              <w:rPr>
                <w:sz w:val="3"/>
                <w:szCs w:val="3"/>
                <w:color w:val="auto"/>
              </w:rPr>
            </w:pP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Corporate Transaction</w:t>
            </w:r>
            <w:r>
              <w:rPr>
                <w:rFonts w:ascii="Arial" w:cs="Arial" w:eastAsia="Arial" w:hAnsi="Arial"/>
                <w:sz w:val="21"/>
                <w:szCs w:val="21"/>
                <w:color w:val="0D0E10"/>
                <w:vertAlign w:val="superscript"/>
              </w:rPr>
              <w:t>(1)</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89"/>
              </w:rPr>
              <w:t>0</w:t>
            </w:r>
          </w:p>
        </w:tc>
        <w:tc>
          <w:tcPr>
            <w:tcW w:w="248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w w:val="89"/>
              </w:rPr>
              <w:t>0</w:t>
            </w:r>
          </w:p>
        </w:tc>
        <w:tc>
          <w:tcPr>
            <w:tcW w:w="2080" w:type="dxa"/>
            <w:vAlign w:val="bottom"/>
            <w:tcBorders>
              <w:bottom w:val="single" w:sz="8" w:color="A5A4A3"/>
            </w:tcBorders>
          </w:tcPr>
          <w:p>
            <w:pPr>
              <w:jc w:val="center"/>
              <w:ind w:right="240"/>
              <w:spacing w:after="0"/>
              <w:rPr>
                <w:sz w:val="20"/>
                <w:szCs w:val="20"/>
                <w:color w:val="auto"/>
              </w:rPr>
            </w:pPr>
            <w:r>
              <w:rPr>
                <w:rFonts w:ascii="Arial" w:cs="Arial" w:eastAsia="Arial" w:hAnsi="Arial"/>
                <w:sz w:val="16"/>
                <w:szCs w:val="16"/>
                <w:color w:val="0D0E10"/>
                <w:w w:val="89"/>
              </w:rPr>
              <w:t>0</w:t>
            </w: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Termination outside Change in Control Period</w:t>
            </w:r>
            <w:r>
              <w:rPr>
                <w:rFonts w:ascii="Arial" w:cs="Arial" w:eastAsia="Arial" w:hAnsi="Arial"/>
                <w:sz w:val="21"/>
                <w:szCs w:val="21"/>
                <w:color w:val="0D0E10"/>
                <w:vertAlign w:val="superscript"/>
              </w:rPr>
              <w:t>(2)</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89"/>
              </w:rPr>
              <w:t>0</w:t>
            </w:r>
          </w:p>
        </w:tc>
        <w:tc>
          <w:tcPr>
            <w:tcW w:w="248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w w:val="89"/>
              </w:rPr>
              <w:t>0</w:t>
            </w:r>
          </w:p>
        </w:tc>
        <w:tc>
          <w:tcPr>
            <w:tcW w:w="2080" w:type="dxa"/>
            <w:vAlign w:val="bottom"/>
            <w:tcBorders>
              <w:bottom w:val="single" w:sz="8" w:color="A5A4A3"/>
            </w:tcBorders>
          </w:tcPr>
          <w:p>
            <w:pPr>
              <w:jc w:val="center"/>
              <w:ind w:right="240"/>
              <w:spacing w:after="0"/>
              <w:rPr>
                <w:sz w:val="20"/>
                <w:szCs w:val="20"/>
                <w:color w:val="auto"/>
              </w:rPr>
            </w:pPr>
            <w:r>
              <w:rPr>
                <w:rFonts w:ascii="Arial" w:cs="Arial" w:eastAsia="Arial" w:hAnsi="Arial"/>
                <w:sz w:val="16"/>
                <w:szCs w:val="16"/>
                <w:color w:val="0D0E10"/>
                <w:w w:val="98"/>
              </w:rPr>
              <w:t>11,849</w:t>
            </w:r>
          </w:p>
        </w:tc>
      </w:tr>
      <w:tr>
        <w:trPr>
          <w:trHeight w:val="250"/>
        </w:trPr>
        <w:tc>
          <w:tcPr>
            <w:tcW w:w="448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0D0E10"/>
              </w:rPr>
              <w:t>Termination within Change in Control Period</w:t>
            </w:r>
            <w:r>
              <w:rPr>
                <w:rFonts w:ascii="Arial" w:cs="Arial" w:eastAsia="Arial" w:hAnsi="Arial"/>
                <w:sz w:val="21"/>
                <w:szCs w:val="21"/>
                <w:color w:val="0D0E10"/>
                <w:vertAlign w:val="superscript"/>
              </w:rPr>
              <w:t>(3)</w:t>
            </w:r>
          </w:p>
        </w:tc>
        <w:tc>
          <w:tcPr>
            <w:tcW w:w="220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w w:val="89"/>
              </w:rPr>
              <w:t>0</w:t>
            </w:r>
          </w:p>
        </w:tc>
        <w:tc>
          <w:tcPr>
            <w:tcW w:w="2480" w:type="dxa"/>
            <w:vAlign w:val="bottom"/>
            <w:tcBorders>
              <w:bottom w:val="single" w:sz="8" w:color="B6B6B6"/>
            </w:tcBorders>
          </w:tcPr>
          <w:p>
            <w:pPr>
              <w:jc w:val="center"/>
              <w:ind w:right="79"/>
              <w:spacing w:after="0"/>
              <w:rPr>
                <w:sz w:val="20"/>
                <w:szCs w:val="20"/>
                <w:color w:val="auto"/>
              </w:rPr>
            </w:pPr>
            <w:r>
              <w:rPr>
                <w:rFonts w:ascii="Arial" w:cs="Arial" w:eastAsia="Arial" w:hAnsi="Arial"/>
                <w:sz w:val="16"/>
                <w:szCs w:val="16"/>
                <w:color w:val="0D0E10"/>
                <w:w w:val="89"/>
              </w:rPr>
              <w:t>1</w:t>
            </w:r>
          </w:p>
        </w:tc>
        <w:tc>
          <w:tcPr>
            <w:tcW w:w="2080" w:type="dxa"/>
            <w:vAlign w:val="bottom"/>
            <w:tcBorders>
              <w:bottom w:val="single" w:sz="8" w:color="B6B6B6"/>
            </w:tcBorders>
          </w:tcPr>
          <w:p>
            <w:pPr>
              <w:jc w:val="center"/>
              <w:ind w:right="240"/>
              <w:spacing w:after="0"/>
              <w:rPr>
                <w:sz w:val="20"/>
                <w:szCs w:val="20"/>
                <w:color w:val="auto"/>
              </w:rPr>
            </w:pPr>
            <w:r>
              <w:rPr>
                <w:rFonts w:ascii="Arial" w:cs="Arial" w:eastAsia="Arial" w:hAnsi="Arial"/>
                <w:sz w:val="16"/>
                <w:szCs w:val="16"/>
                <w:color w:val="0D0E10"/>
                <w:w w:val="98"/>
              </w:rPr>
              <w:t>35,548</w:t>
            </w:r>
          </w:p>
        </w:tc>
      </w:tr>
      <w:tr>
        <w:trPr>
          <w:trHeight w:val="823"/>
        </w:trPr>
        <w:tc>
          <w:tcPr>
            <w:tcW w:w="4480" w:type="dxa"/>
            <w:vAlign w:val="bottom"/>
          </w:tcPr>
          <w:p>
            <w:pPr>
              <w:ind w:left="20"/>
              <w:spacing w:after="0"/>
              <w:rPr>
                <w:sz w:val="20"/>
                <w:szCs w:val="20"/>
                <w:color w:val="auto"/>
              </w:rPr>
            </w:pPr>
            <w:r>
              <w:rPr>
                <w:rFonts w:ascii="Arial" w:cs="Arial" w:eastAsia="Arial" w:hAnsi="Arial"/>
                <w:sz w:val="14"/>
                <w:szCs w:val="14"/>
                <w:color w:val="0D0E10"/>
              </w:rPr>
              <w:t>Asana</w:t>
            </w:r>
          </w:p>
        </w:tc>
        <w:tc>
          <w:tcPr>
            <w:tcW w:w="2200" w:type="dxa"/>
            <w:vAlign w:val="bottom"/>
          </w:tcPr>
          <w:p>
            <w:pPr>
              <w:jc w:val="right"/>
              <w:ind w:right="899"/>
              <w:spacing w:after="0"/>
              <w:rPr>
                <w:sz w:val="20"/>
                <w:szCs w:val="20"/>
                <w:color w:val="auto"/>
              </w:rPr>
            </w:pPr>
            <w:r>
              <w:rPr>
                <w:rFonts w:ascii="Arial" w:cs="Arial" w:eastAsia="Arial" w:hAnsi="Arial"/>
                <w:sz w:val="16"/>
                <w:szCs w:val="16"/>
                <w:b w:val="1"/>
                <w:bCs w:val="1"/>
                <w:color w:val="F06A6A"/>
              </w:rPr>
              <w:t>58</w:t>
            </w:r>
          </w:p>
        </w:tc>
        <w:tc>
          <w:tcPr>
            <w:tcW w:w="2480" w:type="dxa"/>
            <w:vAlign w:val="bottom"/>
          </w:tcPr>
          <w:p>
            <w:pPr>
              <w:spacing w:after="0"/>
              <w:rPr>
                <w:sz w:val="24"/>
                <w:szCs w:val="24"/>
                <w:color w:val="auto"/>
              </w:rPr>
            </w:pPr>
          </w:p>
        </w:tc>
        <w:tc>
          <w:tcPr>
            <w:tcW w:w="2080" w:type="dxa"/>
            <w:vAlign w:val="bottom"/>
          </w:tcPr>
          <w:p>
            <w:pPr>
              <w:ind w:left="640"/>
              <w:spacing w:after="0"/>
              <w:rPr>
                <w:sz w:val="20"/>
                <w:szCs w:val="20"/>
                <w:color w:val="auto"/>
              </w:rPr>
            </w:pPr>
            <w:r>
              <w:rPr>
                <w:rFonts w:ascii="Arial" w:cs="Arial" w:eastAsia="Arial" w:hAnsi="Arial"/>
                <w:sz w:val="14"/>
                <w:szCs w:val="14"/>
                <w:color w:val="0D0E10"/>
              </w:rPr>
              <w:t>2024 Proxy Statement</w:t>
            </w:r>
          </w:p>
        </w:tc>
      </w:tr>
      <w:tr>
        <w:trPr>
          <w:trHeight w:val="217"/>
        </w:trPr>
        <w:tc>
          <w:tcPr>
            <w:tcW w:w="448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2480" w:type="dxa"/>
            <w:vAlign w:val="bottom"/>
            <w:tcBorders>
              <w:bottom w:val="single" w:sz="8" w:color="9A9A9A"/>
            </w:tcBorders>
          </w:tcPr>
          <w:p>
            <w:pPr>
              <w:spacing w:after="0"/>
              <w:rPr>
                <w:sz w:val="18"/>
                <w:szCs w:val="18"/>
                <w:color w:val="auto"/>
              </w:rPr>
            </w:pPr>
          </w:p>
        </w:tc>
        <w:tc>
          <w:tcPr>
            <w:tcW w:w="20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3" w:name="page64"/>
    <w:bookmarkEnd w:id="63"/>
    <w:p>
      <w:pPr>
        <w:ind w:left="84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shd w:val="clear" w:color="auto" w:fill="EEEBEA"/>
          </w:tcPr>
          <w:p>
            <w:pPr>
              <w:spacing w:after="0"/>
              <w:rPr>
                <w:sz w:val="19"/>
                <w:szCs w:val="19"/>
                <w:color w:val="auto"/>
              </w:rPr>
            </w:pPr>
          </w:p>
        </w:tc>
        <w:tc>
          <w:tcPr>
            <w:tcW w:w="2200" w:type="dxa"/>
            <w:vAlign w:val="bottom"/>
            <w:shd w:val="clear" w:color="auto" w:fill="EEEBEA"/>
          </w:tcPr>
          <w:p>
            <w:pPr>
              <w:spacing w:after="0"/>
              <w:rPr>
                <w:sz w:val="19"/>
                <w:szCs w:val="19"/>
                <w:color w:val="auto"/>
              </w:rPr>
            </w:pPr>
          </w:p>
        </w:tc>
        <w:tc>
          <w:tcPr>
            <w:tcW w:w="2480" w:type="dxa"/>
            <w:vAlign w:val="bottom"/>
            <w:shd w:val="clear" w:color="auto" w:fill="EEEBEA"/>
          </w:tcPr>
          <w:p>
            <w:pPr>
              <w:jc w:val="center"/>
              <w:ind w:right="59"/>
              <w:spacing w:after="0"/>
              <w:rPr>
                <w:sz w:val="20"/>
                <w:szCs w:val="20"/>
                <w:color w:val="auto"/>
              </w:rPr>
            </w:pPr>
            <w:r>
              <w:rPr>
                <w:rFonts w:ascii="Arial" w:cs="Arial" w:eastAsia="Arial" w:hAnsi="Arial"/>
                <w:sz w:val="16"/>
                <w:szCs w:val="16"/>
                <w:b w:val="1"/>
                <w:bCs w:val="1"/>
                <w:color w:val="F06A6A"/>
              </w:rPr>
              <w:t>Base Salary + Target Annual</w:t>
            </w:r>
          </w:p>
        </w:tc>
        <w:tc>
          <w:tcPr>
            <w:tcW w:w="2080" w:type="dxa"/>
            <w:vAlign w:val="bottom"/>
            <w:shd w:val="clear" w:color="auto" w:fill="EEEBEA"/>
          </w:tcPr>
          <w:p>
            <w:pPr>
              <w:jc w:val="center"/>
              <w:ind w:right="239"/>
              <w:spacing w:after="0"/>
              <w:rPr>
                <w:sz w:val="20"/>
                <w:szCs w:val="20"/>
                <w:color w:val="auto"/>
              </w:rPr>
            </w:pPr>
            <w:r>
              <w:rPr>
                <w:rFonts w:ascii="Arial" w:cs="Arial" w:eastAsia="Arial" w:hAnsi="Arial"/>
                <w:sz w:val="16"/>
                <w:szCs w:val="16"/>
                <w:b w:val="1"/>
                <w:bCs w:val="1"/>
                <w:color w:val="F06A6A"/>
              </w:rPr>
              <w:t>Health Insurance</w:t>
            </w:r>
          </w:p>
        </w:tc>
      </w:tr>
      <w:tr>
        <w:trPr>
          <w:trHeight w:val="203"/>
        </w:trPr>
        <w:tc>
          <w:tcPr>
            <w:tcW w:w="4480" w:type="dxa"/>
            <w:vAlign w:val="bottom"/>
            <w:shd w:val="clear" w:color="auto" w:fill="EEEBEA"/>
          </w:tcPr>
          <w:p>
            <w:pPr>
              <w:spacing w:after="0"/>
              <w:rPr>
                <w:sz w:val="17"/>
                <w:szCs w:val="17"/>
                <w:color w:val="auto"/>
              </w:rPr>
            </w:pPr>
          </w:p>
        </w:tc>
        <w:tc>
          <w:tcPr>
            <w:tcW w:w="2200" w:type="dxa"/>
            <w:vAlign w:val="bottom"/>
            <w:shd w:val="clear" w:color="auto" w:fill="EEEBEA"/>
          </w:tcPr>
          <w:p>
            <w:pPr>
              <w:ind w:left="60"/>
              <w:spacing w:after="0"/>
              <w:rPr>
                <w:sz w:val="20"/>
                <w:szCs w:val="20"/>
                <w:color w:val="auto"/>
              </w:rPr>
            </w:pPr>
            <w:r>
              <w:rPr>
                <w:rFonts w:ascii="Arial" w:cs="Arial" w:eastAsia="Arial" w:hAnsi="Arial"/>
                <w:sz w:val="16"/>
                <w:szCs w:val="16"/>
                <w:b w:val="1"/>
                <w:bCs w:val="1"/>
                <w:color w:val="F06A6A"/>
              </w:rPr>
              <w:t>Accelerated Equity Awards</w:t>
            </w:r>
          </w:p>
        </w:tc>
        <w:tc>
          <w:tcPr>
            <w:tcW w:w="2480" w:type="dxa"/>
            <w:vAlign w:val="bottom"/>
            <w:shd w:val="clear" w:color="auto" w:fill="EEEBEA"/>
          </w:tcPr>
          <w:p>
            <w:pPr>
              <w:jc w:val="center"/>
              <w:ind w:right="59"/>
              <w:spacing w:after="0"/>
              <w:rPr>
                <w:sz w:val="20"/>
                <w:szCs w:val="20"/>
                <w:color w:val="auto"/>
              </w:rPr>
            </w:pPr>
            <w:r>
              <w:rPr>
                <w:rFonts w:ascii="Arial" w:cs="Arial" w:eastAsia="Arial" w:hAnsi="Arial"/>
                <w:sz w:val="16"/>
                <w:szCs w:val="16"/>
                <w:b w:val="1"/>
                <w:bCs w:val="1"/>
                <w:color w:val="F06A6A"/>
              </w:rPr>
              <w:t>Bonus</w:t>
            </w:r>
          </w:p>
        </w:tc>
        <w:tc>
          <w:tcPr>
            <w:tcW w:w="2080" w:type="dxa"/>
            <w:vAlign w:val="bottom"/>
            <w:shd w:val="clear" w:color="auto" w:fill="EEEBEA"/>
          </w:tcPr>
          <w:p>
            <w:pPr>
              <w:jc w:val="center"/>
              <w:ind w:right="239"/>
              <w:spacing w:after="0"/>
              <w:rPr>
                <w:sz w:val="20"/>
                <w:szCs w:val="20"/>
                <w:color w:val="auto"/>
              </w:rPr>
            </w:pPr>
            <w:r>
              <w:rPr>
                <w:rFonts w:ascii="Arial" w:cs="Arial" w:eastAsia="Arial" w:hAnsi="Arial"/>
                <w:sz w:val="16"/>
                <w:szCs w:val="16"/>
                <w:b w:val="1"/>
                <w:bCs w:val="1"/>
                <w:color w:val="F06A6A"/>
              </w:rPr>
              <w:t>Premiums</w:t>
            </w:r>
          </w:p>
        </w:tc>
      </w:tr>
      <w:tr>
        <w:trPr>
          <w:trHeight w:val="236"/>
        </w:trPr>
        <w:tc>
          <w:tcPr>
            <w:tcW w:w="448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Name</w:t>
            </w:r>
          </w:p>
        </w:tc>
        <w:tc>
          <w:tcPr>
            <w:tcW w:w="22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w:t>
            </w:r>
          </w:p>
        </w:tc>
        <w:tc>
          <w:tcPr>
            <w:tcW w:w="2480" w:type="dxa"/>
            <w:vAlign w:val="bottom"/>
            <w:shd w:val="clear" w:color="auto" w:fill="EEEBEA"/>
          </w:tcPr>
          <w:p>
            <w:pPr>
              <w:jc w:val="center"/>
              <w:ind w:right="79"/>
              <w:spacing w:after="0"/>
              <w:rPr>
                <w:sz w:val="20"/>
                <w:szCs w:val="20"/>
                <w:color w:val="auto"/>
              </w:rPr>
            </w:pPr>
            <w:r>
              <w:rPr>
                <w:rFonts w:ascii="Arial" w:cs="Arial" w:eastAsia="Arial" w:hAnsi="Arial"/>
                <w:sz w:val="16"/>
                <w:szCs w:val="16"/>
                <w:b w:val="1"/>
                <w:bCs w:val="1"/>
                <w:color w:val="F06A6A"/>
              </w:rPr>
              <w:t>($)</w:t>
            </w:r>
          </w:p>
        </w:tc>
        <w:tc>
          <w:tcPr>
            <w:tcW w:w="2080" w:type="dxa"/>
            <w:vAlign w:val="bottom"/>
            <w:shd w:val="clear" w:color="auto" w:fill="EEEBEA"/>
          </w:tcPr>
          <w:p>
            <w:pPr>
              <w:jc w:val="center"/>
              <w:ind w:right="239"/>
              <w:spacing w:after="0"/>
              <w:rPr>
                <w:sz w:val="20"/>
                <w:szCs w:val="20"/>
                <w:color w:val="auto"/>
              </w:rPr>
            </w:pPr>
            <w:r>
              <w:rPr>
                <w:rFonts w:ascii="Arial" w:cs="Arial" w:eastAsia="Arial" w:hAnsi="Arial"/>
                <w:sz w:val="16"/>
                <w:szCs w:val="16"/>
                <w:b w:val="1"/>
                <w:bCs w:val="1"/>
                <w:color w:val="F06A6A"/>
              </w:rPr>
              <w:t>($)</w:t>
            </w:r>
          </w:p>
        </w:tc>
      </w:tr>
      <w:tr>
        <w:trPr>
          <w:trHeight w:val="116"/>
        </w:trPr>
        <w:tc>
          <w:tcPr>
            <w:tcW w:w="4480" w:type="dxa"/>
            <w:vAlign w:val="bottom"/>
            <w:tcBorders>
              <w:bottom w:val="single" w:sz="8" w:color="B6B6B6"/>
            </w:tcBorders>
            <w:shd w:val="clear" w:color="auto" w:fill="EEEBEA"/>
          </w:tcPr>
          <w:p>
            <w:pPr>
              <w:spacing w:after="0"/>
              <w:rPr>
                <w:sz w:val="10"/>
                <w:szCs w:val="10"/>
                <w:color w:val="auto"/>
              </w:rPr>
            </w:pPr>
          </w:p>
        </w:tc>
        <w:tc>
          <w:tcPr>
            <w:tcW w:w="2200" w:type="dxa"/>
            <w:vAlign w:val="bottom"/>
            <w:tcBorders>
              <w:bottom w:val="single" w:sz="8" w:color="B6B6B6"/>
            </w:tcBorders>
            <w:shd w:val="clear" w:color="auto" w:fill="EEEBEA"/>
          </w:tcPr>
          <w:p>
            <w:pPr>
              <w:spacing w:after="0"/>
              <w:rPr>
                <w:sz w:val="10"/>
                <w:szCs w:val="10"/>
                <w:color w:val="auto"/>
              </w:rPr>
            </w:pPr>
          </w:p>
        </w:tc>
        <w:tc>
          <w:tcPr>
            <w:tcW w:w="2480" w:type="dxa"/>
            <w:vAlign w:val="bottom"/>
            <w:tcBorders>
              <w:bottom w:val="single" w:sz="8" w:color="B6B6B6"/>
            </w:tcBorders>
            <w:shd w:val="clear" w:color="auto" w:fill="EEEBEA"/>
          </w:tcPr>
          <w:p>
            <w:pPr>
              <w:spacing w:after="0"/>
              <w:rPr>
                <w:sz w:val="10"/>
                <w:szCs w:val="10"/>
                <w:color w:val="auto"/>
              </w:rPr>
            </w:pPr>
          </w:p>
        </w:tc>
        <w:tc>
          <w:tcPr>
            <w:tcW w:w="2080" w:type="dxa"/>
            <w:vAlign w:val="bottom"/>
            <w:tcBorders>
              <w:bottom w:val="single" w:sz="8" w:color="B6B6B6"/>
            </w:tcBorders>
            <w:shd w:val="clear" w:color="auto" w:fill="EEEBEA"/>
          </w:tcPr>
          <w:p>
            <w:pPr>
              <w:spacing w:after="0"/>
              <w:rPr>
                <w:sz w:val="10"/>
                <w:szCs w:val="10"/>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6"/>
                <w:szCs w:val="16"/>
                <w:b w:val="1"/>
                <w:bCs w:val="1"/>
                <w:color w:val="F06A6A"/>
              </w:rPr>
              <w:t>Tim Wan</w:t>
            </w:r>
          </w:p>
        </w:tc>
        <w:tc>
          <w:tcPr>
            <w:tcW w:w="2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4"/>
        </w:trPr>
        <w:tc>
          <w:tcPr>
            <w:tcW w:w="4480" w:type="dxa"/>
            <w:vAlign w:val="bottom"/>
            <w:tcBorders>
              <w:bottom w:val="single" w:sz="8" w:color="B6B6B6"/>
            </w:tcBorders>
          </w:tcPr>
          <w:p>
            <w:pPr>
              <w:spacing w:after="0"/>
              <w:rPr>
                <w:sz w:val="3"/>
                <w:szCs w:val="3"/>
                <w:color w:val="auto"/>
              </w:rPr>
            </w:pPr>
          </w:p>
        </w:tc>
        <w:tc>
          <w:tcPr>
            <w:tcW w:w="2200" w:type="dxa"/>
            <w:vAlign w:val="bottom"/>
            <w:tcBorders>
              <w:bottom w:val="single" w:sz="8" w:color="B6B6B6"/>
            </w:tcBorders>
          </w:tcPr>
          <w:p>
            <w:pPr>
              <w:spacing w:after="0"/>
              <w:rPr>
                <w:sz w:val="3"/>
                <w:szCs w:val="3"/>
                <w:color w:val="auto"/>
              </w:rPr>
            </w:pPr>
          </w:p>
        </w:tc>
        <w:tc>
          <w:tcPr>
            <w:tcW w:w="2480" w:type="dxa"/>
            <w:vAlign w:val="bottom"/>
            <w:tcBorders>
              <w:bottom w:val="single" w:sz="8" w:color="B6B6B6"/>
            </w:tcBorders>
          </w:tcPr>
          <w:p>
            <w:pPr>
              <w:spacing w:after="0"/>
              <w:rPr>
                <w:sz w:val="3"/>
                <w:szCs w:val="3"/>
                <w:color w:val="auto"/>
              </w:rPr>
            </w:pPr>
          </w:p>
        </w:tc>
        <w:tc>
          <w:tcPr>
            <w:tcW w:w="2080" w:type="dxa"/>
            <w:vAlign w:val="bottom"/>
            <w:tcBorders>
              <w:bottom w:val="single" w:sz="8" w:color="B6B6B6"/>
            </w:tcBorders>
          </w:tcPr>
          <w:p>
            <w:pPr>
              <w:spacing w:after="0"/>
              <w:rPr>
                <w:sz w:val="3"/>
                <w:szCs w:val="3"/>
                <w:color w:val="auto"/>
              </w:rPr>
            </w:pP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Corporate Transaction</w:t>
            </w:r>
            <w:r>
              <w:rPr>
                <w:rFonts w:ascii="Arial" w:cs="Arial" w:eastAsia="Arial" w:hAnsi="Arial"/>
                <w:sz w:val="21"/>
                <w:szCs w:val="21"/>
                <w:color w:val="0D0E10"/>
                <w:vertAlign w:val="superscript"/>
              </w:rPr>
              <w:t>(1)</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4,493,820</w:t>
            </w:r>
            <w:r>
              <w:rPr>
                <w:rFonts w:ascii="Arial" w:cs="Arial" w:eastAsia="Arial" w:hAnsi="Arial"/>
                <w:sz w:val="21"/>
                <w:szCs w:val="21"/>
                <w:color w:val="0D0E10"/>
                <w:w w:val="95"/>
                <w:vertAlign w:val="superscript"/>
              </w:rPr>
              <w:t>(4)</w:t>
            </w:r>
          </w:p>
        </w:tc>
        <w:tc>
          <w:tcPr>
            <w:tcW w:w="248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w w:val="89"/>
              </w:rPr>
              <w:t>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89"/>
              </w:rPr>
              <w:t>0</w:t>
            </w: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Termination outside Change in Control Period</w:t>
            </w:r>
            <w:r>
              <w:rPr>
                <w:rFonts w:ascii="Arial" w:cs="Arial" w:eastAsia="Arial" w:hAnsi="Arial"/>
                <w:sz w:val="21"/>
                <w:szCs w:val="21"/>
                <w:color w:val="0D0E10"/>
                <w:vertAlign w:val="superscript"/>
              </w:rPr>
              <w:t>(2)</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89"/>
              </w:rPr>
              <w:t>0</w:t>
            </w:r>
          </w:p>
        </w:tc>
        <w:tc>
          <w:tcPr>
            <w:tcW w:w="2480" w:type="dxa"/>
            <w:vAlign w:val="bottom"/>
            <w:tcBorders>
              <w:bottom w:val="single" w:sz="8" w:color="A5A4A3"/>
            </w:tcBorders>
          </w:tcPr>
          <w:p>
            <w:pPr>
              <w:jc w:val="center"/>
              <w:ind w:right="59"/>
              <w:spacing w:after="0"/>
              <w:rPr>
                <w:sz w:val="20"/>
                <w:szCs w:val="20"/>
                <w:color w:val="auto"/>
              </w:rPr>
            </w:pPr>
            <w:r>
              <w:rPr>
                <w:rFonts w:ascii="Arial" w:cs="Arial" w:eastAsia="Arial" w:hAnsi="Arial"/>
                <w:sz w:val="16"/>
                <w:szCs w:val="16"/>
                <w:color w:val="0D0E10"/>
              </w:rPr>
              <w:t>236,667</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99"/>
              </w:rPr>
              <w:t>8,069</w:t>
            </w: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Termination within Change in Control Period</w:t>
            </w:r>
            <w:r>
              <w:rPr>
                <w:rFonts w:ascii="Arial" w:cs="Arial" w:eastAsia="Arial" w:hAnsi="Arial"/>
                <w:sz w:val="21"/>
                <w:szCs w:val="21"/>
                <w:color w:val="0D0E10"/>
                <w:vertAlign w:val="superscript"/>
              </w:rPr>
              <w:t>(3)</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4,493,820</w:t>
            </w:r>
            <w:r>
              <w:rPr>
                <w:rFonts w:ascii="Arial" w:cs="Arial" w:eastAsia="Arial" w:hAnsi="Arial"/>
                <w:sz w:val="21"/>
                <w:szCs w:val="21"/>
                <w:color w:val="0D0E10"/>
                <w:w w:val="95"/>
                <w:vertAlign w:val="superscript"/>
              </w:rPr>
              <w:t>(4)</w:t>
            </w:r>
          </w:p>
        </w:tc>
        <w:tc>
          <w:tcPr>
            <w:tcW w:w="2480" w:type="dxa"/>
            <w:vAlign w:val="bottom"/>
            <w:tcBorders>
              <w:bottom w:val="single" w:sz="8" w:color="A5A4A3"/>
            </w:tcBorders>
          </w:tcPr>
          <w:p>
            <w:pPr>
              <w:jc w:val="center"/>
              <w:ind w:right="59"/>
              <w:spacing w:after="0"/>
              <w:rPr>
                <w:sz w:val="20"/>
                <w:szCs w:val="20"/>
                <w:color w:val="auto"/>
              </w:rPr>
            </w:pPr>
            <w:r>
              <w:rPr>
                <w:rFonts w:ascii="Arial" w:cs="Arial" w:eastAsia="Arial" w:hAnsi="Arial"/>
                <w:sz w:val="16"/>
                <w:szCs w:val="16"/>
                <w:color w:val="0D0E10"/>
              </w:rPr>
              <w:t>710,000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98"/>
              </w:rPr>
              <w:t>24,207</w:t>
            </w:r>
          </w:p>
        </w:tc>
      </w:tr>
      <w:tr>
        <w:trPr>
          <w:trHeight w:val="229"/>
        </w:trPr>
        <w:tc>
          <w:tcPr>
            <w:tcW w:w="4480" w:type="dxa"/>
            <w:vAlign w:val="bottom"/>
          </w:tcPr>
          <w:p>
            <w:pPr>
              <w:ind w:left="100"/>
              <w:spacing w:after="0"/>
              <w:rPr>
                <w:sz w:val="20"/>
                <w:szCs w:val="20"/>
                <w:color w:val="auto"/>
              </w:rPr>
            </w:pPr>
            <w:r>
              <w:rPr>
                <w:rFonts w:ascii="Arial" w:cs="Arial" w:eastAsia="Arial" w:hAnsi="Arial"/>
                <w:sz w:val="16"/>
                <w:szCs w:val="16"/>
                <w:b w:val="1"/>
                <w:bCs w:val="1"/>
                <w:color w:val="F06A6A"/>
              </w:rPr>
              <w:t>Eleanor Lacey</w:t>
            </w:r>
          </w:p>
        </w:tc>
        <w:tc>
          <w:tcPr>
            <w:tcW w:w="2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4"/>
        </w:trPr>
        <w:tc>
          <w:tcPr>
            <w:tcW w:w="4480" w:type="dxa"/>
            <w:vAlign w:val="bottom"/>
            <w:tcBorders>
              <w:bottom w:val="single" w:sz="8" w:color="A5A4A3"/>
            </w:tcBorders>
          </w:tcPr>
          <w:p>
            <w:pPr>
              <w:spacing w:after="0"/>
              <w:rPr>
                <w:sz w:val="3"/>
                <w:szCs w:val="3"/>
                <w:color w:val="auto"/>
              </w:rPr>
            </w:pPr>
          </w:p>
        </w:tc>
        <w:tc>
          <w:tcPr>
            <w:tcW w:w="2200" w:type="dxa"/>
            <w:vAlign w:val="bottom"/>
            <w:tcBorders>
              <w:bottom w:val="single" w:sz="8" w:color="A5A4A3"/>
            </w:tcBorders>
          </w:tcPr>
          <w:p>
            <w:pPr>
              <w:spacing w:after="0"/>
              <w:rPr>
                <w:sz w:val="3"/>
                <w:szCs w:val="3"/>
                <w:color w:val="auto"/>
              </w:rPr>
            </w:pPr>
          </w:p>
        </w:tc>
        <w:tc>
          <w:tcPr>
            <w:tcW w:w="2480" w:type="dxa"/>
            <w:vAlign w:val="bottom"/>
            <w:tcBorders>
              <w:bottom w:val="single" w:sz="8" w:color="A5A4A3"/>
            </w:tcBorders>
          </w:tcPr>
          <w:p>
            <w:pPr>
              <w:spacing w:after="0"/>
              <w:rPr>
                <w:sz w:val="3"/>
                <w:szCs w:val="3"/>
                <w:color w:val="auto"/>
              </w:rPr>
            </w:pPr>
          </w:p>
        </w:tc>
        <w:tc>
          <w:tcPr>
            <w:tcW w:w="2080" w:type="dxa"/>
            <w:vAlign w:val="bottom"/>
            <w:tcBorders>
              <w:bottom w:val="single" w:sz="8" w:color="A5A4A3"/>
            </w:tcBorders>
          </w:tcPr>
          <w:p>
            <w:pPr>
              <w:spacing w:after="0"/>
              <w:rPr>
                <w:sz w:val="3"/>
                <w:szCs w:val="3"/>
                <w:color w:val="auto"/>
              </w:rPr>
            </w:pP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Corporate Transaction</w:t>
            </w:r>
            <w:r>
              <w:rPr>
                <w:rFonts w:ascii="Arial" w:cs="Arial" w:eastAsia="Arial" w:hAnsi="Arial"/>
                <w:sz w:val="21"/>
                <w:szCs w:val="21"/>
                <w:color w:val="0D0E10"/>
                <w:vertAlign w:val="superscript"/>
              </w:rPr>
              <w:t>(1)</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1,810,914</w:t>
            </w:r>
            <w:r>
              <w:rPr>
                <w:rFonts w:ascii="Arial" w:cs="Arial" w:eastAsia="Arial" w:hAnsi="Arial"/>
                <w:sz w:val="21"/>
                <w:szCs w:val="21"/>
                <w:color w:val="0D0E10"/>
                <w:w w:val="95"/>
                <w:vertAlign w:val="superscript"/>
              </w:rPr>
              <w:t>(5)</w:t>
            </w:r>
          </w:p>
        </w:tc>
        <w:tc>
          <w:tcPr>
            <w:tcW w:w="248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w w:val="89"/>
              </w:rPr>
              <w:t>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89"/>
              </w:rPr>
              <w:t>0</w:t>
            </w: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Termination outside Change in Control Period</w:t>
            </w:r>
            <w:r>
              <w:rPr>
                <w:rFonts w:ascii="Arial" w:cs="Arial" w:eastAsia="Arial" w:hAnsi="Arial"/>
                <w:sz w:val="21"/>
                <w:szCs w:val="21"/>
                <w:color w:val="0D0E10"/>
                <w:vertAlign w:val="superscript"/>
              </w:rPr>
              <w:t>(2)</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89"/>
              </w:rPr>
              <w:t>0</w:t>
            </w:r>
          </w:p>
        </w:tc>
        <w:tc>
          <w:tcPr>
            <w:tcW w:w="2480" w:type="dxa"/>
            <w:vAlign w:val="bottom"/>
            <w:tcBorders>
              <w:bottom w:val="single" w:sz="8" w:color="A5A4A3"/>
            </w:tcBorders>
          </w:tcPr>
          <w:p>
            <w:pPr>
              <w:jc w:val="center"/>
              <w:ind w:right="59"/>
              <w:spacing w:after="0"/>
              <w:rPr>
                <w:sz w:val="20"/>
                <w:szCs w:val="20"/>
                <w:color w:val="auto"/>
              </w:rPr>
            </w:pPr>
            <w:r>
              <w:rPr>
                <w:rFonts w:ascii="Arial" w:cs="Arial" w:eastAsia="Arial" w:hAnsi="Arial"/>
                <w:sz w:val="16"/>
                <w:szCs w:val="16"/>
                <w:color w:val="0D0E10"/>
              </w:rPr>
              <w:t>175,000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98"/>
              </w:rPr>
              <w:t>11,849</w:t>
            </w: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Termination within Change in Control Period</w:t>
            </w:r>
            <w:r>
              <w:rPr>
                <w:rFonts w:ascii="Arial" w:cs="Arial" w:eastAsia="Arial" w:hAnsi="Arial"/>
                <w:sz w:val="21"/>
                <w:szCs w:val="21"/>
                <w:color w:val="0D0E10"/>
                <w:vertAlign w:val="superscript"/>
              </w:rPr>
              <w:t>(3)</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1,810,914</w:t>
            </w:r>
            <w:r>
              <w:rPr>
                <w:rFonts w:ascii="Arial" w:cs="Arial" w:eastAsia="Arial" w:hAnsi="Arial"/>
                <w:sz w:val="21"/>
                <w:szCs w:val="21"/>
                <w:color w:val="0D0E10"/>
                <w:w w:val="95"/>
                <w:vertAlign w:val="superscript"/>
              </w:rPr>
              <w:t>(5)</w:t>
            </w:r>
          </w:p>
        </w:tc>
        <w:tc>
          <w:tcPr>
            <w:tcW w:w="2480" w:type="dxa"/>
            <w:vAlign w:val="bottom"/>
            <w:tcBorders>
              <w:bottom w:val="single" w:sz="8" w:color="A5A4A3"/>
            </w:tcBorders>
          </w:tcPr>
          <w:p>
            <w:pPr>
              <w:jc w:val="center"/>
              <w:ind w:right="59"/>
              <w:spacing w:after="0"/>
              <w:rPr>
                <w:sz w:val="20"/>
                <w:szCs w:val="20"/>
                <w:color w:val="auto"/>
              </w:rPr>
            </w:pPr>
            <w:r>
              <w:rPr>
                <w:rFonts w:ascii="Arial" w:cs="Arial" w:eastAsia="Arial" w:hAnsi="Arial"/>
                <w:sz w:val="16"/>
                <w:szCs w:val="16"/>
                <w:color w:val="0D0E10"/>
              </w:rPr>
              <w:t>525,000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98"/>
              </w:rPr>
              <w:t>35,548</w:t>
            </w:r>
          </w:p>
        </w:tc>
      </w:tr>
      <w:tr>
        <w:trPr>
          <w:trHeight w:val="229"/>
        </w:trPr>
        <w:tc>
          <w:tcPr>
            <w:tcW w:w="4480" w:type="dxa"/>
            <w:vAlign w:val="bottom"/>
          </w:tcPr>
          <w:p>
            <w:pPr>
              <w:ind w:left="100"/>
              <w:spacing w:after="0"/>
              <w:rPr>
                <w:sz w:val="20"/>
                <w:szCs w:val="20"/>
                <w:color w:val="auto"/>
              </w:rPr>
            </w:pPr>
            <w:r>
              <w:rPr>
                <w:rFonts w:ascii="Arial" w:cs="Arial" w:eastAsia="Arial" w:hAnsi="Arial"/>
                <w:sz w:val="16"/>
                <w:szCs w:val="16"/>
                <w:b w:val="1"/>
                <w:bCs w:val="1"/>
                <w:color w:val="F06A6A"/>
              </w:rPr>
              <w:t>Anne Raimondi</w:t>
            </w:r>
          </w:p>
        </w:tc>
        <w:tc>
          <w:tcPr>
            <w:tcW w:w="2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4"/>
        </w:trPr>
        <w:tc>
          <w:tcPr>
            <w:tcW w:w="4480" w:type="dxa"/>
            <w:vAlign w:val="bottom"/>
            <w:tcBorders>
              <w:bottom w:val="single" w:sz="8" w:color="A5A4A3"/>
            </w:tcBorders>
          </w:tcPr>
          <w:p>
            <w:pPr>
              <w:spacing w:after="0"/>
              <w:rPr>
                <w:sz w:val="3"/>
                <w:szCs w:val="3"/>
                <w:color w:val="auto"/>
              </w:rPr>
            </w:pPr>
          </w:p>
        </w:tc>
        <w:tc>
          <w:tcPr>
            <w:tcW w:w="2200" w:type="dxa"/>
            <w:vAlign w:val="bottom"/>
            <w:tcBorders>
              <w:bottom w:val="single" w:sz="8" w:color="A5A4A3"/>
            </w:tcBorders>
          </w:tcPr>
          <w:p>
            <w:pPr>
              <w:spacing w:after="0"/>
              <w:rPr>
                <w:sz w:val="3"/>
                <w:szCs w:val="3"/>
                <w:color w:val="auto"/>
              </w:rPr>
            </w:pPr>
          </w:p>
        </w:tc>
        <w:tc>
          <w:tcPr>
            <w:tcW w:w="2480" w:type="dxa"/>
            <w:vAlign w:val="bottom"/>
            <w:tcBorders>
              <w:bottom w:val="single" w:sz="8" w:color="A5A4A3"/>
            </w:tcBorders>
          </w:tcPr>
          <w:p>
            <w:pPr>
              <w:spacing w:after="0"/>
              <w:rPr>
                <w:sz w:val="3"/>
                <w:szCs w:val="3"/>
                <w:color w:val="auto"/>
              </w:rPr>
            </w:pPr>
          </w:p>
        </w:tc>
        <w:tc>
          <w:tcPr>
            <w:tcW w:w="2080" w:type="dxa"/>
            <w:vAlign w:val="bottom"/>
            <w:tcBorders>
              <w:bottom w:val="single" w:sz="8" w:color="A5A4A3"/>
            </w:tcBorders>
          </w:tcPr>
          <w:p>
            <w:pPr>
              <w:spacing w:after="0"/>
              <w:rPr>
                <w:sz w:val="3"/>
                <w:szCs w:val="3"/>
                <w:color w:val="auto"/>
              </w:rPr>
            </w:pP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Corporate Transaction</w:t>
            </w:r>
            <w:r>
              <w:rPr>
                <w:rFonts w:ascii="Arial" w:cs="Arial" w:eastAsia="Arial" w:hAnsi="Arial"/>
                <w:sz w:val="21"/>
                <w:szCs w:val="21"/>
                <w:color w:val="0D0E10"/>
                <w:vertAlign w:val="superscript"/>
              </w:rPr>
              <w:t>(1)</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4,359,216</w:t>
            </w:r>
            <w:r>
              <w:rPr>
                <w:rFonts w:ascii="Arial" w:cs="Arial" w:eastAsia="Arial" w:hAnsi="Arial"/>
                <w:sz w:val="21"/>
                <w:szCs w:val="21"/>
                <w:color w:val="0D0E10"/>
                <w:w w:val="95"/>
                <w:vertAlign w:val="superscript"/>
              </w:rPr>
              <w:t>(6)</w:t>
            </w:r>
          </w:p>
        </w:tc>
        <w:tc>
          <w:tcPr>
            <w:tcW w:w="2480" w:type="dxa"/>
            <w:vAlign w:val="bottom"/>
            <w:tcBorders>
              <w:bottom w:val="single" w:sz="8" w:color="A5A4A3"/>
            </w:tcBorders>
          </w:tcPr>
          <w:p>
            <w:pPr>
              <w:jc w:val="center"/>
              <w:ind w:right="79"/>
              <w:spacing w:after="0"/>
              <w:rPr>
                <w:sz w:val="20"/>
                <w:szCs w:val="20"/>
                <w:color w:val="auto"/>
              </w:rPr>
            </w:pPr>
            <w:r>
              <w:rPr>
                <w:rFonts w:ascii="Arial" w:cs="Arial" w:eastAsia="Arial" w:hAnsi="Arial"/>
                <w:sz w:val="16"/>
                <w:szCs w:val="16"/>
                <w:color w:val="0D0E10"/>
                <w:w w:val="89"/>
              </w:rPr>
              <w:t>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89"/>
              </w:rPr>
              <w:t>0</w:t>
            </w: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Termination outside Change in Control Period</w:t>
            </w:r>
            <w:r>
              <w:rPr>
                <w:rFonts w:ascii="Arial" w:cs="Arial" w:eastAsia="Arial" w:hAnsi="Arial"/>
                <w:sz w:val="21"/>
                <w:szCs w:val="21"/>
                <w:color w:val="0D0E10"/>
                <w:vertAlign w:val="superscript"/>
              </w:rPr>
              <w:t>(2)</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89"/>
              </w:rPr>
              <w:t>0</w:t>
            </w:r>
          </w:p>
        </w:tc>
        <w:tc>
          <w:tcPr>
            <w:tcW w:w="2480" w:type="dxa"/>
            <w:vAlign w:val="bottom"/>
            <w:tcBorders>
              <w:bottom w:val="single" w:sz="8" w:color="A5A4A3"/>
            </w:tcBorders>
          </w:tcPr>
          <w:p>
            <w:pPr>
              <w:jc w:val="center"/>
              <w:ind w:right="59"/>
              <w:spacing w:after="0"/>
              <w:rPr>
                <w:sz w:val="20"/>
                <w:szCs w:val="20"/>
                <w:color w:val="auto"/>
              </w:rPr>
            </w:pPr>
            <w:r>
              <w:rPr>
                <w:rFonts w:ascii="Arial" w:cs="Arial" w:eastAsia="Arial" w:hAnsi="Arial"/>
                <w:sz w:val="16"/>
                <w:szCs w:val="16"/>
                <w:color w:val="0D0E10"/>
              </w:rPr>
              <w:t>250,000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98"/>
              </w:rPr>
              <w:t>11,849</w:t>
            </w:r>
          </w:p>
        </w:tc>
      </w:tr>
      <w:tr>
        <w:trPr>
          <w:trHeight w:val="250"/>
        </w:trPr>
        <w:tc>
          <w:tcPr>
            <w:tcW w:w="448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Termination within Change in Control Period</w:t>
            </w:r>
            <w:r>
              <w:rPr>
                <w:rFonts w:ascii="Arial" w:cs="Arial" w:eastAsia="Arial" w:hAnsi="Arial"/>
                <w:sz w:val="21"/>
                <w:szCs w:val="21"/>
                <w:color w:val="0D0E10"/>
                <w:vertAlign w:val="superscript"/>
              </w:rPr>
              <w:t>(3)</w:t>
            </w:r>
          </w:p>
        </w:tc>
        <w:tc>
          <w:tcPr>
            <w:tcW w:w="2200" w:type="dxa"/>
            <w:vAlign w:val="bottom"/>
            <w:tcBorders>
              <w:bottom w:val="single" w:sz="8" w:color="A5A4A3"/>
            </w:tcBorders>
          </w:tcPr>
          <w:p>
            <w:pPr>
              <w:jc w:val="center"/>
              <w:spacing w:after="0"/>
              <w:rPr>
                <w:sz w:val="20"/>
                <w:szCs w:val="20"/>
                <w:color w:val="auto"/>
              </w:rPr>
            </w:pPr>
            <w:r>
              <w:rPr>
                <w:rFonts w:ascii="Arial" w:cs="Arial" w:eastAsia="Arial" w:hAnsi="Arial"/>
                <w:sz w:val="16"/>
                <w:szCs w:val="16"/>
                <w:color w:val="0D0E10"/>
                <w:w w:val="95"/>
              </w:rPr>
              <w:t>4,359,216</w:t>
            </w:r>
            <w:r>
              <w:rPr>
                <w:rFonts w:ascii="Arial" w:cs="Arial" w:eastAsia="Arial" w:hAnsi="Arial"/>
                <w:sz w:val="21"/>
                <w:szCs w:val="21"/>
                <w:color w:val="0D0E10"/>
                <w:w w:val="95"/>
                <w:vertAlign w:val="superscript"/>
              </w:rPr>
              <w:t>(6)</w:t>
            </w:r>
          </w:p>
        </w:tc>
        <w:tc>
          <w:tcPr>
            <w:tcW w:w="2480" w:type="dxa"/>
            <w:vAlign w:val="bottom"/>
            <w:tcBorders>
              <w:bottom w:val="single" w:sz="8" w:color="A5A4A3"/>
            </w:tcBorders>
          </w:tcPr>
          <w:p>
            <w:pPr>
              <w:jc w:val="center"/>
              <w:ind w:right="59"/>
              <w:spacing w:after="0"/>
              <w:rPr>
                <w:sz w:val="20"/>
                <w:szCs w:val="20"/>
                <w:color w:val="auto"/>
              </w:rPr>
            </w:pPr>
            <w:r>
              <w:rPr>
                <w:rFonts w:ascii="Arial" w:cs="Arial" w:eastAsia="Arial" w:hAnsi="Arial"/>
                <w:sz w:val="16"/>
                <w:szCs w:val="16"/>
                <w:color w:val="0D0E10"/>
              </w:rPr>
              <w:t>750,000</w:t>
            </w:r>
          </w:p>
        </w:tc>
        <w:tc>
          <w:tcPr>
            <w:tcW w:w="2080" w:type="dxa"/>
            <w:vAlign w:val="bottom"/>
            <w:tcBorders>
              <w:bottom w:val="single" w:sz="8" w:color="A5A4A3"/>
            </w:tcBorders>
          </w:tcPr>
          <w:p>
            <w:pPr>
              <w:jc w:val="center"/>
              <w:ind w:right="239"/>
              <w:spacing w:after="0"/>
              <w:rPr>
                <w:sz w:val="20"/>
                <w:szCs w:val="20"/>
                <w:color w:val="auto"/>
              </w:rPr>
            </w:pPr>
            <w:r>
              <w:rPr>
                <w:rFonts w:ascii="Arial" w:cs="Arial" w:eastAsia="Arial" w:hAnsi="Arial"/>
                <w:sz w:val="16"/>
                <w:szCs w:val="16"/>
                <w:color w:val="0D0E10"/>
                <w:w w:val="98"/>
              </w:rPr>
              <w:t>35,548</w:t>
            </w:r>
          </w:p>
        </w:tc>
      </w:tr>
    </w:tbl>
    <w:p>
      <w:pPr>
        <w:spacing w:after="0" w:line="203" w:lineRule="exact"/>
        <w:rPr>
          <w:sz w:val="20"/>
          <w:szCs w:val="20"/>
          <w:color w:val="auto"/>
        </w:rPr>
      </w:pPr>
    </w:p>
    <w:p>
      <w:pPr>
        <w:ind w:left="340" w:right="20" w:hanging="332"/>
        <w:spacing w:after="0" w:line="301" w:lineRule="auto"/>
        <w:tabs>
          <w:tab w:leader="none" w:pos="343" w:val="left"/>
        </w:tabs>
        <w:numPr>
          <w:ilvl w:val="0"/>
          <w:numId w:val="51"/>
        </w:numPr>
        <w:rPr>
          <w:rFonts w:ascii="Arial" w:cs="Arial" w:eastAsia="Arial" w:hAnsi="Arial"/>
          <w:sz w:val="13"/>
          <w:szCs w:val="13"/>
          <w:color w:val="0D0E10"/>
        </w:rPr>
      </w:pPr>
      <w:r>
        <w:rPr>
          <w:rFonts w:ascii="Arial" w:cs="Arial" w:eastAsia="Arial" w:hAnsi="Arial"/>
          <w:sz w:val="13"/>
          <w:szCs w:val="13"/>
          <w:color w:val="0D0E10"/>
        </w:rPr>
        <w:t>Assumes full acceleration of the NEO’s unvested equity awards granted under our 2020 Equity Incentive Plan, as of January 31, 2024 and as a result of a “corporate transaction,” as defined in our 2020 Equity Incentive Plan, in which the surviving corporation does not assume or continue the outstanding awards or substitute similar awards for such outstanding awards. The value realized on vesting does not reflect the actual value received by each NEO because a portion of the shares will be withheld at settlement by us to satisfy the NEO’s tax withholding obligations. Amounts are rounded to the nearest whole dollar. Amounts do not include the value of shares of our Class A common stock underlying RSUs that vested prior to January 31, 2024, but remained subject to a holding period. For the value of such shares, please see the section entitled “Nonqualified Deferred Compensation Table for Fiscal Year 2024.</w:t>
      </w:r>
    </w:p>
    <w:p>
      <w:pPr>
        <w:spacing w:after="0" w:line="210" w:lineRule="exact"/>
        <w:rPr>
          <w:rFonts w:ascii="Arial" w:cs="Arial" w:eastAsia="Arial" w:hAnsi="Arial"/>
          <w:sz w:val="13"/>
          <w:szCs w:val="13"/>
          <w:color w:val="0D0E10"/>
        </w:rPr>
      </w:pPr>
    </w:p>
    <w:p>
      <w:pPr>
        <w:ind w:left="340" w:right="40" w:hanging="332"/>
        <w:spacing w:after="0" w:line="303" w:lineRule="auto"/>
        <w:tabs>
          <w:tab w:leader="none" w:pos="343" w:val="left"/>
        </w:tabs>
        <w:numPr>
          <w:ilvl w:val="0"/>
          <w:numId w:val="51"/>
        </w:numPr>
        <w:rPr>
          <w:rFonts w:ascii="Arial" w:cs="Arial" w:eastAsia="Arial" w:hAnsi="Arial"/>
          <w:sz w:val="13"/>
          <w:szCs w:val="13"/>
          <w:color w:val="0D0E10"/>
        </w:rPr>
      </w:pPr>
      <w:r>
        <w:rPr>
          <w:rFonts w:ascii="Arial" w:cs="Arial" w:eastAsia="Arial" w:hAnsi="Arial"/>
          <w:sz w:val="13"/>
          <w:szCs w:val="13"/>
          <w:color w:val="0D0E10"/>
        </w:rPr>
        <w:t>Represents the amounts the NEO would have received pursuant to the Executive Severance Plan in the event of a "Covered Termination" (as defined in the Executive Severance Plan) on January 31, 2024 assuming that such Covered Termination took place outside of a "Change in Control Period" (as defined in the Executive Severance Plan).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spacing w:after="0" w:line="28" w:lineRule="exact"/>
        <w:rPr>
          <w:rFonts w:ascii="Arial" w:cs="Arial" w:eastAsia="Arial" w:hAnsi="Arial"/>
          <w:sz w:val="13"/>
          <w:szCs w:val="13"/>
          <w:color w:val="0D0E10"/>
        </w:rPr>
      </w:pPr>
    </w:p>
    <w:p>
      <w:pPr>
        <w:ind w:left="340" w:right="40" w:hanging="332"/>
        <w:spacing w:after="0" w:line="303" w:lineRule="auto"/>
        <w:tabs>
          <w:tab w:leader="none" w:pos="343" w:val="left"/>
        </w:tabs>
        <w:numPr>
          <w:ilvl w:val="0"/>
          <w:numId w:val="51"/>
        </w:numPr>
        <w:rPr>
          <w:rFonts w:ascii="Arial" w:cs="Arial" w:eastAsia="Arial" w:hAnsi="Arial"/>
          <w:sz w:val="13"/>
          <w:szCs w:val="13"/>
          <w:color w:val="0D0E10"/>
        </w:rPr>
      </w:pPr>
      <w:r>
        <w:rPr>
          <w:rFonts w:ascii="Arial" w:cs="Arial" w:eastAsia="Arial" w:hAnsi="Arial"/>
          <w:sz w:val="13"/>
          <w:szCs w:val="13"/>
          <w:color w:val="0D0E10"/>
        </w:rPr>
        <w:t>Represents the amounts the NEO would have received pursuant to the Executive Severance Plan in the event of a "Covered Termination" (as defined in the Executive Severance Plan) on January 31, 2024 assuming that such Covered Termination took place during a "Change in Control Period" (as defined in the Executive Severance Plan). With respect to vesting of shares underlying RSUs, the value realized on vesting does not reflect the actual value received by each NEO because a portion of the shares will be withheld at settlement by us to satisfy the NEO’s tax withholding obligations. Amounts are rounded to the nearest whole dollar.</w:t>
      </w:r>
    </w:p>
    <w:p>
      <w:pPr>
        <w:spacing w:after="0" w:line="28" w:lineRule="exact"/>
        <w:rPr>
          <w:rFonts w:ascii="Arial" w:cs="Arial" w:eastAsia="Arial" w:hAnsi="Arial"/>
          <w:sz w:val="13"/>
          <w:szCs w:val="13"/>
          <w:color w:val="0D0E10"/>
        </w:rPr>
      </w:pPr>
    </w:p>
    <w:p>
      <w:pPr>
        <w:ind w:left="340" w:right="20" w:hanging="332"/>
        <w:spacing w:after="0" w:line="303" w:lineRule="auto"/>
        <w:tabs>
          <w:tab w:leader="none" w:pos="343" w:val="left"/>
        </w:tabs>
        <w:numPr>
          <w:ilvl w:val="0"/>
          <w:numId w:val="51"/>
        </w:numPr>
        <w:rPr>
          <w:rFonts w:ascii="Arial" w:cs="Arial" w:eastAsia="Arial" w:hAnsi="Arial"/>
          <w:sz w:val="13"/>
          <w:szCs w:val="13"/>
          <w:color w:val="0D0E10"/>
        </w:rPr>
      </w:pPr>
      <w:r>
        <w:rPr>
          <w:rFonts w:ascii="Arial" w:cs="Arial" w:eastAsia="Arial" w:hAnsi="Arial"/>
          <w:sz w:val="13"/>
          <w:szCs w:val="13"/>
          <w:color w:val="0D0E10"/>
        </w:rPr>
        <w:t>Assumes full acceleration of Mr. Wan's unvested equity awards as of January 31, 2024. Represents the dollar value of 257,969 shares of our Class A common stock underlying RSUs. The amount reported was calculated using the closing price of one share of our Class A common stock on January 31, 2024 ($17.42). The amount reported does not include the value of shares of our Class A common stock underlying Mr. Wan’s RSUs that vested prior to January 31, 2024, but remained subject to a holding period. For the value of such shares, please see the section entitled “Nonqualified Deferred Compensation Table for Fiscal Year 2024.”</w:t>
      </w:r>
    </w:p>
    <w:p>
      <w:pPr>
        <w:spacing w:after="0" w:line="28" w:lineRule="exact"/>
        <w:rPr>
          <w:rFonts w:ascii="Arial" w:cs="Arial" w:eastAsia="Arial" w:hAnsi="Arial"/>
          <w:sz w:val="13"/>
          <w:szCs w:val="13"/>
          <w:color w:val="0D0E10"/>
        </w:rPr>
      </w:pPr>
    </w:p>
    <w:p>
      <w:pPr>
        <w:ind w:left="340" w:right="120" w:hanging="332"/>
        <w:spacing w:after="0" w:line="303" w:lineRule="auto"/>
        <w:tabs>
          <w:tab w:leader="none" w:pos="343" w:val="left"/>
        </w:tabs>
        <w:numPr>
          <w:ilvl w:val="0"/>
          <w:numId w:val="51"/>
        </w:numPr>
        <w:rPr>
          <w:rFonts w:ascii="Arial" w:cs="Arial" w:eastAsia="Arial" w:hAnsi="Arial"/>
          <w:sz w:val="13"/>
          <w:szCs w:val="13"/>
          <w:color w:val="0D0E10"/>
        </w:rPr>
      </w:pPr>
      <w:r>
        <w:rPr>
          <w:rFonts w:ascii="Arial" w:cs="Arial" w:eastAsia="Arial" w:hAnsi="Arial"/>
          <w:sz w:val="13"/>
          <w:szCs w:val="13"/>
          <w:color w:val="0D0E10"/>
        </w:rPr>
        <w:t>Assumes full acceleration of Ms. Lacey's unvested equity awards as of January 31, 2024. Represents the dollar value of 103,956 shares of our Class A common stock underlying RSUs. The amount reported was calculated using the closing price of one share of our Class A common stock on January 31, 2024 ($17.42). The amount reported does not include the value of shares of our Class A common stock underlying Ms. Lacey’s RSUs that vested prior to January 31, 2024, but remained subject to a holding period. For the value of such shares, please see the section entitled “Nonqualified Deferred Compensation Table for Fiscal Year 2024.”</w:t>
      </w:r>
    </w:p>
    <w:p>
      <w:pPr>
        <w:spacing w:after="0" w:line="28" w:lineRule="exact"/>
        <w:rPr>
          <w:rFonts w:ascii="Arial" w:cs="Arial" w:eastAsia="Arial" w:hAnsi="Arial"/>
          <w:sz w:val="13"/>
          <w:szCs w:val="13"/>
          <w:color w:val="0D0E10"/>
        </w:rPr>
      </w:pPr>
    </w:p>
    <w:p>
      <w:pPr>
        <w:ind w:left="340" w:right="120" w:hanging="332"/>
        <w:spacing w:after="0" w:line="303" w:lineRule="auto"/>
        <w:tabs>
          <w:tab w:leader="none" w:pos="343" w:val="left"/>
        </w:tabs>
        <w:numPr>
          <w:ilvl w:val="0"/>
          <w:numId w:val="51"/>
        </w:numPr>
        <w:rPr>
          <w:rFonts w:ascii="Arial" w:cs="Arial" w:eastAsia="Arial" w:hAnsi="Arial"/>
          <w:sz w:val="13"/>
          <w:szCs w:val="13"/>
          <w:color w:val="0D0E10"/>
        </w:rPr>
      </w:pPr>
      <w:r>
        <w:rPr>
          <w:rFonts w:ascii="Arial" w:cs="Arial" w:eastAsia="Arial" w:hAnsi="Arial"/>
          <w:sz w:val="13"/>
          <w:szCs w:val="13"/>
          <w:color w:val="0D0E10"/>
        </w:rPr>
        <w:t>Assumes full acceleration of Ms. Raimondi's unvested equity awards as of January 31, 2024. Represents the dollar value of 250,242 shares of our Class A common stock underlying RSUs that had not vested as of January 31, 2024. The amount reported was calculated using the closing price of one share of our Class A common stock on January 31, 2024 ($17.42). The amount reported does not include the value of shares of our Class A common stock underlying Ms. Raimondi’s RSUs that vested prior to January 31, 2024, but remained subject to a holding period. For the value of such shares, please see the section entitled “Nonqualified Deferred Compensation Table for Fiscal Year 2024.”</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59</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4" w:name="page65"/>
    <w:bookmarkEnd w:id="64"/>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Report of the Compensation Committee</w:t>
      </w:r>
    </w:p>
    <w:p>
      <w:pPr>
        <w:spacing w:after="0" w:line="366" w:lineRule="exact"/>
        <w:rPr>
          <w:sz w:val="20"/>
          <w:szCs w:val="20"/>
          <w:color w:val="auto"/>
        </w:rPr>
      </w:pPr>
    </w:p>
    <w:p>
      <w:pPr>
        <w:ind w:right="60"/>
        <w:spacing w:after="0" w:line="304" w:lineRule="auto"/>
        <w:rPr>
          <w:sz w:val="20"/>
          <w:szCs w:val="20"/>
          <w:color w:val="auto"/>
        </w:rPr>
      </w:pPr>
      <w:r>
        <w:rPr>
          <w:rFonts w:ascii="Arial" w:cs="Arial" w:eastAsia="Arial" w:hAnsi="Arial"/>
          <w:sz w:val="18"/>
          <w:szCs w:val="18"/>
          <w:color w:val="0D0E10"/>
        </w:rPr>
        <w:t>Our Compensation Committee has reviewed and discussed the Compensation Discussion and Analysis required by Item 402(b) of Regulation S-K and contained within this proxy statement with management and, based on such review and discussions, our Compensation Committee recommended to our Board that the Compensation Discussion and Analysis be included in this proxy statement and incorporated into our Annual Report on Form 10-K for the fiscal year ended January 31,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F06A6A"/>
        </w:rPr>
        <w:t>Submitted by the Compensation Committee of the Board of Directors: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Krista Anderson-Copperman (Chair)</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Sydney Carey</w:t>
      </w:r>
    </w:p>
    <w:p>
      <w:pPr>
        <w:spacing w:after="0" w:line="200" w:lineRule="exact"/>
        <w:rPr>
          <w:sz w:val="20"/>
          <w:szCs w:val="20"/>
          <w:color w:val="auto"/>
        </w:rPr>
      </w:pPr>
    </w:p>
    <w:p>
      <w:pPr>
        <w:spacing w:after="0" w:line="257" w:lineRule="exact"/>
        <w:rPr>
          <w:sz w:val="20"/>
          <w:szCs w:val="20"/>
          <w:color w:val="auto"/>
        </w:rPr>
      </w:pPr>
    </w:p>
    <w:p>
      <w:pPr>
        <w:spacing w:after="0" w:line="306" w:lineRule="auto"/>
        <w:rPr>
          <w:sz w:val="20"/>
          <w:szCs w:val="20"/>
          <w:color w:val="auto"/>
        </w:rPr>
      </w:pPr>
      <w:r>
        <w:rPr>
          <w:rFonts w:ascii="Arial" w:cs="Arial" w:eastAsia="Arial" w:hAnsi="Arial"/>
          <w:sz w:val="18"/>
          <w:szCs w:val="18"/>
          <w:i w:val="1"/>
          <w:iCs w:val="1"/>
          <w:color w:val="0D0E10"/>
        </w:rPr>
        <w:t>The Compensation Committee Report does not constitute soliciting material, and shall not be deemed to be filed or incorporated by reference into any Company filing under the Securities Act of 1933, as amended, or the Exchange Act except to the extent that the Company specifically incorporates the Compensation Committee Report by reference therein.</w:t>
      </w: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60</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65" w:name="page66"/>
    <w:bookmarkEnd w:id="65"/>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Equity Compensation Plan Information</w:t>
      </w:r>
    </w:p>
    <w:p>
      <w:pPr>
        <w:spacing w:after="0" w:line="366" w:lineRule="exact"/>
        <w:rPr>
          <w:sz w:val="20"/>
          <w:szCs w:val="20"/>
          <w:color w:val="auto"/>
        </w:rPr>
      </w:pPr>
    </w:p>
    <w:p>
      <w:pPr>
        <w:ind w:right="580"/>
        <w:spacing w:after="0" w:line="334" w:lineRule="auto"/>
        <w:rPr>
          <w:sz w:val="20"/>
          <w:szCs w:val="20"/>
          <w:color w:val="auto"/>
        </w:rPr>
      </w:pPr>
      <w:r>
        <w:rPr>
          <w:rFonts w:ascii="Arial" w:cs="Arial" w:eastAsia="Arial" w:hAnsi="Arial"/>
          <w:sz w:val="18"/>
          <w:szCs w:val="18"/>
          <w:color w:val="0D0E10"/>
        </w:rPr>
        <w:t>The following table summarizes our equity compensation plan information as of January 31, 2024. Information is included for equity compensation plans approved by our stockholders. We do not have any equity compensation plans not approved by our stockholders.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shd w:val="clear" w:color="auto" w:fill="EEEBEA"/>
          </w:tcPr>
          <w:p>
            <w:pPr>
              <w:spacing w:after="0"/>
              <w:rPr>
                <w:sz w:val="18"/>
                <w:szCs w:val="18"/>
                <w:color w:val="auto"/>
              </w:rPr>
            </w:pPr>
          </w:p>
        </w:tc>
        <w:tc>
          <w:tcPr>
            <w:tcW w:w="1100" w:type="dxa"/>
            <w:vAlign w:val="bottom"/>
            <w:shd w:val="clear" w:color="auto" w:fill="EEEBEA"/>
          </w:tcPr>
          <w:p>
            <w:pPr>
              <w:spacing w:after="0"/>
              <w:rPr>
                <w:sz w:val="18"/>
                <w:szCs w:val="18"/>
                <w:color w:val="auto"/>
              </w:rPr>
            </w:pPr>
          </w:p>
        </w:tc>
        <w:tc>
          <w:tcPr>
            <w:tcW w:w="320" w:type="dxa"/>
            <w:vAlign w:val="bottom"/>
            <w:shd w:val="clear" w:color="auto" w:fill="EEEBEA"/>
          </w:tcPr>
          <w:p>
            <w:pPr>
              <w:spacing w:after="0"/>
              <w:rPr>
                <w:sz w:val="18"/>
                <w:szCs w:val="18"/>
                <w:color w:val="auto"/>
              </w:rPr>
            </w:pPr>
          </w:p>
        </w:tc>
        <w:tc>
          <w:tcPr>
            <w:tcW w:w="700" w:type="dxa"/>
            <w:vAlign w:val="bottom"/>
            <w:shd w:val="clear" w:color="auto" w:fill="EEEBEA"/>
          </w:tcPr>
          <w:p>
            <w:pPr>
              <w:spacing w:after="0"/>
              <w:rPr>
                <w:sz w:val="18"/>
                <w:szCs w:val="18"/>
                <w:color w:val="auto"/>
              </w:rPr>
            </w:pPr>
          </w:p>
        </w:tc>
        <w:tc>
          <w:tcPr>
            <w:tcW w:w="880" w:type="dxa"/>
            <w:vAlign w:val="bottom"/>
            <w:shd w:val="clear" w:color="auto" w:fill="EEEBEA"/>
          </w:tcPr>
          <w:p>
            <w:pPr>
              <w:spacing w:after="0"/>
              <w:rPr>
                <w:sz w:val="18"/>
                <w:szCs w:val="18"/>
                <w:color w:val="auto"/>
              </w:rPr>
            </w:pPr>
          </w:p>
        </w:tc>
        <w:tc>
          <w:tcPr>
            <w:tcW w:w="300" w:type="dxa"/>
            <w:vAlign w:val="bottom"/>
            <w:shd w:val="clear" w:color="auto" w:fill="EEEBEA"/>
          </w:tcPr>
          <w:p>
            <w:pPr>
              <w:spacing w:after="0"/>
              <w:rPr>
                <w:sz w:val="18"/>
                <w:szCs w:val="18"/>
                <w:color w:val="auto"/>
              </w:rPr>
            </w:pPr>
          </w:p>
        </w:tc>
        <w:tc>
          <w:tcPr>
            <w:tcW w:w="80" w:type="dxa"/>
            <w:vAlign w:val="bottom"/>
            <w:shd w:val="clear" w:color="auto" w:fill="EEEBEA"/>
          </w:tcPr>
          <w:p>
            <w:pPr>
              <w:spacing w:after="0"/>
              <w:rPr>
                <w:sz w:val="18"/>
                <w:szCs w:val="18"/>
                <w:color w:val="auto"/>
              </w:rPr>
            </w:pPr>
          </w:p>
        </w:tc>
        <w:tc>
          <w:tcPr>
            <w:tcW w:w="740" w:type="dxa"/>
            <w:vAlign w:val="bottom"/>
            <w:shd w:val="clear" w:color="auto" w:fill="EEEBEA"/>
          </w:tcPr>
          <w:p>
            <w:pPr>
              <w:spacing w:after="0"/>
              <w:rPr>
                <w:sz w:val="18"/>
                <w:szCs w:val="18"/>
                <w:color w:val="auto"/>
              </w:rPr>
            </w:pPr>
          </w:p>
        </w:tc>
        <w:tc>
          <w:tcPr>
            <w:tcW w:w="740" w:type="dxa"/>
            <w:vAlign w:val="bottom"/>
            <w:shd w:val="clear" w:color="auto" w:fill="EEEBEA"/>
          </w:tcPr>
          <w:p>
            <w:pPr>
              <w:spacing w:after="0"/>
              <w:rPr>
                <w:sz w:val="18"/>
                <w:szCs w:val="18"/>
                <w:color w:val="auto"/>
              </w:rPr>
            </w:pPr>
          </w:p>
        </w:tc>
        <w:tc>
          <w:tcPr>
            <w:tcW w:w="100" w:type="dxa"/>
            <w:vAlign w:val="bottom"/>
            <w:shd w:val="clear" w:color="auto" w:fill="EEEBEA"/>
          </w:tcPr>
          <w:p>
            <w:pPr>
              <w:spacing w:after="0"/>
              <w:rPr>
                <w:sz w:val="18"/>
                <w:szCs w:val="18"/>
                <w:color w:val="auto"/>
              </w:rPr>
            </w:pPr>
          </w:p>
        </w:tc>
        <w:tc>
          <w:tcPr>
            <w:tcW w:w="120" w:type="dxa"/>
            <w:vAlign w:val="bottom"/>
            <w:shd w:val="clear" w:color="auto" w:fill="EEEBEA"/>
          </w:tcPr>
          <w:p>
            <w:pPr>
              <w:spacing w:after="0"/>
              <w:rPr>
                <w:sz w:val="18"/>
                <w:szCs w:val="18"/>
                <w:color w:val="auto"/>
              </w:rPr>
            </w:pPr>
          </w:p>
        </w:tc>
        <w:tc>
          <w:tcPr>
            <w:tcW w:w="60" w:type="dxa"/>
            <w:vAlign w:val="bottom"/>
            <w:shd w:val="clear" w:color="auto" w:fill="EEEBEA"/>
          </w:tcPr>
          <w:p>
            <w:pPr>
              <w:spacing w:after="0"/>
              <w:rPr>
                <w:sz w:val="18"/>
                <w:szCs w:val="18"/>
                <w:color w:val="auto"/>
              </w:rPr>
            </w:pPr>
          </w:p>
        </w:tc>
        <w:tc>
          <w:tcPr>
            <w:tcW w:w="660" w:type="dxa"/>
            <w:vAlign w:val="bottom"/>
            <w:shd w:val="clear" w:color="auto" w:fill="EEEBEA"/>
          </w:tcPr>
          <w:p>
            <w:pPr>
              <w:spacing w:after="0"/>
              <w:rPr>
                <w:sz w:val="18"/>
                <w:szCs w:val="18"/>
                <w:color w:val="auto"/>
              </w:rPr>
            </w:pPr>
          </w:p>
        </w:tc>
        <w:tc>
          <w:tcPr>
            <w:tcW w:w="820" w:type="dxa"/>
            <w:vAlign w:val="bottom"/>
            <w:shd w:val="clear" w:color="auto" w:fill="EEEBEA"/>
          </w:tcPr>
          <w:p>
            <w:pPr>
              <w:spacing w:after="0"/>
              <w:rPr>
                <w:sz w:val="18"/>
                <w:szCs w:val="18"/>
                <w:color w:val="auto"/>
              </w:rPr>
            </w:pPr>
          </w:p>
        </w:tc>
        <w:tc>
          <w:tcPr>
            <w:tcW w:w="1040" w:type="dxa"/>
            <w:vAlign w:val="bottom"/>
            <w:shd w:val="clear" w:color="auto" w:fill="EEEBEA"/>
          </w:tcPr>
          <w:p>
            <w:pPr>
              <w:jc w:val="center"/>
              <w:ind w:right="759"/>
              <w:spacing w:after="0"/>
              <w:rPr>
                <w:sz w:val="20"/>
                <w:szCs w:val="20"/>
                <w:color w:val="auto"/>
              </w:rPr>
            </w:pPr>
            <w:r>
              <w:rPr>
                <w:rFonts w:ascii="Arial" w:cs="Arial" w:eastAsia="Arial" w:hAnsi="Arial"/>
                <w:sz w:val="16"/>
                <w:szCs w:val="16"/>
                <w:b w:val="1"/>
                <w:bCs w:val="1"/>
                <w:color w:val="F06A6A"/>
                <w:shd w:val="clear" w:color="auto" w:fill="EEEBEA"/>
              </w:rPr>
              <w:t>(c)</w:t>
            </w:r>
          </w:p>
        </w:tc>
        <w:tc>
          <w:tcPr>
            <w:tcW w:w="760" w:type="dxa"/>
            <w:vAlign w:val="bottom"/>
            <w:shd w:val="clear" w:color="auto" w:fill="EEEB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BEA"/>
          </w:tcPr>
          <w:p>
            <w:pPr>
              <w:spacing w:after="0"/>
              <w:rPr>
                <w:sz w:val="18"/>
                <w:szCs w:val="18"/>
                <w:color w:val="auto"/>
              </w:rPr>
            </w:pPr>
          </w:p>
        </w:tc>
        <w:tc>
          <w:tcPr>
            <w:tcW w:w="1100" w:type="dxa"/>
            <w:vAlign w:val="bottom"/>
            <w:shd w:val="clear" w:color="auto" w:fill="EEEBEA"/>
          </w:tcPr>
          <w:p>
            <w:pPr>
              <w:spacing w:after="0"/>
              <w:rPr>
                <w:sz w:val="18"/>
                <w:szCs w:val="18"/>
                <w:color w:val="auto"/>
              </w:rPr>
            </w:pPr>
          </w:p>
        </w:tc>
        <w:tc>
          <w:tcPr>
            <w:tcW w:w="320" w:type="dxa"/>
            <w:vAlign w:val="bottom"/>
            <w:shd w:val="clear" w:color="auto" w:fill="EEEBEA"/>
          </w:tcPr>
          <w:p>
            <w:pPr>
              <w:spacing w:after="0"/>
              <w:rPr>
                <w:sz w:val="18"/>
                <w:szCs w:val="18"/>
                <w:color w:val="auto"/>
              </w:rPr>
            </w:pPr>
          </w:p>
        </w:tc>
        <w:tc>
          <w:tcPr>
            <w:tcW w:w="700" w:type="dxa"/>
            <w:vAlign w:val="bottom"/>
            <w:shd w:val="clear" w:color="auto" w:fill="EEEBEA"/>
          </w:tcPr>
          <w:p>
            <w:pPr>
              <w:spacing w:after="0"/>
              <w:rPr>
                <w:sz w:val="18"/>
                <w:szCs w:val="18"/>
                <w:color w:val="auto"/>
              </w:rPr>
            </w:pPr>
          </w:p>
        </w:tc>
        <w:tc>
          <w:tcPr>
            <w:tcW w:w="880" w:type="dxa"/>
            <w:vAlign w:val="bottom"/>
            <w:shd w:val="clear" w:color="auto" w:fill="EEEBEA"/>
          </w:tcPr>
          <w:p>
            <w:pPr>
              <w:jc w:val="center"/>
              <w:ind w:right="619"/>
              <w:spacing w:after="0"/>
              <w:rPr>
                <w:sz w:val="20"/>
                <w:szCs w:val="20"/>
                <w:color w:val="auto"/>
              </w:rPr>
            </w:pPr>
            <w:r>
              <w:rPr>
                <w:rFonts w:ascii="Arial" w:cs="Arial" w:eastAsia="Arial" w:hAnsi="Arial"/>
                <w:sz w:val="16"/>
                <w:szCs w:val="16"/>
                <w:b w:val="1"/>
                <w:bCs w:val="1"/>
                <w:color w:val="F06A6A"/>
                <w:w w:val="91"/>
                <w:shd w:val="clear" w:color="auto" w:fill="EEEBEA"/>
              </w:rPr>
              <w:t>(a)</w:t>
            </w:r>
          </w:p>
        </w:tc>
        <w:tc>
          <w:tcPr>
            <w:tcW w:w="300" w:type="dxa"/>
            <w:vAlign w:val="bottom"/>
            <w:shd w:val="clear" w:color="auto" w:fill="EEEBEA"/>
          </w:tcPr>
          <w:p>
            <w:pPr>
              <w:spacing w:after="0"/>
              <w:rPr>
                <w:sz w:val="18"/>
                <w:szCs w:val="18"/>
                <w:color w:val="auto"/>
              </w:rPr>
            </w:pPr>
          </w:p>
        </w:tc>
        <w:tc>
          <w:tcPr>
            <w:tcW w:w="80" w:type="dxa"/>
            <w:vAlign w:val="bottom"/>
            <w:shd w:val="clear" w:color="auto" w:fill="EEEBEA"/>
          </w:tcPr>
          <w:p>
            <w:pPr>
              <w:spacing w:after="0"/>
              <w:rPr>
                <w:sz w:val="18"/>
                <w:szCs w:val="18"/>
                <w:color w:val="auto"/>
              </w:rPr>
            </w:pPr>
          </w:p>
        </w:tc>
        <w:tc>
          <w:tcPr>
            <w:tcW w:w="740" w:type="dxa"/>
            <w:vAlign w:val="bottom"/>
            <w:shd w:val="clear" w:color="auto" w:fill="EEEBEA"/>
          </w:tcPr>
          <w:p>
            <w:pPr>
              <w:spacing w:after="0"/>
              <w:rPr>
                <w:sz w:val="18"/>
                <w:szCs w:val="18"/>
                <w:color w:val="auto"/>
              </w:rPr>
            </w:pPr>
          </w:p>
        </w:tc>
        <w:tc>
          <w:tcPr>
            <w:tcW w:w="740" w:type="dxa"/>
            <w:vAlign w:val="bottom"/>
            <w:shd w:val="clear" w:color="auto" w:fill="EEEBEA"/>
          </w:tcPr>
          <w:p>
            <w:pPr>
              <w:jc w:val="center"/>
              <w:ind w:right="459"/>
              <w:spacing w:after="0"/>
              <w:rPr>
                <w:sz w:val="20"/>
                <w:szCs w:val="20"/>
                <w:color w:val="auto"/>
              </w:rPr>
            </w:pPr>
            <w:r>
              <w:rPr>
                <w:rFonts w:ascii="Arial" w:cs="Arial" w:eastAsia="Arial" w:hAnsi="Arial"/>
                <w:sz w:val="16"/>
                <w:szCs w:val="16"/>
                <w:b w:val="1"/>
                <w:bCs w:val="1"/>
                <w:color w:val="F06A6A"/>
                <w:w w:val="97"/>
                <w:shd w:val="clear" w:color="auto" w:fill="EEEBEA"/>
              </w:rPr>
              <w:t>(b)</w:t>
            </w:r>
          </w:p>
        </w:tc>
        <w:tc>
          <w:tcPr>
            <w:tcW w:w="100" w:type="dxa"/>
            <w:vAlign w:val="bottom"/>
            <w:shd w:val="clear" w:color="auto" w:fill="EEEBEA"/>
          </w:tcPr>
          <w:p>
            <w:pPr>
              <w:spacing w:after="0"/>
              <w:rPr>
                <w:sz w:val="18"/>
                <w:szCs w:val="18"/>
                <w:color w:val="auto"/>
              </w:rPr>
            </w:pPr>
          </w:p>
        </w:tc>
        <w:tc>
          <w:tcPr>
            <w:tcW w:w="120" w:type="dxa"/>
            <w:vAlign w:val="bottom"/>
            <w:shd w:val="clear" w:color="auto" w:fill="EEEBEA"/>
          </w:tcPr>
          <w:p>
            <w:pPr>
              <w:spacing w:after="0"/>
              <w:rPr>
                <w:sz w:val="18"/>
                <w:szCs w:val="18"/>
                <w:color w:val="auto"/>
              </w:rPr>
            </w:pPr>
          </w:p>
        </w:tc>
        <w:tc>
          <w:tcPr>
            <w:tcW w:w="60" w:type="dxa"/>
            <w:vAlign w:val="bottom"/>
            <w:shd w:val="clear" w:color="auto" w:fill="EEEBEA"/>
          </w:tcPr>
          <w:p>
            <w:pPr>
              <w:spacing w:after="0"/>
              <w:rPr>
                <w:sz w:val="18"/>
                <w:szCs w:val="18"/>
                <w:color w:val="auto"/>
              </w:rPr>
            </w:pPr>
          </w:p>
        </w:tc>
        <w:tc>
          <w:tcPr>
            <w:tcW w:w="3280" w:type="dxa"/>
            <w:vAlign w:val="bottom"/>
            <w:gridSpan w:val="4"/>
            <w:shd w:val="clear" w:color="auto" w:fill="EEEBEA"/>
          </w:tcPr>
          <w:p>
            <w:pPr>
              <w:jc w:val="center"/>
              <w:ind w:right="100"/>
              <w:spacing w:after="0"/>
              <w:rPr>
                <w:sz w:val="20"/>
                <w:szCs w:val="20"/>
                <w:color w:val="auto"/>
              </w:rPr>
            </w:pPr>
            <w:r>
              <w:rPr>
                <w:rFonts w:ascii="Arial" w:cs="Arial" w:eastAsia="Arial" w:hAnsi="Arial"/>
                <w:sz w:val="16"/>
                <w:szCs w:val="16"/>
                <w:b w:val="1"/>
                <w:bCs w:val="1"/>
                <w:color w:val="F06A6A"/>
                <w:shd w:val="clear" w:color="auto" w:fill="EEEBEA"/>
              </w:rPr>
              <w:t>Number of Securities Remaining</w:t>
            </w:r>
          </w:p>
        </w:tc>
        <w:tc>
          <w:tcPr>
            <w:tcW w:w="0" w:type="dxa"/>
            <w:vAlign w:val="bottom"/>
          </w:tcPr>
          <w:p>
            <w:pPr>
              <w:spacing w:after="0"/>
              <w:rPr>
                <w:sz w:val="1"/>
                <w:szCs w:val="1"/>
                <w:color w:val="auto"/>
              </w:rPr>
            </w:pPr>
          </w:p>
        </w:tc>
      </w:tr>
      <w:tr>
        <w:trPr>
          <w:trHeight w:val="216"/>
        </w:trPr>
        <w:tc>
          <w:tcPr>
            <w:tcW w:w="2820" w:type="dxa"/>
            <w:vAlign w:val="bottom"/>
            <w:shd w:val="clear" w:color="auto" w:fill="EEEBEA"/>
          </w:tcPr>
          <w:p>
            <w:pPr>
              <w:spacing w:after="0"/>
              <w:rPr>
                <w:sz w:val="18"/>
                <w:szCs w:val="18"/>
                <w:color w:val="auto"/>
              </w:rPr>
            </w:pPr>
          </w:p>
        </w:tc>
        <w:tc>
          <w:tcPr>
            <w:tcW w:w="1100" w:type="dxa"/>
            <w:vAlign w:val="bottom"/>
            <w:shd w:val="clear" w:color="auto" w:fill="EEEBEA"/>
          </w:tcPr>
          <w:p>
            <w:pPr>
              <w:spacing w:after="0"/>
              <w:rPr>
                <w:sz w:val="18"/>
                <w:szCs w:val="18"/>
                <w:color w:val="auto"/>
              </w:rPr>
            </w:pPr>
          </w:p>
        </w:tc>
        <w:tc>
          <w:tcPr>
            <w:tcW w:w="2200" w:type="dxa"/>
            <w:vAlign w:val="bottom"/>
            <w:gridSpan w:val="4"/>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Number of Securities to be</w:t>
            </w:r>
          </w:p>
        </w:tc>
        <w:tc>
          <w:tcPr>
            <w:tcW w:w="80" w:type="dxa"/>
            <w:vAlign w:val="bottom"/>
            <w:shd w:val="clear" w:color="auto" w:fill="EEEBEA"/>
          </w:tcPr>
          <w:p>
            <w:pPr>
              <w:spacing w:after="0"/>
              <w:rPr>
                <w:sz w:val="18"/>
                <w:szCs w:val="18"/>
                <w:color w:val="auto"/>
              </w:rPr>
            </w:pPr>
          </w:p>
        </w:tc>
        <w:tc>
          <w:tcPr>
            <w:tcW w:w="1580" w:type="dxa"/>
            <w:vAlign w:val="bottom"/>
            <w:gridSpan w:val="3"/>
            <w:shd w:val="clear" w:color="auto" w:fill="EEEBEA"/>
          </w:tcPr>
          <w:p>
            <w:pPr>
              <w:jc w:val="center"/>
              <w:ind w:left="19"/>
              <w:spacing w:after="0"/>
              <w:rPr>
                <w:sz w:val="20"/>
                <w:szCs w:val="20"/>
                <w:color w:val="auto"/>
              </w:rPr>
            </w:pPr>
            <w:r>
              <w:rPr>
                <w:rFonts w:ascii="Arial" w:cs="Arial" w:eastAsia="Arial" w:hAnsi="Arial"/>
                <w:sz w:val="16"/>
                <w:szCs w:val="16"/>
                <w:b w:val="1"/>
                <w:bCs w:val="1"/>
                <w:color w:val="F06A6A"/>
                <w:shd w:val="clear" w:color="auto" w:fill="EEEBEA"/>
              </w:rPr>
              <w:t>Weighted Average</w:t>
            </w:r>
          </w:p>
        </w:tc>
        <w:tc>
          <w:tcPr>
            <w:tcW w:w="120" w:type="dxa"/>
            <w:vAlign w:val="bottom"/>
            <w:shd w:val="clear" w:color="auto" w:fill="EEEBEA"/>
          </w:tcPr>
          <w:p>
            <w:pPr>
              <w:spacing w:after="0"/>
              <w:rPr>
                <w:sz w:val="18"/>
                <w:szCs w:val="18"/>
                <w:color w:val="auto"/>
              </w:rPr>
            </w:pPr>
          </w:p>
        </w:tc>
        <w:tc>
          <w:tcPr>
            <w:tcW w:w="60" w:type="dxa"/>
            <w:vAlign w:val="bottom"/>
            <w:shd w:val="clear" w:color="auto" w:fill="EEEBEA"/>
          </w:tcPr>
          <w:p>
            <w:pPr>
              <w:spacing w:after="0"/>
              <w:rPr>
                <w:sz w:val="18"/>
                <w:szCs w:val="18"/>
                <w:color w:val="auto"/>
              </w:rPr>
            </w:pPr>
          </w:p>
        </w:tc>
        <w:tc>
          <w:tcPr>
            <w:tcW w:w="3280" w:type="dxa"/>
            <w:vAlign w:val="bottom"/>
            <w:gridSpan w:val="4"/>
            <w:shd w:val="clear" w:color="auto" w:fill="EEEBEA"/>
          </w:tcPr>
          <w:p>
            <w:pPr>
              <w:jc w:val="center"/>
              <w:ind w:right="120"/>
              <w:spacing w:after="0"/>
              <w:rPr>
                <w:sz w:val="20"/>
                <w:szCs w:val="20"/>
                <w:color w:val="auto"/>
              </w:rPr>
            </w:pPr>
            <w:r>
              <w:rPr>
                <w:rFonts w:ascii="Arial" w:cs="Arial" w:eastAsia="Arial" w:hAnsi="Arial"/>
                <w:sz w:val="16"/>
                <w:szCs w:val="16"/>
                <w:b w:val="1"/>
                <w:bCs w:val="1"/>
                <w:color w:val="F06A6A"/>
                <w:shd w:val="clear" w:color="auto" w:fill="EEEBEA"/>
              </w:rPr>
              <w:t>Available for Future Issuance Under</w:t>
            </w:r>
          </w:p>
        </w:tc>
        <w:tc>
          <w:tcPr>
            <w:tcW w:w="0" w:type="dxa"/>
            <w:vAlign w:val="bottom"/>
          </w:tcPr>
          <w:p>
            <w:pPr>
              <w:spacing w:after="0"/>
              <w:rPr>
                <w:sz w:val="1"/>
                <w:szCs w:val="1"/>
                <w:color w:val="auto"/>
              </w:rPr>
            </w:pPr>
          </w:p>
        </w:tc>
      </w:tr>
      <w:tr>
        <w:trPr>
          <w:trHeight w:val="203"/>
        </w:trPr>
        <w:tc>
          <w:tcPr>
            <w:tcW w:w="2820" w:type="dxa"/>
            <w:vAlign w:val="bottom"/>
            <w:shd w:val="clear" w:color="auto" w:fill="EEEBEA"/>
          </w:tcPr>
          <w:p>
            <w:pPr>
              <w:spacing w:after="0"/>
              <w:rPr>
                <w:sz w:val="17"/>
                <w:szCs w:val="17"/>
                <w:color w:val="auto"/>
              </w:rPr>
            </w:pPr>
          </w:p>
        </w:tc>
        <w:tc>
          <w:tcPr>
            <w:tcW w:w="11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Class of</w:t>
            </w:r>
          </w:p>
        </w:tc>
        <w:tc>
          <w:tcPr>
            <w:tcW w:w="2200" w:type="dxa"/>
            <w:vAlign w:val="bottom"/>
            <w:gridSpan w:val="4"/>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Issued Upon Exercise of</w:t>
            </w:r>
          </w:p>
        </w:tc>
        <w:tc>
          <w:tcPr>
            <w:tcW w:w="80" w:type="dxa"/>
            <w:vAlign w:val="bottom"/>
            <w:shd w:val="clear" w:color="auto" w:fill="EEEBEA"/>
          </w:tcPr>
          <w:p>
            <w:pPr>
              <w:spacing w:after="0"/>
              <w:rPr>
                <w:sz w:val="17"/>
                <w:szCs w:val="17"/>
                <w:color w:val="auto"/>
              </w:rPr>
            </w:pPr>
          </w:p>
        </w:tc>
        <w:tc>
          <w:tcPr>
            <w:tcW w:w="1480" w:type="dxa"/>
            <w:vAlign w:val="bottom"/>
            <w:gridSpan w:val="2"/>
            <w:shd w:val="clear" w:color="auto" w:fill="EEEBEA"/>
          </w:tcPr>
          <w:p>
            <w:pPr>
              <w:jc w:val="center"/>
              <w:ind w:left="119"/>
              <w:spacing w:after="0"/>
              <w:rPr>
                <w:sz w:val="20"/>
                <w:szCs w:val="20"/>
                <w:color w:val="auto"/>
              </w:rPr>
            </w:pPr>
            <w:r>
              <w:rPr>
                <w:rFonts w:ascii="Arial" w:cs="Arial" w:eastAsia="Arial" w:hAnsi="Arial"/>
                <w:sz w:val="16"/>
                <w:szCs w:val="16"/>
                <w:b w:val="1"/>
                <w:bCs w:val="1"/>
                <w:color w:val="F06A6A"/>
                <w:w w:val="99"/>
                <w:shd w:val="clear" w:color="auto" w:fill="EEEBEA"/>
              </w:rPr>
              <w:t>Exercise Price of</w:t>
            </w:r>
          </w:p>
        </w:tc>
        <w:tc>
          <w:tcPr>
            <w:tcW w:w="100" w:type="dxa"/>
            <w:vAlign w:val="bottom"/>
            <w:shd w:val="clear" w:color="auto" w:fill="EEEBEA"/>
          </w:tcPr>
          <w:p>
            <w:pPr>
              <w:spacing w:after="0"/>
              <w:rPr>
                <w:sz w:val="17"/>
                <w:szCs w:val="17"/>
                <w:color w:val="auto"/>
              </w:rPr>
            </w:pPr>
          </w:p>
        </w:tc>
        <w:tc>
          <w:tcPr>
            <w:tcW w:w="120" w:type="dxa"/>
            <w:vAlign w:val="bottom"/>
            <w:shd w:val="clear" w:color="auto" w:fill="EEEBEA"/>
          </w:tcPr>
          <w:p>
            <w:pPr>
              <w:spacing w:after="0"/>
              <w:rPr>
                <w:sz w:val="17"/>
                <w:szCs w:val="17"/>
                <w:color w:val="auto"/>
              </w:rPr>
            </w:pPr>
          </w:p>
        </w:tc>
        <w:tc>
          <w:tcPr>
            <w:tcW w:w="60" w:type="dxa"/>
            <w:vAlign w:val="bottom"/>
            <w:shd w:val="clear" w:color="auto" w:fill="EEEBEA"/>
          </w:tcPr>
          <w:p>
            <w:pPr>
              <w:spacing w:after="0"/>
              <w:rPr>
                <w:sz w:val="17"/>
                <w:szCs w:val="17"/>
                <w:color w:val="auto"/>
              </w:rPr>
            </w:pPr>
          </w:p>
        </w:tc>
        <w:tc>
          <w:tcPr>
            <w:tcW w:w="3280" w:type="dxa"/>
            <w:vAlign w:val="bottom"/>
            <w:gridSpan w:val="4"/>
            <w:shd w:val="clear" w:color="auto" w:fill="EEEBEA"/>
          </w:tcPr>
          <w:p>
            <w:pPr>
              <w:ind w:left="80"/>
              <w:spacing w:after="0"/>
              <w:rPr>
                <w:sz w:val="20"/>
                <w:szCs w:val="20"/>
                <w:color w:val="auto"/>
              </w:rPr>
            </w:pPr>
            <w:r>
              <w:rPr>
                <w:rFonts w:ascii="Arial" w:cs="Arial" w:eastAsia="Arial" w:hAnsi="Arial"/>
                <w:sz w:val="16"/>
                <w:szCs w:val="16"/>
                <w:b w:val="1"/>
                <w:bCs w:val="1"/>
                <w:color w:val="F06A6A"/>
                <w:shd w:val="clear" w:color="auto" w:fill="EEEBEA"/>
              </w:rPr>
              <w:t>Equity Compensation Plans (Excluding</w:t>
            </w:r>
          </w:p>
        </w:tc>
        <w:tc>
          <w:tcPr>
            <w:tcW w:w="0" w:type="dxa"/>
            <w:vAlign w:val="bottom"/>
          </w:tcPr>
          <w:p>
            <w:pPr>
              <w:spacing w:after="0"/>
              <w:rPr>
                <w:sz w:val="1"/>
                <w:szCs w:val="1"/>
                <w:color w:val="auto"/>
              </w:rPr>
            </w:pPr>
          </w:p>
        </w:tc>
      </w:tr>
      <w:tr>
        <w:trPr>
          <w:trHeight w:val="216"/>
        </w:trPr>
        <w:tc>
          <w:tcPr>
            <w:tcW w:w="2820" w:type="dxa"/>
            <w:vAlign w:val="bottom"/>
            <w:shd w:val="clear" w:color="auto" w:fill="EEEBEA"/>
          </w:tcPr>
          <w:p>
            <w:pPr>
              <w:spacing w:after="0"/>
              <w:rPr>
                <w:sz w:val="18"/>
                <w:szCs w:val="18"/>
                <w:color w:val="auto"/>
              </w:rPr>
            </w:pPr>
          </w:p>
        </w:tc>
        <w:tc>
          <w:tcPr>
            <w:tcW w:w="110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rPr>
              <w:t>Common</w:t>
            </w:r>
          </w:p>
        </w:tc>
        <w:tc>
          <w:tcPr>
            <w:tcW w:w="2200" w:type="dxa"/>
            <w:vAlign w:val="bottom"/>
            <w:gridSpan w:val="4"/>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Outstanding Options,</w:t>
            </w:r>
          </w:p>
        </w:tc>
        <w:tc>
          <w:tcPr>
            <w:tcW w:w="80" w:type="dxa"/>
            <w:vAlign w:val="bottom"/>
            <w:shd w:val="clear" w:color="auto" w:fill="EEEBEA"/>
          </w:tcPr>
          <w:p>
            <w:pPr>
              <w:spacing w:after="0"/>
              <w:rPr>
                <w:sz w:val="18"/>
                <w:szCs w:val="18"/>
                <w:color w:val="auto"/>
              </w:rPr>
            </w:pPr>
          </w:p>
        </w:tc>
        <w:tc>
          <w:tcPr>
            <w:tcW w:w="1700" w:type="dxa"/>
            <w:vAlign w:val="bottom"/>
            <w:gridSpan w:val="4"/>
            <w:shd w:val="clear" w:color="auto" w:fill="EEEBEA"/>
          </w:tcPr>
          <w:p>
            <w:pPr>
              <w:jc w:val="right"/>
              <w:spacing w:after="0"/>
              <w:rPr>
                <w:sz w:val="20"/>
                <w:szCs w:val="20"/>
                <w:color w:val="auto"/>
              </w:rPr>
            </w:pPr>
            <w:r>
              <w:rPr>
                <w:rFonts w:ascii="Arial" w:cs="Arial" w:eastAsia="Arial" w:hAnsi="Arial"/>
                <w:sz w:val="16"/>
                <w:szCs w:val="16"/>
                <w:b w:val="1"/>
                <w:bCs w:val="1"/>
                <w:color w:val="F06A6A"/>
                <w:shd w:val="clear" w:color="auto" w:fill="EEEBEA"/>
              </w:rPr>
              <w:t>Outstanding Options,</w:t>
            </w:r>
          </w:p>
        </w:tc>
        <w:tc>
          <w:tcPr>
            <w:tcW w:w="60" w:type="dxa"/>
            <w:vAlign w:val="bottom"/>
            <w:shd w:val="clear" w:color="auto" w:fill="EEEBEA"/>
          </w:tcPr>
          <w:p>
            <w:pPr>
              <w:spacing w:after="0"/>
              <w:rPr>
                <w:sz w:val="18"/>
                <w:szCs w:val="18"/>
                <w:color w:val="auto"/>
              </w:rPr>
            </w:pPr>
          </w:p>
        </w:tc>
        <w:tc>
          <w:tcPr>
            <w:tcW w:w="660" w:type="dxa"/>
            <w:vAlign w:val="bottom"/>
            <w:shd w:val="clear" w:color="auto" w:fill="EEEBEA"/>
          </w:tcPr>
          <w:p>
            <w:pPr>
              <w:spacing w:after="0"/>
              <w:rPr>
                <w:sz w:val="18"/>
                <w:szCs w:val="18"/>
                <w:color w:val="auto"/>
              </w:rPr>
            </w:pPr>
          </w:p>
        </w:tc>
        <w:tc>
          <w:tcPr>
            <w:tcW w:w="1860" w:type="dxa"/>
            <w:vAlign w:val="bottom"/>
            <w:gridSpan w:val="2"/>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Securities</w:t>
            </w:r>
          </w:p>
        </w:tc>
        <w:tc>
          <w:tcPr>
            <w:tcW w:w="760" w:type="dxa"/>
            <w:vAlign w:val="bottom"/>
            <w:shd w:val="clear" w:color="auto" w:fill="EEEBEA"/>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820" w:type="dxa"/>
            <w:vAlign w:val="bottom"/>
            <w:vMerge w:val="restart"/>
            <w:shd w:val="clear" w:color="auto" w:fill="EEEBEA"/>
          </w:tcPr>
          <w:p>
            <w:pPr>
              <w:ind w:left="100"/>
              <w:spacing w:after="0"/>
              <w:rPr>
                <w:sz w:val="20"/>
                <w:szCs w:val="20"/>
                <w:color w:val="auto"/>
              </w:rPr>
            </w:pPr>
            <w:r>
              <w:rPr>
                <w:rFonts w:ascii="Arial" w:cs="Arial" w:eastAsia="Arial" w:hAnsi="Arial"/>
                <w:sz w:val="16"/>
                <w:szCs w:val="16"/>
                <w:b w:val="1"/>
                <w:bCs w:val="1"/>
                <w:color w:val="F06A6A"/>
              </w:rPr>
              <w:t>Plan Category</w:t>
            </w:r>
          </w:p>
        </w:tc>
        <w:tc>
          <w:tcPr>
            <w:tcW w:w="110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rPr>
              <w:t>Stock</w:t>
            </w:r>
          </w:p>
        </w:tc>
        <w:tc>
          <w:tcPr>
            <w:tcW w:w="320" w:type="dxa"/>
            <w:vAlign w:val="bottom"/>
            <w:shd w:val="clear" w:color="auto" w:fill="EEEBEA"/>
          </w:tcPr>
          <w:p>
            <w:pPr>
              <w:spacing w:after="0"/>
              <w:rPr>
                <w:sz w:val="13"/>
                <w:szCs w:val="13"/>
                <w:color w:val="auto"/>
              </w:rPr>
            </w:pPr>
          </w:p>
        </w:tc>
        <w:tc>
          <w:tcPr>
            <w:tcW w:w="1580" w:type="dxa"/>
            <w:vAlign w:val="bottom"/>
            <w:gridSpan w:val="2"/>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Warrants and Rights</w:t>
            </w:r>
          </w:p>
        </w:tc>
        <w:tc>
          <w:tcPr>
            <w:tcW w:w="300" w:type="dxa"/>
            <w:vAlign w:val="bottom"/>
            <w:shd w:val="clear" w:color="auto" w:fill="EEEBEA"/>
          </w:tcPr>
          <w:p>
            <w:pPr>
              <w:spacing w:after="0"/>
              <w:rPr>
                <w:sz w:val="13"/>
                <w:szCs w:val="13"/>
                <w:color w:val="auto"/>
              </w:rPr>
            </w:pPr>
          </w:p>
        </w:tc>
        <w:tc>
          <w:tcPr>
            <w:tcW w:w="80" w:type="dxa"/>
            <w:vAlign w:val="bottom"/>
            <w:shd w:val="clear" w:color="auto" w:fill="EEEBEA"/>
          </w:tcPr>
          <w:p>
            <w:pPr>
              <w:spacing w:after="0"/>
              <w:rPr>
                <w:sz w:val="13"/>
                <w:szCs w:val="13"/>
                <w:color w:val="auto"/>
              </w:rPr>
            </w:pPr>
          </w:p>
        </w:tc>
        <w:tc>
          <w:tcPr>
            <w:tcW w:w="1580" w:type="dxa"/>
            <w:vAlign w:val="bottom"/>
            <w:gridSpan w:val="3"/>
            <w:vMerge w:val="restart"/>
            <w:shd w:val="clear" w:color="auto" w:fill="EEEBEA"/>
          </w:tcPr>
          <w:p>
            <w:pPr>
              <w:spacing w:after="0"/>
              <w:rPr>
                <w:sz w:val="20"/>
                <w:szCs w:val="20"/>
                <w:color w:val="auto"/>
              </w:rPr>
            </w:pPr>
            <w:r>
              <w:rPr>
                <w:rFonts w:ascii="Arial" w:cs="Arial" w:eastAsia="Arial" w:hAnsi="Arial"/>
                <w:sz w:val="16"/>
                <w:szCs w:val="16"/>
                <w:b w:val="1"/>
                <w:bCs w:val="1"/>
                <w:color w:val="F06A6A"/>
                <w:w w:val="99"/>
                <w:shd w:val="clear" w:color="auto" w:fill="EEEBEA"/>
              </w:rPr>
              <w:t>Warrants and Rights</w:t>
            </w:r>
          </w:p>
        </w:tc>
        <w:tc>
          <w:tcPr>
            <w:tcW w:w="120" w:type="dxa"/>
            <w:vAlign w:val="bottom"/>
            <w:shd w:val="clear" w:color="auto" w:fill="EEEBEA"/>
          </w:tcPr>
          <w:p>
            <w:pPr>
              <w:jc w:val="right"/>
              <w:spacing w:after="0"/>
              <w:rPr>
                <w:sz w:val="20"/>
                <w:szCs w:val="20"/>
                <w:color w:val="auto"/>
              </w:rPr>
            </w:pPr>
            <w:r>
              <w:rPr>
                <w:rFonts w:ascii="Arial" w:cs="Arial" w:eastAsia="Arial" w:hAnsi="Arial"/>
                <w:sz w:val="11"/>
                <w:szCs w:val="11"/>
                <w:b w:val="1"/>
                <w:bCs w:val="1"/>
                <w:color w:val="F06A6A"/>
                <w:w w:val="74"/>
                <w:shd w:val="clear" w:color="auto" w:fill="EEEBEA"/>
              </w:rPr>
              <w:t>(1)</w:t>
            </w:r>
          </w:p>
        </w:tc>
        <w:tc>
          <w:tcPr>
            <w:tcW w:w="60" w:type="dxa"/>
            <w:vAlign w:val="bottom"/>
            <w:vMerge w:val="restart"/>
            <w:shd w:val="clear" w:color="auto" w:fill="EEEBEA"/>
          </w:tcPr>
          <w:p>
            <w:pPr>
              <w:spacing w:after="0"/>
              <w:rPr>
                <w:sz w:val="13"/>
                <w:szCs w:val="13"/>
                <w:color w:val="auto"/>
              </w:rPr>
            </w:pPr>
          </w:p>
        </w:tc>
        <w:tc>
          <w:tcPr>
            <w:tcW w:w="660" w:type="dxa"/>
            <w:vAlign w:val="bottom"/>
            <w:shd w:val="clear" w:color="auto" w:fill="EEEBEA"/>
          </w:tcPr>
          <w:p>
            <w:pPr>
              <w:spacing w:after="0"/>
              <w:rPr>
                <w:sz w:val="13"/>
                <w:szCs w:val="13"/>
                <w:color w:val="auto"/>
              </w:rPr>
            </w:pPr>
          </w:p>
        </w:tc>
        <w:tc>
          <w:tcPr>
            <w:tcW w:w="1860" w:type="dxa"/>
            <w:vAlign w:val="bottom"/>
            <w:gridSpan w:val="2"/>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shd w:val="clear" w:color="auto" w:fill="EEEBEA"/>
              </w:rPr>
              <w:t>Reflected in Column (a))</w:t>
            </w:r>
          </w:p>
        </w:tc>
        <w:tc>
          <w:tcPr>
            <w:tcW w:w="760" w:type="dxa"/>
            <w:vAlign w:val="bottom"/>
            <w:shd w:val="clear" w:color="auto" w:fill="EEEBEA"/>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820" w:type="dxa"/>
            <w:vAlign w:val="bottom"/>
            <w:vMerge w:val="continue"/>
            <w:shd w:val="clear" w:color="auto" w:fill="EEEBEA"/>
          </w:tcPr>
          <w:p>
            <w:pPr>
              <w:spacing w:after="0"/>
              <w:rPr>
                <w:sz w:val="3"/>
                <w:szCs w:val="3"/>
                <w:color w:val="auto"/>
              </w:rPr>
            </w:pPr>
          </w:p>
        </w:tc>
        <w:tc>
          <w:tcPr>
            <w:tcW w:w="1100" w:type="dxa"/>
            <w:vAlign w:val="bottom"/>
            <w:vMerge w:val="continue"/>
            <w:shd w:val="clear" w:color="auto" w:fill="EEEBEA"/>
          </w:tcPr>
          <w:p>
            <w:pPr>
              <w:spacing w:after="0"/>
              <w:rPr>
                <w:sz w:val="3"/>
                <w:szCs w:val="3"/>
                <w:color w:val="auto"/>
              </w:rPr>
            </w:pPr>
          </w:p>
        </w:tc>
        <w:tc>
          <w:tcPr>
            <w:tcW w:w="320" w:type="dxa"/>
            <w:vAlign w:val="bottom"/>
            <w:shd w:val="clear" w:color="auto" w:fill="EEEBEA"/>
          </w:tcPr>
          <w:p>
            <w:pPr>
              <w:spacing w:after="0"/>
              <w:rPr>
                <w:sz w:val="3"/>
                <w:szCs w:val="3"/>
                <w:color w:val="auto"/>
              </w:rPr>
            </w:pPr>
          </w:p>
        </w:tc>
        <w:tc>
          <w:tcPr>
            <w:tcW w:w="1580" w:type="dxa"/>
            <w:vAlign w:val="bottom"/>
            <w:gridSpan w:val="2"/>
            <w:vMerge w:val="continue"/>
            <w:shd w:val="clear" w:color="auto" w:fill="EEEBEA"/>
          </w:tcPr>
          <w:p>
            <w:pPr>
              <w:spacing w:after="0"/>
              <w:rPr>
                <w:sz w:val="3"/>
                <w:szCs w:val="3"/>
                <w:color w:val="auto"/>
              </w:rPr>
            </w:pPr>
          </w:p>
        </w:tc>
        <w:tc>
          <w:tcPr>
            <w:tcW w:w="300" w:type="dxa"/>
            <w:vAlign w:val="bottom"/>
            <w:shd w:val="clear" w:color="auto" w:fill="EEEBEA"/>
          </w:tcPr>
          <w:p>
            <w:pPr>
              <w:spacing w:after="0"/>
              <w:rPr>
                <w:sz w:val="3"/>
                <w:szCs w:val="3"/>
                <w:color w:val="auto"/>
              </w:rPr>
            </w:pPr>
          </w:p>
        </w:tc>
        <w:tc>
          <w:tcPr>
            <w:tcW w:w="80" w:type="dxa"/>
            <w:vAlign w:val="bottom"/>
            <w:shd w:val="clear" w:color="auto" w:fill="EEEBEA"/>
          </w:tcPr>
          <w:p>
            <w:pPr>
              <w:spacing w:after="0"/>
              <w:rPr>
                <w:sz w:val="3"/>
                <w:szCs w:val="3"/>
                <w:color w:val="auto"/>
              </w:rPr>
            </w:pPr>
          </w:p>
        </w:tc>
        <w:tc>
          <w:tcPr>
            <w:tcW w:w="1580" w:type="dxa"/>
            <w:vAlign w:val="bottom"/>
            <w:gridSpan w:val="3"/>
            <w:vMerge w:val="continue"/>
            <w:shd w:val="clear" w:color="auto" w:fill="EEEBEA"/>
          </w:tcPr>
          <w:p>
            <w:pPr>
              <w:spacing w:after="0"/>
              <w:rPr>
                <w:sz w:val="3"/>
                <w:szCs w:val="3"/>
                <w:color w:val="auto"/>
              </w:rPr>
            </w:pPr>
          </w:p>
        </w:tc>
        <w:tc>
          <w:tcPr>
            <w:tcW w:w="120" w:type="dxa"/>
            <w:vAlign w:val="bottom"/>
            <w:shd w:val="clear" w:color="auto" w:fill="EEEBEA"/>
          </w:tcPr>
          <w:p>
            <w:pPr>
              <w:spacing w:after="0"/>
              <w:rPr>
                <w:sz w:val="3"/>
                <w:szCs w:val="3"/>
                <w:color w:val="auto"/>
              </w:rPr>
            </w:pPr>
          </w:p>
        </w:tc>
        <w:tc>
          <w:tcPr>
            <w:tcW w:w="60" w:type="dxa"/>
            <w:vAlign w:val="bottom"/>
            <w:vMerge w:val="continue"/>
            <w:shd w:val="clear" w:color="auto" w:fill="EEEBEA"/>
          </w:tcPr>
          <w:p>
            <w:pPr>
              <w:spacing w:after="0"/>
              <w:rPr>
                <w:sz w:val="3"/>
                <w:szCs w:val="3"/>
                <w:color w:val="auto"/>
              </w:rPr>
            </w:pPr>
          </w:p>
        </w:tc>
        <w:tc>
          <w:tcPr>
            <w:tcW w:w="660" w:type="dxa"/>
            <w:vAlign w:val="bottom"/>
            <w:shd w:val="clear" w:color="auto" w:fill="EEEBEA"/>
          </w:tcPr>
          <w:p>
            <w:pPr>
              <w:spacing w:after="0"/>
              <w:rPr>
                <w:sz w:val="3"/>
                <w:szCs w:val="3"/>
                <w:color w:val="auto"/>
              </w:rPr>
            </w:pPr>
          </w:p>
        </w:tc>
        <w:tc>
          <w:tcPr>
            <w:tcW w:w="1860" w:type="dxa"/>
            <w:vAlign w:val="bottom"/>
            <w:gridSpan w:val="2"/>
            <w:vMerge w:val="continue"/>
            <w:shd w:val="clear" w:color="auto" w:fill="EEEBEA"/>
          </w:tcPr>
          <w:p>
            <w:pPr>
              <w:spacing w:after="0"/>
              <w:rPr>
                <w:sz w:val="3"/>
                <w:szCs w:val="3"/>
                <w:color w:val="auto"/>
              </w:rPr>
            </w:pPr>
          </w:p>
        </w:tc>
        <w:tc>
          <w:tcPr>
            <w:tcW w:w="760" w:type="dxa"/>
            <w:vAlign w:val="bottom"/>
            <w:shd w:val="clear" w:color="auto" w:fill="EEEBEA"/>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820" w:type="dxa"/>
            <w:vAlign w:val="bottom"/>
            <w:tcBorders>
              <w:bottom w:val="single" w:sz="8" w:color="A5A4A3"/>
            </w:tcBorders>
            <w:shd w:val="clear" w:color="auto" w:fill="EEEBEA"/>
          </w:tcPr>
          <w:p>
            <w:pPr>
              <w:spacing w:after="0"/>
              <w:rPr>
                <w:sz w:val="12"/>
                <w:szCs w:val="12"/>
                <w:color w:val="auto"/>
              </w:rPr>
            </w:pPr>
          </w:p>
        </w:tc>
        <w:tc>
          <w:tcPr>
            <w:tcW w:w="1100" w:type="dxa"/>
            <w:vAlign w:val="bottom"/>
            <w:tcBorders>
              <w:bottom w:val="single" w:sz="8" w:color="A5A4A3"/>
            </w:tcBorders>
            <w:shd w:val="clear" w:color="auto" w:fill="EEEBEA"/>
          </w:tcPr>
          <w:p>
            <w:pPr>
              <w:spacing w:after="0"/>
              <w:rPr>
                <w:sz w:val="12"/>
                <w:szCs w:val="12"/>
                <w:color w:val="auto"/>
              </w:rPr>
            </w:pPr>
          </w:p>
        </w:tc>
        <w:tc>
          <w:tcPr>
            <w:tcW w:w="320" w:type="dxa"/>
            <w:vAlign w:val="bottom"/>
            <w:tcBorders>
              <w:bottom w:val="single" w:sz="8" w:color="A5A4A3"/>
            </w:tcBorders>
            <w:shd w:val="clear" w:color="auto" w:fill="EEEBEA"/>
          </w:tcPr>
          <w:p>
            <w:pPr>
              <w:spacing w:after="0"/>
              <w:rPr>
                <w:sz w:val="12"/>
                <w:szCs w:val="12"/>
                <w:color w:val="auto"/>
              </w:rPr>
            </w:pPr>
          </w:p>
        </w:tc>
        <w:tc>
          <w:tcPr>
            <w:tcW w:w="700" w:type="dxa"/>
            <w:vAlign w:val="bottom"/>
            <w:tcBorders>
              <w:bottom w:val="single" w:sz="8" w:color="A5A4A3"/>
            </w:tcBorders>
            <w:shd w:val="clear" w:color="auto" w:fill="EEEBEA"/>
          </w:tcPr>
          <w:p>
            <w:pPr>
              <w:spacing w:after="0"/>
              <w:rPr>
                <w:sz w:val="12"/>
                <w:szCs w:val="12"/>
                <w:color w:val="auto"/>
              </w:rPr>
            </w:pPr>
          </w:p>
        </w:tc>
        <w:tc>
          <w:tcPr>
            <w:tcW w:w="880" w:type="dxa"/>
            <w:vAlign w:val="bottom"/>
            <w:tcBorders>
              <w:bottom w:val="single" w:sz="8" w:color="A5A4A3"/>
            </w:tcBorders>
            <w:shd w:val="clear" w:color="auto" w:fill="EEEBEA"/>
          </w:tcPr>
          <w:p>
            <w:pPr>
              <w:spacing w:after="0"/>
              <w:rPr>
                <w:sz w:val="12"/>
                <w:szCs w:val="12"/>
                <w:color w:val="auto"/>
              </w:rPr>
            </w:pPr>
          </w:p>
        </w:tc>
        <w:tc>
          <w:tcPr>
            <w:tcW w:w="300" w:type="dxa"/>
            <w:vAlign w:val="bottom"/>
            <w:tcBorders>
              <w:bottom w:val="single" w:sz="8" w:color="A5A4A3"/>
            </w:tcBorders>
            <w:shd w:val="clear" w:color="auto" w:fill="EEEBEA"/>
          </w:tcPr>
          <w:p>
            <w:pPr>
              <w:spacing w:after="0"/>
              <w:rPr>
                <w:sz w:val="12"/>
                <w:szCs w:val="12"/>
                <w:color w:val="auto"/>
              </w:rPr>
            </w:pPr>
          </w:p>
        </w:tc>
        <w:tc>
          <w:tcPr>
            <w:tcW w:w="80" w:type="dxa"/>
            <w:vAlign w:val="bottom"/>
            <w:tcBorders>
              <w:bottom w:val="single" w:sz="8" w:color="A5A4A3"/>
            </w:tcBorders>
            <w:shd w:val="clear" w:color="auto" w:fill="EEEBEA"/>
          </w:tcPr>
          <w:p>
            <w:pPr>
              <w:spacing w:after="0"/>
              <w:rPr>
                <w:sz w:val="12"/>
                <w:szCs w:val="12"/>
                <w:color w:val="auto"/>
              </w:rPr>
            </w:pPr>
          </w:p>
        </w:tc>
        <w:tc>
          <w:tcPr>
            <w:tcW w:w="740" w:type="dxa"/>
            <w:vAlign w:val="bottom"/>
            <w:tcBorders>
              <w:bottom w:val="single" w:sz="8" w:color="A5A4A3"/>
            </w:tcBorders>
            <w:shd w:val="clear" w:color="auto" w:fill="EEEBEA"/>
          </w:tcPr>
          <w:p>
            <w:pPr>
              <w:spacing w:after="0"/>
              <w:rPr>
                <w:sz w:val="12"/>
                <w:szCs w:val="12"/>
                <w:color w:val="auto"/>
              </w:rPr>
            </w:pPr>
          </w:p>
        </w:tc>
        <w:tc>
          <w:tcPr>
            <w:tcW w:w="740" w:type="dxa"/>
            <w:vAlign w:val="bottom"/>
            <w:tcBorders>
              <w:bottom w:val="single" w:sz="8" w:color="A5A4A3"/>
            </w:tcBorders>
            <w:shd w:val="clear" w:color="auto" w:fill="EEEBEA"/>
          </w:tcPr>
          <w:p>
            <w:pPr>
              <w:spacing w:after="0"/>
              <w:rPr>
                <w:sz w:val="12"/>
                <w:szCs w:val="12"/>
                <w:color w:val="auto"/>
              </w:rPr>
            </w:pPr>
          </w:p>
        </w:tc>
        <w:tc>
          <w:tcPr>
            <w:tcW w:w="100" w:type="dxa"/>
            <w:vAlign w:val="bottom"/>
            <w:tcBorders>
              <w:bottom w:val="single" w:sz="8" w:color="A5A4A3"/>
            </w:tcBorders>
            <w:shd w:val="clear" w:color="auto" w:fill="EEEBEA"/>
          </w:tcPr>
          <w:p>
            <w:pPr>
              <w:spacing w:after="0"/>
              <w:rPr>
                <w:sz w:val="12"/>
                <w:szCs w:val="12"/>
                <w:color w:val="auto"/>
              </w:rPr>
            </w:pPr>
          </w:p>
        </w:tc>
        <w:tc>
          <w:tcPr>
            <w:tcW w:w="120" w:type="dxa"/>
            <w:vAlign w:val="bottom"/>
            <w:tcBorders>
              <w:bottom w:val="single" w:sz="8" w:color="A5A4A3"/>
            </w:tcBorders>
            <w:shd w:val="clear" w:color="auto" w:fill="EEEBEA"/>
          </w:tcPr>
          <w:p>
            <w:pPr>
              <w:spacing w:after="0"/>
              <w:rPr>
                <w:sz w:val="12"/>
                <w:szCs w:val="12"/>
                <w:color w:val="auto"/>
              </w:rPr>
            </w:pPr>
          </w:p>
        </w:tc>
        <w:tc>
          <w:tcPr>
            <w:tcW w:w="60" w:type="dxa"/>
            <w:vAlign w:val="bottom"/>
            <w:tcBorders>
              <w:bottom w:val="single" w:sz="8" w:color="A5A4A3"/>
            </w:tcBorders>
            <w:shd w:val="clear" w:color="auto" w:fill="EEEBEA"/>
          </w:tcPr>
          <w:p>
            <w:pPr>
              <w:spacing w:after="0"/>
              <w:rPr>
                <w:sz w:val="12"/>
                <w:szCs w:val="12"/>
                <w:color w:val="auto"/>
              </w:rPr>
            </w:pPr>
          </w:p>
        </w:tc>
        <w:tc>
          <w:tcPr>
            <w:tcW w:w="660" w:type="dxa"/>
            <w:vAlign w:val="bottom"/>
            <w:tcBorders>
              <w:bottom w:val="single" w:sz="8" w:color="A5A4A3"/>
            </w:tcBorders>
            <w:shd w:val="clear" w:color="auto" w:fill="EEEBEA"/>
          </w:tcPr>
          <w:p>
            <w:pPr>
              <w:spacing w:after="0"/>
              <w:rPr>
                <w:sz w:val="12"/>
                <w:szCs w:val="12"/>
                <w:color w:val="auto"/>
              </w:rPr>
            </w:pPr>
          </w:p>
        </w:tc>
        <w:tc>
          <w:tcPr>
            <w:tcW w:w="820" w:type="dxa"/>
            <w:vAlign w:val="bottom"/>
            <w:tcBorders>
              <w:bottom w:val="single" w:sz="8" w:color="A5A4A3"/>
            </w:tcBorders>
            <w:shd w:val="clear" w:color="auto" w:fill="EEEBEA"/>
          </w:tcPr>
          <w:p>
            <w:pPr>
              <w:spacing w:after="0"/>
              <w:rPr>
                <w:sz w:val="12"/>
                <w:szCs w:val="12"/>
                <w:color w:val="auto"/>
              </w:rPr>
            </w:pPr>
          </w:p>
        </w:tc>
        <w:tc>
          <w:tcPr>
            <w:tcW w:w="1040" w:type="dxa"/>
            <w:vAlign w:val="bottom"/>
            <w:tcBorders>
              <w:bottom w:val="single" w:sz="8" w:color="A5A4A3"/>
            </w:tcBorders>
            <w:shd w:val="clear" w:color="auto" w:fill="EEEBEA"/>
          </w:tcPr>
          <w:p>
            <w:pPr>
              <w:spacing w:after="0"/>
              <w:rPr>
                <w:sz w:val="12"/>
                <w:szCs w:val="12"/>
                <w:color w:val="auto"/>
              </w:rPr>
            </w:pPr>
          </w:p>
        </w:tc>
        <w:tc>
          <w:tcPr>
            <w:tcW w:w="760" w:type="dxa"/>
            <w:vAlign w:val="bottom"/>
            <w:tcBorders>
              <w:bottom w:val="single" w:sz="8" w:color="A5A4A3"/>
            </w:tcBorders>
            <w:shd w:val="clear" w:color="auto" w:fill="EEEBEA"/>
          </w:tcPr>
          <w:p>
            <w:pPr>
              <w:spacing w:after="0"/>
              <w:rPr>
                <w:sz w:val="12"/>
                <w:szCs w:val="12"/>
                <w:color w:val="auto"/>
              </w:rPr>
            </w:pPr>
          </w:p>
        </w:tc>
        <w:tc>
          <w:tcPr>
            <w:tcW w:w="0" w:type="dxa"/>
            <w:vAlign w:val="bottom"/>
          </w:tcPr>
          <w:p>
            <w:pPr>
              <w:spacing w:after="0"/>
              <w:rPr>
                <w:sz w:val="1"/>
                <w:szCs w:val="1"/>
                <w:color w:val="auto"/>
              </w:rPr>
            </w:pPr>
          </w:p>
        </w:tc>
      </w:tr>
      <w:tr>
        <w:trPr>
          <w:trHeight w:val="465"/>
        </w:trPr>
        <w:tc>
          <w:tcPr>
            <w:tcW w:w="28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0D0E10"/>
                <w:w w:val="96"/>
              </w:rPr>
              <w:t>Class A</w:t>
            </w:r>
            <w:r>
              <w:rPr>
                <w:rFonts w:ascii="Arial" w:cs="Arial" w:eastAsia="Arial" w:hAnsi="Arial"/>
                <w:sz w:val="21"/>
                <w:szCs w:val="21"/>
                <w:color w:val="0D0E10"/>
                <w:w w:val="96"/>
                <w:vertAlign w:val="superscript"/>
              </w:rPr>
              <w:t>(2)</w:t>
            </w:r>
          </w:p>
        </w:tc>
        <w:tc>
          <w:tcPr>
            <w:tcW w:w="1900" w:type="dxa"/>
            <w:vAlign w:val="bottom"/>
            <w:gridSpan w:val="3"/>
          </w:tcPr>
          <w:p>
            <w:pPr>
              <w:jc w:val="center"/>
              <w:ind w:left="239"/>
              <w:spacing w:after="0"/>
              <w:rPr>
                <w:sz w:val="20"/>
                <w:szCs w:val="20"/>
                <w:color w:val="auto"/>
              </w:rPr>
            </w:pPr>
            <w:r>
              <w:rPr>
                <w:rFonts w:ascii="Arial" w:cs="Arial" w:eastAsia="Arial" w:hAnsi="Arial"/>
                <w:sz w:val="16"/>
                <w:szCs w:val="16"/>
                <w:color w:val="0D0E10"/>
              </w:rPr>
              <w:t>27,777,241</w:t>
            </w:r>
          </w:p>
        </w:tc>
        <w:tc>
          <w:tcPr>
            <w:tcW w:w="300" w:type="dxa"/>
            <w:vAlign w:val="bottom"/>
          </w:tcPr>
          <w:p>
            <w:pPr>
              <w:spacing w:after="0"/>
              <w:rPr>
                <w:sz w:val="24"/>
                <w:szCs w:val="24"/>
                <w:color w:val="auto"/>
              </w:rPr>
            </w:pPr>
          </w:p>
        </w:tc>
        <w:tc>
          <w:tcPr>
            <w:tcW w:w="1560" w:type="dxa"/>
            <w:vAlign w:val="bottom"/>
            <w:gridSpan w:val="3"/>
          </w:tcPr>
          <w:p>
            <w:pPr>
              <w:jc w:val="center"/>
              <w:ind w:left="199"/>
              <w:spacing w:after="0"/>
              <w:rPr>
                <w:sz w:val="20"/>
                <w:szCs w:val="20"/>
                <w:color w:val="auto"/>
              </w:rPr>
            </w:pPr>
            <w:r>
              <w:rPr>
                <w:rFonts w:ascii="Arial" w:cs="Arial" w:eastAsia="Arial" w:hAnsi="Arial"/>
                <w:sz w:val="16"/>
                <w:szCs w:val="16"/>
                <w:color w:val="0D0E10"/>
                <w:w w:val="99"/>
              </w:rPr>
              <w:t>$3.09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gridSpan w:val="3"/>
          </w:tcPr>
          <w:p>
            <w:pPr>
              <w:jc w:val="center"/>
              <w:ind w:left="579"/>
              <w:spacing w:after="0"/>
              <w:rPr>
                <w:sz w:val="20"/>
                <w:szCs w:val="20"/>
                <w:color w:val="auto"/>
              </w:rPr>
            </w:pPr>
            <w:r>
              <w:rPr>
                <w:rFonts w:ascii="Arial" w:cs="Arial" w:eastAsia="Arial" w:hAnsi="Arial"/>
                <w:sz w:val="16"/>
                <w:szCs w:val="16"/>
                <w:color w:val="0D0E10"/>
              </w:rPr>
              <w:t>29,996,482</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100"/>
              <w:spacing w:after="0"/>
              <w:rPr>
                <w:sz w:val="20"/>
                <w:szCs w:val="20"/>
                <w:color w:val="auto"/>
              </w:rPr>
            </w:pPr>
            <w:r>
              <w:rPr>
                <w:rFonts w:ascii="Arial" w:cs="Arial" w:eastAsia="Arial" w:hAnsi="Arial"/>
                <w:sz w:val="16"/>
                <w:szCs w:val="16"/>
                <w:color w:val="0D0E10"/>
              </w:rPr>
              <w:t>Equity compensation plans approved</w:t>
            </w:r>
          </w:p>
        </w:tc>
        <w:tc>
          <w:tcPr>
            <w:tcW w:w="1100" w:type="dxa"/>
            <w:vAlign w:val="bottom"/>
            <w:tcBorders>
              <w:bottom w:val="single" w:sz="8" w:color="A5A4A3"/>
            </w:tcBorders>
          </w:tcPr>
          <w:p>
            <w:pPr>
              <w:spacing w:after="0"/>
              <w:rPr>
                <w:sz w:val="18"/>
                <w:szCs w:val="18"/>
                <w:color w:val="auto"/>
              </w:rPr>
            </w:pPr>
          </w:p>
        </w:tc>
        <w:tc>
          <w:tcPr>
            <w:tcW w:w="320" w:type="dxa"/>
            <w:vAlign w:val="bottom"/>
            <w:tcBorders>
              <w:bottom w:val="single" w:sz="8" w:color="A5A4A3"/>
            </w:tcBorders>
          </w:tcPr>
          <w:p>
            <w:pPr>
              <w:spacing w:after="0"/>
              <w:rPr>
                <w:sz w:val="18"/>
                <w:szCs w:val="18"/>
                <w:color w:val="auto"/>
              </w:rPr>
            </w:pPr>
          </w:p>
        </w:tc>
        <w:tc>
          <w:tcPr>
            <w:tcW w:w="700" w:type="dxa"/>
            <w:vAlign w:val="bottom"/>
            <w:tcBorders>
              <w:bottom w:val="single" w:sz="8" w:color="A5A4A3"/>
            </w:tcBorders>
          </w:tcPr>
          <w:p>
            <w:pPr>
              <w:spacing w:after="0"/>
              <w:rPr>
                <w:sz w:val="18"/>
                <w:szCs w:val="18"/>
                <w:color w:val="auto"/>
              </w:rPr>
            </w:pPr>
          </w:p>
        </w:tc>
        <w:tc>
          <w:tcPr>
            <w:tcW w:w="880" w:type="dxa"/>
            <w:vAlign w:val="bottom"/>
            <w:tcBorders>
              <w:bottom w:val="single" w:sz="8" w:color="A5A4A3"/>
            </w:tcBorders>
          </w:tcPr>
          <w:p>
            <w:pPr>
              <w:spacing w:after="0"/>
              <w:rPr>
                <w:sz w:val="18"/>
                <w:szCs w:val="18"/>
                <w:color w:val="auto"/>
              </w:rPr>
            </w:pPr>
          </w:p>
        </w:tc>
        <w:tc>
          <w:tcPr>
            <w:tcW w:w="300" w:type="dxa"/>
            <w:vAlign w:val="bottom"/>
            <w:tcBorders>
              <w:bottom w:val="single" w:sz="8" w:color="A5A4A3"/>
            </w:tcBorders>
          </w:tcPr>
          <w:p>
            <w:pPr>
              <w:spacing w:after="0"/>
              <w:rPr>
                <w:sz w:val="18"/>
                <w:szCs w:val="18"/>
                <w:color w:val="auto"/>
              </w:rPr>
            </w:pPr>
          </w:p>
        </w:tc>
        <w:tc>
          <w:tcPr>
            <w:tcW w:w="80" w:type="dxa"/>
            <w:vAlign w:val="bottom"/>
            <w:tcBorders>
              <w:bottom w:val="single" w:sz="8" w:color="A5A4A3"/>
            </w:tcBorders>
          </w:tcPr>
          <w:p>
            <w:pPr>
              <w:spacing w:after="0"/>
              <w:rPr>
                <w:sz w:val="18"/>
                <w:szCs w:val="18"/>
                <w:color w:val="auto"/>
              </w:rPr>
            </w:pPr>
          </w:p>
        </w:tc>
        <w:tc>
          <w:tcPr>
            <w:tcW w:w="740" w:type="dxa"/>
            <w:vAlign w:val="bottom"/>
            <w:tcBorders>
              <w:bottom w:val="single" w:sz="8" w:color="A5A4A3"/>
            </w:tcBorders>
          </w:tcPr>
          <w:p>
            <w:pPr>
              <w:spacing w:after="0"/>
              <w:rPr>
                <w:sz w:val="18"/>
                <w:szCs w:val="18"/>
                <w:color w:val="auto"/>
              </w:rPr>
            </w:pPr>
          </w:p>
        </w:tc>
        <w:tc>
          <w:tcPr>
            <w:tcW w:w="740" w:type="dxa"/>
            <w:vAlign w:val="bottom"/>
            <w:tcBorders>
              <w:bottom w:val="single" w:sz="8" w:color="A5A4A3"/>
            </w:tcBorders>
          </w:tcPr>
          <w:p>
            <w:pPr>
              <w:spacing w:after="0"/>
              <w:rPr>
                <w:sz w:val="18"/>
                <w:szCs w:val="18"/>
                <w:color w:val="auto"/>
              </w:rPr>
            </w:pPr>
          </w:p>
        </w:tc>
        <w:tc>
          <w:tcPr>
            <w:tcW w:w="100" w:type="dxa"/>
            <w:vAlign w:val="bottom"/>
            <w:tcBorders>
              <w:bottom w:val="single" w:sz="8" w:color="A5A4A3"/>
            </w:tcBorders>
          </w:tcPr>
          <w:p>
            <w:pPr>
              <w:spacing w:after="0"/>
              <w:rPr>
                <w:sz w:val="18"/>
                <w:szCs w:val="18"/>
                <w:color w:val="auto"/>
              </w:rPr>
            </w:pPr>
          </w:p>
        </w:tc>
        <w:tc>
          <w:tcPr>
            <w:tcW w:w="120" w:type="dxa"/>
            <w:vAlign w:val="bottom"/>
            <w:tcBorders>
              <w:bottom w:val="single" w:sz="8" w:color="A5A4A3"/>
            </w:tcBorders>
          </w:tcPr>
          <w:p>
            <w:pPr>
              <w:spacing w:after="0"/>
              <w:rPr>
                <w:sz w:val="18"/>
                <w:szCs w:val="18"/>
                <w:color w:val="auto"/>
              </w:rPr>
            </w:pPr>
          </w:p>
        </w:tc>
        <w:tc>
          <w:tcPr>
            <w:tcW w:w="60" w:type="dxa"/>
            <w:vAlign w:val="bottom"/>
            <w:tcBorders>
              <w:bottom w:val="single" w:sz="8" w:color="A5A4A3"/>
            </w:tcBorders>
          </w:tcPr>
          <w:p>
            <w:pPr>
              <w:spacing w:after="0"/>
              <w:rPr>
                <w:sz w:val="18"/>
                <w:szCs w:val="18"/>
                <w:color w:val="auto"/>
              </w:rPr>
            </w:pPr>
          </w:p>
        </w:tc>
        <w:tc>
          <w:tcPr>
            <w:tcW w:w="660" w:type="dxa"/>
            <w:vAlign w:val="bottom"/>
            <w:tcBorders>
              <w:bottom w:val="single" w:sz="8" w:color="A5A4A3"/>
            </w:tcBorders>
          </w:tcPr>
          <w:p>
            <w:pPr>
              <w:spacing w:after="0"/>
              <w:rPr>
                <w:sz w:val="18"/>
                <w:szCs w:val="18"/>
                <w:color w:val="auto"/>
              </w:rPr>
            </w:pPr>
          </w:p>
        </w:tc>
        <w:tc>
          <w:tcPr>
            <w:tcW w:w="820" w:type="dxa"/>
            <w:vAlign w:val="bottom"/>
            <w:tcBorders>
              <w:bottom w:val="single" w:sz="8" w:color="A5A4A3"/>
            </w:tcBorders>
          </w:tcPr>
          <w:p>
            <w:pPr>
              <w:spacing w:after="0"/>
              <w:rPr>
                <w:sz w:val="18"/>
                <w:szCs w:val="18"/>
                <w:color w:val="auto"/>
              </w:rPr>
            </w:pPr>
          </w:p>
        </w:tc>
        <w:tc>
          <w:tcPr>
            <w:tcW w:w="1040" w:type="dxa"/>
            <w:vAlign w:val="bottom"/>
            <w:tcBorders>
              <w:bottom w:val="single" w:sz="8" w:color="A5A4A3"/>
            </w:tcBorders>
          </w:tcPr>
          <w:p>
            <w:pPr>
              <w:spacing w:after="0"/>
              <w:rPr>
                <w:sz w:val="18"/>
                <w:szCs w:val="18"/>
                <w:color w:val="auto"/>
              </w:rPr>
            </w:pPr>
          </w:p>
        </w:tc>
        <w:tc>
          <w:tcPr>
            <w:tcW w:w="760" w:type="dxa"/>
            <w:vAlign w:val="bottom"/>
            <w:tcBorders>
              <w:bottom w:val="single" w:sz="8" w:color="A5A4A3"/>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100"/>
              <w:spacing w:after="0"/>
              <w:rPr>
                <w:sz w:val="20"/>
                <w:szCs w:val="20"/>
                <w:color w:val="auto"/>
              </w:rPr>
            </w:pPr>
            <w:r>
              <w:rPr>
                <w:rFonts w:ascii="Arial" w:cs="Arial" w:eastAsia="Arial" w:hAnsi="Arial"/>
                <w:sz w:val="16"/>
                <w:szCs w:val="16"/>
                <w:color w:val="0D0E10"/>
              </w:rPr>
              <w:t>by security holders</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D0E10"/>
                <w:w w:val="97"/>
              </w:rPr>
              <w:t>Class B</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gridSpan w:val="2"/>
            <w:vMerge w:val="restart"/>
          </w:tcPr>
          <w:p>
            <w:pPr>
              <w:jc w:val="center"/>
              <w:ind w:right="1000"/>
              <w:spacing w:after="0"/>
              <w:rPr>
                <w:sz w:val="20"/>
                <w:szCs w:val="20"/>
                <w:color w:val="auto"/>
              </w:rPr>
            </w:pPr>
            <w:r>
              <w:rPr>
                <w:rFonts w:ascii="Arial" w:cs="Arial" w:eastAsia="Arial" w:hAnsi="Arial"/>
                <w:sz w:val="16"/>
                <w:szCs w:val="16"/>
                <w:color w:val="0D0E10"/>
              </w:rPr>
              <w: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gridSpan w:val="4"/>
            <w:vMerge w:val="restart"/>
          </w:tcPr>
          <w:p>
            <w:pPr>
              <w:jc w:val="center"/>
              <w:ind w:right="820"/>
              <w:spacing w:after="0"/>
              <w:rPr>
                <w:sz w:val="20"/>
                <w:szCs w:val="20"/>
                <w:color w:val="auto"/>
              </w:rPr>
            </w:pPr>
            <w:r>
              <w:rPr>
                <w:rFonts w:ascii="Arial" w:cs="Arial" w:eastAsia="Arial" w:hAnsi="Arial"/>
                <w:sz w:val="16"/>
                <w:szCs w:val="16"/>
                <w:color w:val="0D0E10"/>
                <w:w w:val="99"/>
              </w:rPr>
              <w:t>—</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gridSpan w:val="2"/>
            <w:vMerge w:val="restart"/>
          </w:tcPr>
          <w:p>
            <w:pPr>
              <w:jc w:val="center"/>
              <w:ind w:right="1600"/>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244"/>
        </w:trPr>
        <w:tc>
          <w:tcPr>
            <w:tcW w:w="28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20" w:type="dxa"/>
            <w:vAlign w:val="bottom"/>
            <w:gridSpan w:val="4"/>
            <w:vMerge w:val="continue"/>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820" w:type="dxa"/>
            <w:vAlign w:val="bottom"/>
            <w:tcBorders>
              <w:bottom w:val="single" w:sz="8" w:color="A5A4A3"/>
            </w:tcBorders>
          </w:tcPr>
          <w:p>
            <w:pPr>
              <w:spacing w:after="0"/>
              <w:rPr>
                <w:sz w:val="21"/>
                <w:szCs w:val="21"/>
                <w:color w:val="auto"/>
              </w:rPr>
            </w:pPr>
          </w:p>
        </w:tc>
        <w:tc>
          <w:tcPr>
            <w:tcW w:w="1100" w:type="dxa"/>
            <w:vAlign w:val="bottom"/>
            <w:tcBorders>
              <w:bottom w:val="single" w:sz="8" w:color="A5A4A3"/>
            </w:tcBorders>
          </w:tcPr>
          <w:p>
            <w:pPr>
              <w:spacing w:after="0"/>
              <w:rPr>
                <w:sz w:val="21"/>
                <w:szCs w:val="21"/>
                <w:color w:val="auto"/>
              </w:rPr>
            </w:pPr>
          </w:p>
        </w:tc>
        <w:tc>
          <w:tcPr>
            <w:tcW w:w="320" w:type="dxa"/>
            <w:vAlign w:val="bottom"/>
            <w:tcBorders>
              <w:bottom w:val="single" w:sz="8" w:color="A5A4A3"/>
            </w:tcBorders>
          </w:tcPr>
          <w:p>
            <w:pPr>
              <w:spacing w:after="0"/>
              <w:rPr>
                <w:sz w:val="21"/>
                <w:szCs w:val="21"/>
                <w:color w:val="auto"/>
              </w:rPr>
            </w:pPr>
          </w:p>
        </w:tc>
        <w:tc>
          <w:tcPr>
            <w:tcW w:w="700" w:type="dxa"/>
            <w:vAlign w:val="bottom"/>
            <w:tcBorders>
              <w:bottom w:val="single" w:sz="8" w:color="A5A4A3"/>
            </w:tcBorders>
          </w:tcPr>
          <w:p>
            <w:pPr>
              <w:spacing w:after="0"/>
              <w:rPr>
                <w:sz w:val="21"/>
                <w:szCs w:val="21"/>
                <w:color w:val="auto"/>
              </w:rPr>
            </w:pPr>
          </w:p>
        </w:tc>
        <w:tc>
          <w:tcPr>
            <w:tcW w:w="880" w:type="dxa"/>
            <w:vAlign w:val="bottom"/>
            <w:tcBorders>
              <w:bottom w:val="single" w:sz="8" w:color="A5A4A3"/>
            </w:tcBorders>
          </w:tcPr>
          <w:p>
            <w:pPr>
              <w:spacing w:after="0"/>
              <w:rPr>
                <w:sz w:val="21"/>
                <w:szCs w:val="21"/>
                <w:color w:val="auto"/>
              </w:rPr>
            </w:pPr>
          </w:p>
        </w:tc>
        <w:tc>
          <w:tcPr>
            <w:tcW w:w="300" w:type="dxa"/>
            <w:vAlign w:val="bottom"/>
            <w:tcBorders>
              <w:bottom w:val="single" w:sz="8" w:color="A5A4A3"/>
            </w:tcBorders>
          </w:tcPr>
          <w:p>
            <w:pPr>
              <w:spacing w:after="0"/>
              <w:rPr>
                <w:sz w:val="21"/>
                <w:szCs w:val="21"/>
                <w:color w:val="auto"/>
              </w:rPr>
            </w:pPr>
          </w:p>
        </w:tc>
        <w:tc>
          <w:tcPr>
            <w:tcW w:w="80" w:type="dxa"/>
            <w:vAlign w:val="bottom"/>
            <w:tcBorders>
              <w:bottom w:val="single" w:sz="8" w:color="A5A4A3"/>
            </w:tcBorders>
          </w:tcPr>
          <w:p>
            <w:pPr>
              <w:spacing w:after="0"/>
              <w:rPr>
                <w:sz w:val="21"/>
                <w:szCs w:val="21"/>
                <w:color w:val="auto"/>
              </w:rPr>
            </w:pPr>
          </w:p>
        </w:tc>
        <w:tc>
          <w:tcPr>
            <w:tcW w:w="740" w:type="dxa"/>
            <w:vAlign w:val="bottom"/>
            <w:tcBorders>
              <w:bottom w:val="single" w:sz="8" w:color="A5A4A3"/>
            </w:tcBorders>
          </w:tcPr>
          <w:p>
            <w:pPr>
              <w:spacing w:after="0"/>
              <w:rPr>
                <w:sz w:val="21"/>
                <w:szCs w:val="21"/>
                <w:color w:val="auto"/>
              </w:rPr>
            </w:pPr>
          </w:p>
        </w:tc>
        <w:tc>
          <w:tcPr>
            <w:tcW w:w="740" w:type="dxa"/>
            <w:vAlign w:val="bottom"/>
            <w:tcBorders>
              <w:bottom w:val="single" w:sz="8" w:color="A5A4A3"/>
            </w:tcBorders>
          </w:tcPr>
          <w:p>
            <w:pPr>
              <w:spacing w:after="0"/>
              <w:rPr>
                <w:sz w:val="21"/>
                <w:szCs w:val="21"/>
                <w:color w:val="auto"/>
              </w:rPr>
            </w:pPr>
          </w:p>
        </w:tc>
        <w:tc>
          <w:tcPr>
            <w:tcW w:w="100" w:type="dxa"/>
            <w:vAlign w:val="bottom"/>
            <w:tcBorders>
              <w:bottom w:val="single" w:sz="8" w:color="A5A4A3"/>
            </w:tcBorders>
          </w:tcPr>
          <w:p>
            <w:pPr>
              <w:spacing w:after="0"/>
              <w:rPr>
                <w:sz w:val="21"/>
                <w:szCs w:val="21"/>
                <w:color w:val="auto"/>
              </w:rPr>
            </w:pPr>
          </w:p>
        </w:tc>
        <w:tc>
          <w:tcPr>
            <w:tcW w:w="120" w:type="dxa"/>
            <w:vAlign w:val="bottom"/>
            <w:tcBorders>
              <w:bottom w:val="single" w:sz="8" w:color="A5A4A3"/>
            </w:tcBorders>
          </w:tcPr>
          <w:p>
            <w:pPr>
              <w:spacing w:after="0"/>
              <w:rPr>
                <w:sz w:val="21"/>
                <w:szCs w:val="21"/>
                <w:color w:val="auto"/>
              </w:rPr>
            </w:pPr>
          </w:p>
        </w:tc>
        <w:tc>
          <w:tcPr>
            <w:tcW w:w="60" w:type="dxa"/>
            <w:vAlign w:val="bottom"/>
            <w:tcBorders>
              <w:bottom w:val="single" w:sz="8" w:color="A5A4A3"/>
            </w:tcBorders>
          </w:tcPr>
          <w:p>
            <w:pPr>
              <w:spacing w:after="0"/>
              <w:rPr>
                <w:sz w:val="21"/>
                <w:szCs w:val="21"/>
                <w:color w:val="auto"/>
              </w:rPr>
            </w:pPr>
          </w:p>
        </w:tc>
        <w:tc>
          <w:tcPr>
            <w:tcW w:w="660" w:type="dxa"/>
            <w:vAlign w:val="bottom"/>
            <w:tcBorders>
              <w:bottom w:val="single" w:sz="8" w:color="A5A4A3"/>
            </w:tcBorders>
          </w:tcPr>
          <w:p>
            <w:pPr>
              <w:spacing w:after="0"/>
              <w:rPr>
                <w:sz w:val="21"/>
                <w:szCs w:val="21"/>
                <w:color w:val="auto"/>
              </w:rPr>
            </w:pPr>
          </w:p>
        </w:tc>
        <w:tc>
          <w:tcPr>
            <w:tcW w:w="820" w:type="dxa"/>
            <w:vAlign w:val="bottom"/>
            <w:tcBorders>
              <w:bottom w:val="single" w:sz="8" w:color="A5A4A3"/>
            </w:tcBorders>
          </w:tcPr>
          <w:p>
            <w:pPr>
              <w:spacing w:after="0"/>
              <w:rPr>
                <w:sz w:val="21"/>
                <w:szCs w:val="21"/>
                <w:color w:val="auto"/>
              </w:rPr>
            </w:pPr>
          </w:p>
        </w:tc>
        <w:tc>
          <w:tcPr>
            <w:tcW w:w="1040" w:type="dxa"/>
            <w:vAlign w:val="bottom"/>
            <w:tcBorders>
              <w:bottom w:val="single" w:sz="8" w:color="A5A4A3"/>
            </w:tcBorders>
          </w:tcPr>
          <w:p>
            <w:pPr>
              <w:spacing w:after="0"/>
              <w:rPr>
                <w:sz w:val="21"/>
                <w:szCs w:val="21"/>
                <w:color w:val="auto"/>
              </w:rPr>
            </w:pPr>
          </w:p>
        </w:tc>
        <w:tc>
          <w:tcPr>
            <w:tcW w:w="760" w:type="dxa"/>
            <w:vAlign w:val="bottom"/>
            <w:tcBorders>
              <w:bottom w:val="single" w:sz="8" w:color="A5A4A3"/>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820" w:type="dxa"/>
            <w:vAlign w:val="bottom"/>
          </w:tcPr>
          <w:p>
            <w:pPr>
              <w:ind w:left="100"/>
              <w:spacing w:after="0"/>
              <w:rPr>
                <w:sz w:val="20"/>
                <w:szCs w:val="20"/>
                <w:color w:val="auto"/>
              </w:rPr>
            </w:pPr>
            <w:r>
              <w:rPr>
                <w:rFonts w:ascii="Arial" w:cs="Arial" w:eastAsia="Arial" w:hAnsi="Arial"/>
                <w:sz w:val="16"/>
                <w:szCs w:val="16"/>
                <w:color w:val="0D0E10"/>
              </w:rPr>
              <w:t>Equity compensation plans not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0D0E10"/>
              </w:rPr>
              <w:t>—</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2"/>
            <w:vMerge w:val="restart"/>
          </w:tcPr>
          <w:p>
            <w:pPr>
              <w:jc w:val="center"/>
              <w:ind w:right="1000"/>
              <w:spacing w:after="0"/>
              <w:rPr>
                <w:sz w:val="20"/>
                <w:szCs w:val="20"/>
                <w:color w:val="auto"/>
              </w:rPr>
            </w:pPr>
            <w:r>
              <w:rPr>
                <w:rFonts w:ascii="Arial" w:cs="Arial" w:eastAsia="Arial" w:hAnsi="Arial"/>
                <w:sz w:val="16"/>
                <w:szCs w:val="16"/>
                <w:color w:val="0D0E10"/>
              </w:rPr>
              <w:t>—</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gridSpan w:val="4"/>
            <w:vMerge w:val="restart"/>
          </w:tcPr>
          <w:p>
            <w:pPr>
              <w:jc w:val="center"/>
              <w:ind w:right="820"/>
              <w:spacing w:after="0"/>
              <w:rPr>
                <w:sz w:val="20"/>
                <w:szCs w:val="20"/>
                <w:color w:val="auto"/>
              </w:rPr>
            </w:pPr>
            <w:r>
              <w:rPr>
                <w:rFonts w:ascii="Arial" w:cs="Arial" w:eastAsia="Arial" w:hAnsi="Arial"/>
                <w:sz w:val="16"/>
                <w:szCs w:val="16"/>
                <w:color w:val="0D0E10"/>
                <w:w w:val="99"/>
              </w:rPr>
              <w:t>—</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gridSpan w:val="2"/>
            <w:vMerge w:val="restart"/>
          </w:tcPr>
          <w:p>
            <w:pPr>
              <w:jc w:val="center"/>
              <w:ind w:right="1600"/>
              <w:spacing w:after="0"/>
              <w:rPr>
                <w:sz w:val="20"/>
                <w:szCs w:val="20"/>
                <w:color w:val="auto"/>
              </w:rPr>
            </w:pPr>
            <w:r>
              <w:rPr>
                <w:rFonts w:ascii="Arial" w:cs="Arial" w:eastAsia="Arial" w:hAnsi="Arial"/>
                <w:sz w:val="16"/>
                <w:szCs w:val="16"/>
                <w:color w:val="0D0E10"/>
                <w:w w:val="99"/>
              </w:rPr>
              <w:t>—</w:t>
            </w:r>
          </w:p>
        </w:tc>
        <w:tc>
          <w:tcPr>
            <w:tcW w:w="0" w:type="dxa"/>
            <w:vAlign w:val="bottom"/>
          </w:tcPr>
          <w:p>
            <w:pPr>
              <w:spacing w:after="0"/>
              <w:rPr>
                <w:sz w:val="1"/>
                <w:szCs w:val="1"/>
                <w:color w:val="auto"/>
              </w:rPr>
            </w:pPr>
          </w:p>
        </w:tc>
      </w:tr>
      <w:tr>
        <w:trPr>
          <w:trHeight w:val="107"/>
        </w:trPr>
        <w:tc>
          <w:tcPr>
            <w:tcW w:w="2820" w:type="dxa"/>
            <w:vAlign w:val="bottom"/>
            <w:vMerge w:val="restart"/>
          </w:tcPr>
          <w:p>
            <w:pPr>
              <w:ind w:left="100"/>
              <w:spacing w:after="0"/>
              <w:rPr>
                <w:sz w:val="20"/>
                <w:szCs w:val="20"/>
                <w:color w:val="auto"/>
              </w:rPr>
            </w:pPr>
            <w:r>
              <w:rPr>
                <w:rFonts w:ascii="Arial" w:cs="Arial" w:eastAsia="Arial" w:hAnsi="Arial"/>
                <w:sz w:val="16"/>
                <w:szCs w:val="16"/>
                <w:color w:val="0D0E10"/>
              </w:rPr>
              <w:t>approved by security holders</w:t>
            </w:r>
          </w:p>
        </w:tc>
        <w:tc>
          <w:tcPr>
            <w:tcW w:w="11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820" w:type="dxa"/>
            <w:vAlign w:val="bottom"/>
            <w:tcBorders>
              <w:bottom w:val="single" w:sz="8" w:color="A5A4A3"/>
            </w:tcBorders>
          </w:tcPr>
          <w:p>
            <w:pPr>
              <w:spacing w:after="0"/>
              <w:rPr>
                <w:sz w:val="2"/>
                <w:szCs w:val="2"/>
                <w:color w:val="auto"/>
              </w:rPr>
            </w:pPr>
          </w:p>
        </w:tc>
        <w:tc>
          <w:tcPr>
            <w:tcW w:w="1100" w:type="dxa"/>
            <w:vAlign w:val="bottom"/>
            <w:tcBorders>
              <w:bottom w:val="single" w:sz="8" w:color="A5A4A3"/>
            </w:tcBorders>
          </w:tcPr>
          <w:p>
            <w:pPr>
              <w:spacing w:after="0"/>
              <w:rPr>
                <w:sz w:val="2"/>
                <w:szCs w:val="2"/>
                <w:color w:val="auto"/>
              </w:rPr>
            </w:pPr>
          </w:p>
        </w:tc>
        <w:tc>
          <w:tcPr>
            <w:tcW w:w="320" w:type="dxa"/>
            <w:vAlign w:val="bottom"/>
            <w:tcBorders>
              <w:bottom w:val="single" w:sz="8" w:color="A5A4A3"/>
            </w:tcBorders>
          </w:tcPr>
          <w:p>
            <w:pPr>
              <w:spacing w:after="0"/>
              <w:rPr>
                <w:sz w:val="2"/>
                <w:szCs w:val="2"/>
                <w:color w:val="auto"/>
              </w:rPr>
            </w:pPr>
          </w:p>
        </w:tc>
        <w:tc>
          <w:tcPr>
            <w:tcW w:w="700" w:type="dxa"/>
            <w:vAlign w:val="bottom"/>
            <w:tcBorders>
              <w:bottom w:val="single" w:sz="8" w:color="A5A4A3"/>
            </w:tcBorders>
          </w:tcPr>
          <w:p>
            <w:pPr>
              <w:spacing w:after="0"/>
              <w:rPr>
                <w:sz w:val="2"/>
                <w:szCs w:val="2"/>
                <w:color w:val="auto"/>
              </w:rPr>
            </w:pPr>
          </w:p>
        </w:tc>
        <w:tc>
          <w:tcPr>
            <w:tcW w:w="880" w:type="dxa"/>
            <w:vAlign w:val="bottom"/>
            <w:tcBorders>
              <w:bottom w:val="single" w:sz="8" w:color="A5A4A3"/>
            </w:tcBorders>
          </w:tcPr>
          <w:p>
            <w:pPr>
              <w:spacing w:after="0"/>
              <w:rPr>
                <w:sz w:val="2"/>
                <w:szCs w:val="2"/>
                <w:color w:val="auto"/>
              </w:rPr>
            </w:pPr>
          </w:p>
        </w:tc>
        <w:tc>
          <w:tcPr>
            <w:tcW w:w="300" w:type="dxa"/>
            <w:vAlign w:val="bottom"/>
            <w:tcBorders>
              <w:bottom w:val="single" w:sz="8" w:color="A5A4A3"/>
            </w:tcBorders>
          </w:tcPr>
          <w:p>
            <w:pPr>
              <w:spacing w:after="0"/>
              <w:rPr>
                <w:sz w:val="2"/>
                <w:szCs w:val="2"/>
                <w:color w:val="auto"/>
              </w:rPr>
            </w:pPr>
          </w:p>
        </w:tc>
        <w:tc>
          <w:tcPr>
            <w:tcW w:w="80" w:type="dxa"/>
            <w:vAlign w:val="bottom"/>
            <w:tcBorders>
              <w:bottom w:val="single" w:sz="8" w:color="A5A4A3"/>
            </w:tcBorders>
          </w:tcPr>
          <w:p>
            <w:pPr>
              <w:spacing w:after="0"/>
              <w:rPr>
                <w:sz w:val="2"/>
                <w:szCs w:val="2"/>
                <w:color w:val="auto"/>
              </w:rPr>
            </w:pPr>
          </w:p>
        </w:tc>
        <w:tc>
          <w:tcPr>
            <w:tcW w:w="740" w:type="dxa"/>
            <w:vAlign w:val="bottom"/>
            <w:tcBorders>
              <w:bottom w:val="single" w:sz="8" w:color="A5A4A3"/>
            </w:tcBorders>
          </w:tcPr>
          <w:p>
            <w:pPr>
              <w:spacing w:after="0"/>
              <w:rPr>
                <w:sz w:val="2"/>
                <w:szCs w:val="2"/>
                <w:color w:val="auto"/>
              </w:rPr>
            </w:pPr>
          </w:p>
        </w:tc>
        <w:tc>
          <w:tcPr>
            <w:tcW w:w="740" w:type="dxa"/>
            <w:vAlign w:val="bottom"/>
            <w:tcBorders>
              <w:bottom w:val="single" w:sz="8" w:color="A5A4A3"/>
            </w:tcBorders>
          </w:tcPr>
          <w:p>
            <w:pPr>
              <w:spacing w:after="0"/>
              <w:rPr>
                <w:sz w:val="2"/>
                <w:szCs w:val="2"/>
                <w:color w:val="auto"/>
              </w:rPr>
            </w:pPr>
          </w:p>
        </w:tc>
        <w:tc>
          <w:tcPr>
            <w:tcW w:w="100" w:type="dxa"/>
            <w:vAlign w:val="bottom"/>
            <w:tcBorders>
              <w:bottom w:val="single" w:sz="8" w:color="A5A4A3"/>
            </w:tcBorders>
          </w:tcPr>
          <w:p>
            <w:pPr>
              <w:spacing w:after="0"/>
              <w:rPr>
                <w:sz w:val="2"/>
                <w:szCs w:val="2"/>
                <w:color w:val="auto"/>
              </w:rPr>
            </w:pPr>
          </w:p>
        </w:tc>
        <w:tc>
          <w:tcPr>
            <w:tcW w:w="120" w:type="dxa"/>
            <w:vAlign w:val="bottom"/>
            <w:tcBorders>
              <w:bottom w:val="single" w:sz="8" w:color="A5A4A3"/>
            </w:tcBorders>
          </w:tcPr>
          <w:p>
            <w:pPr>
              <w:spacing w:after="0"/>
              <w:rPr>
                <w:sz w:val="2"/>
                <w:szCs w:val="2"/>
                <w:color w:val="auto"/>
              </w:rPr>
            </w:pPr>
          </w:p>
        </w:tc>
        <w:tc>
          <w:tcPr>
            <w:tcW w:w="60" w:type="dxa"/>
            <w:vAlign w:val="bottom"/>
            <w:tcBorders>
              <w:bottom w:val="single" w:sz="8" w:color="A5A4A3"/>
            </w:tcBorders>
          </w:tcPr>
          <w:p>
            <w:pPr>
              <w:spacing w:after="0"/>
              <w:rPr>
                <w:sz w:val="2"/>
                <w:szCs w:val="2"/>
                <w:color w:val="auto"/>
              </w:rPr>
            </w:pPr>
          </w:p>
        </w:tc>
        <w:tc>
          <w:tcPr>
            <w:tcW w:w="660" w:type="dxa"/>
            <w:vAlign w:val="bottom"/>
            <w:tcBorders>
              <w:bottom w:val="single" w:sz="8" w:color="A5A4A3"/>
            </w:tcBorders>
          </w:tcPr>
          <w:p>
            <w:pPr>
              <w:spacing w:after="0"/>
              <w:rPr>
                <w:sz w:val="2"/>
                <w:szCs w:val="2"/>
                <w:color w:val="auto"/>
              </w:rPr>
            </w:pPr>
          </w:p>
        </w:tc>
        <w:tc>
          <w:tcPr>
            <w:tcW w:w="820" w:type="dxa"/>
            <w:vAlign w:val="bottom"/>
            <w:tcBorders>
              <w:bottom w:val="single" w:sz="8" w:color="A5A4A3"/>
            </w:tcBorders>
          </w:tcPr>
          <w:p>
            <w:pPr>
              <w:spacing w:after="0"/>
              <w:rPr>
                <w:sz w:val="2"/>
                <w:szCs w:val="2"/>
                <w:color w:val="auto"/>
              </w:rPr>
            </w:pPr>
          </w:p>
        </w:tc>
        <w:tc>
          <w:tcPr>
            <w:tcW w:w="1040" w:type="dxa"/>
            <w:vAlign w:val="bottom"/>
            <w:tcBorders>
              <w:bottom w:val="single" w:sz="8" w:color="A5A4A3"/>
            </w:tcBorders>
          </w:tcPr>
          <w:p>
            <w:pPr>
              <w:spacing w:after="0"/>
              <w:rPr>
                <w:sz w:val="2"/>
                <w:szCs w:val="2"/>
                <w:color w:val="auto"/>
              </w:rPr>
            </w:pPr>
          </w:p>
        </w:tc>
        <w:tc>
          <w:tcPr>
            <w:tcW w:w="76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20" w:type="dxa"/>
            <w:vAlign w:val="bottom"/>
            <w:vMerge w:val="restart"/>
          </w:tcPr>
          <w:p>
            <w:pPr>
              <w:ind w:left="100"/>
              <w:spacing w:after="0"/>
              <w:rPr>
                <w:sz w:val="20"/>
                <w:szCs w:val="20"/>
                <w:color w:val="auto"/>
              </w:rPr>
            </w:pPr>
            <w:r>
              <w:rPr>
                <w:rFonts w:ascii="Arial" w:cs="Arial" w:eastAsia="Arial" w:hAnsi="Arial"/>
                <w:sz w:val="16"/>
                <w:szCs w:val="16"/>
                <w:b w:val="1"/>
                <w:bCs w:val="1"/>
                <w:color w:val="0D0E10"/>
              </w:rPr>
              <w:t>TOTAL</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0D0E10"/>
              </w:rPr>
              <w:t>Class A and</w:t>
            </w:r>
          </w:p>
        </w:tc>
        <w:tc>
          <w:tcPr>
            <w:tcW w:w="1900" w:type="dxa"/>
            <w:vAlign w:val="bottom"/>
            <w:gridSpan w:val="3"/>
            <w:vMerge w:val="restart"/>
          </w:tcPr>
          <w:p>
            <w:pPr>
              <w:jc w:val="center"/>
              <w:ind w:left="239"/>
              <w:spacing w:after="0"/>
              <w:rPr>
                <w:sz w:val="20"/>
                <w:szCs w:val="20"/>
                <w:color w:val="auto"/>
              </w:rPr>
            </w:pPr>
            <w:r>
              <w:rPr>
                <w:rFonts w:ascii="Arial" w:cs="Arial" w:eastAsia="Arial" w:hAnsi="Arial"/>
                <w:sz w:val="16"/>
                <w:szCs w:val="16"/>
                <w:b w:val="1"/>
                <w:bCs w:val="1"/>
                <w:color w:val="0D0E10"/>
              </w:rPr>
              <w:t>27,777,241</w:t>
            </w:r>
          </w:p>
        </w:tc>
        <w:tc>
          <w:tcPr>
            <w:tcW w:w="300" w:type="dxa"/>
            <w:vAlign w:val="bottom"/>
          </w:tcPr>
          <w:p>
            <w:pPr>
              <w:spacing w:after="0"/>
              <w:rPr>
                <w:sz w:val="18"/>
                <w:szCs w:val="18"/>
                <w:color w:val="auto"/>
              </w:rPr>
            </w:pPr>
          </w:p>
        </w:tc>
        <w:tc>
          <w:tcPr>
            <w:tcW w:w="1560" w:type="dxa"/>
            <w:vAlign w:val="bottom"/>
            <w:gridSpan w:val="3"/>
            <w:vMerge w:val="restart"/>
          </w:tcPr>
          <w:p>
            <w:pPr>
              <w:jc w:val="center"/>
              <w:ind w:left="199"/>
              <w:spacing w:after="0"/>
              <w:rPr>
                <w:sz w:val="20"/>
                <w:szCs w:val="20"/>
                <w:color w:val="auto"/>
              </w:rPr>
            </w:pPr>
            <w:r>
              <w:rPr>
                <w:rFonts w:ascii="Arial" w:cs="Arial" w:eastAsia="Arial" w:hAnsi="Arial"/>
                <w:sz w:val="16"/>
                <w:szCs w:val="16"/>
                <w:b w:val="1"/>
                <w:bCs w:val="1"/>
                <w:color w:val="0D0E10"/>
                <w:w w:val="99"/>
              </w:rPr>
              <w:t>$3.09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gridSpan w:val="3"/>
            <w:vMerge w:val="restart"/>
          </w:tcPr>
          <w:p>
            <w:pPr>
              <w:jc w:val="center"/>
              <w:ind w:left="579"/>
              <w:spacing w:after="0"/>
              <w:rPr>
                <w:sz w:val="20"/>
                <w:szCs w:val="20"/>
                <w:color w:val="auto"/>
              </w:rPr>
            </w:pPr>
            <w:r>
              <w:rPr>
                <w:rFonts w:ascii="Arial" w:cs="Arial" w:eastAsia="Arial" w:hAnsi="Arial"/>
                <w:sz w:val="16"/>
                <w:szCs w:val="16"/>
                <w:b w:val="1"/>
                <w:bCs w:val="1"/>
                <w:color w:val="0D0E10"/>
              </w:rPr>
              <w:t>29,996,482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820" w:type="dxa"/>
            <w:vAlign w:val="bottom"/>
            <w:vMerge w:val="continue"/>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0D0E10"/>
                <w:w w:val="98"/>
              </w:rPr>
              <w:t>Class B</w:t>
            </w:r>
          </w:p>
        </w:tc>
        <w:tc>
          <w:tcPr>
            <w:tcW w:w="19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820" w:type="dxa"/>
            <w:vAlign w:val="bottom"/>
            <w:tcBorders>
              <w:bottom w:val="single" w:sz="8" w:color="A5A4A3"/>
            </w:tcBorders>
          </w:tcPr>
          <w:p>
            <w:pPr>
              <w:spacing w:after="0" w:line="20" w:lineRule="exact"/>
              <w:rPr>
                <w:sz w:val="1"/>
                <w:szCs w:val="1"/>
                <w:color w:val="auto"/>
              </w:rPr>
            </w:pPr>
          </w:p>
        </w:tc>
        <w:tc>
          <w:tcPr>
            <w:tcW w:w="1100" w:type="dxa"/>
            <w:vAlign w:val="bottom"/>
            <w:tcBorders>
              <w:bottom w:val="single" w:sz="8" w:color="A5A4A3"/>
            </w:tcBorders>
          </w:tcPr>
          <w:p>
            <w:pPr>
              <w:spacing w:after="0" w:line="20" w:lineRule="exact"/>
              <w:rPr>
                <w:sz w:val="1"/>
                <w:szCs w:val="1"/>
                <w:color w:val="auto"/>
              </w:rPr>
            </w:pPr>
          </w:p>
        </w:tc>
        <w:tc>
          <w:tcPr>
            <w:tcW w:w="320" w:type="dxa"/>
            <w:vAlign w:val="bottom"/>
            <w:tcBorders>
              <w:bottom w:val="single" w:sz="8" w:color="A5A4A3"/>
            </w:tcBorders>
          </w:tcPr>
          <w:p>
            <w:pPr>
              <w:spacing w:after="0" w:line="20" w:lineRule="exact"/>
              <w:rPr>
                <w:sz w:val="1"/>
                <w:szCs w:val="1"/>
                <w:color w:val="auto"/>
              </w:rPr>
            </w:pPr>
          </w:p>
        </w:tc>
        <w:tc>
          <w:tcPr>
            <w:tcW w:w="700" w:type="dxa"/>
            <w:vAlign w:val="bottom"/>
            <w:tcBorders>
              <w:bottom w:val="single" w:sz="8" w:color="A5A4A3"/>
            </w:tcBorders>
          </w:tcPr>
          <w:p>
            <w:pPr>
              <w:spacing w:after="0" w:line="20" w:lineRule="exact"/>
              <w:rPr>
                <w:sz w:val="1"/>
                <w:szCs w:val="1"/>
                <w:color w:val="auto"/>
              </w:rPr>
            </w:pPr>
          </w:p>
        </w:tc>
        <w:tc>
          <w:tcPr>
            <w:tcW w:w="880" w:type="dxa"/>
            <w:vAlign w:val="bottom"/>
            <w:tcBorders>
              <w:bottom w:val="single" w:sz="8" w:color="A5A4A3"/>
            </w:tcBorders>
          </w:tcPr>
          <w:p>
            <w:pPr>
              <w:spacing w:after="0" w:line="20" w:lineRule="exact"/>
              <w:rPr>
                <w:sz w:val="1"/>
                <w:szCs w:val="1"/>
                <w:color w:val="auto"/>
              </w:rPr>
            </w:pPr>
          </w:p>
        </w:tc>
        <w:tc>
          <w:tcPr>
            <w:tcW w:w="300" w:type="dxa"/>
            <w:vAlign w:val="bottom"/>
            <w:tcBorders>
              <w:bottom w:val="single" w:sz="8" w:color="A5A4A3"/>
            </w:tcBorders>
          </w:tcPr>
          <w:p>
            <w:pPr>
              <w:spacing w:after="0" w:line="20" w:lineRule="exact"/>
              <w:rPr>
                <w:sz w:val="1"/>
                <w:szCs w:val="1"/>
                <w:color w:val="auto"/>
              </w:rPr>
            </w:pPr>
          </w:p>
        </w:tc>
        <w:tc>
          <w:tcPr>
            <w:tcW w:w="80" w:type="dxa"/>
            <w:vAlign w:val="bottom"/>
            <w:tcBorders>
              <w:bottom w:val="single" w:sz="8" w:color="A5A4A3"/>
            </w:tcBorders>
          </w:tcPr>
          <w:p>
            <w:pPr>
              <w:spacing w:after="0" w:line="20" w:lineRule="exact"/>
              <w:rPr>
                <w:sz w:val="1"/>
                <w:szCs w:val="1"/>
                <w:color w:val="auto"/>
              </w:rPr>
            </w:pPr>
          </w:p>
        </w:tc>
        <w:tc>
          <w:tcPr>
            <w:tcW w:w="740" w:type="dxa"/>
            <w:vAlign w:val="bottom"/>
            <w:tcBorders>
              <w:bottom w:val="single" w:sz="8" w:color="A5A4A3"/>
            </w:tcBorders>
          </w:tcPr>
          <w:p>
            <w:pPr>
              <w:spacing w:after="0" w:line="20" w:lineRule="exact"/>
              <w:rPr>
                <w:sz w:val="1"/>
                <w:szCs w:val="1"/>
                <w:color w:val="auto"/>
              </w:rPr>
            </w:pPr>
          </w:p>
        </w:tc>
        <w:tc>
          <w:tcPr>
            <w:tcW w:w="740" w:type="dxa"/>
            <w:vAlign w:val="bottom"/>
            <w:tcBorders>
              <w:bottom w:val="single" w:sz="8" w:color="A5A4A3"/>
            </w:tcBorders>
          </w:tcPr>
          <w:p>
            <w:pPr>
              <w:spacing w:after="0" w:line="20" w:lineRule="exact"/>
              <w:rPr>
                <w:sz w:val="1"/>
                <w:szCs w:val="1"/>
                <w:color w:val="auto"/>
              </w:rPr>
            </w:pPr>
          </w:p>
        </w:tc>
        <w:tc>
          <w:tcPr>
            <w:tcW w:w="100" w:type="dxa"/>
            <w:vAlign w:val="bottom"/>
            <w:tcBorders>
              <w:bottom w:val="single" w:sz="8" w:color="A5A4A3"/>
            </w:tcBorders>
          </w:tcPr>
          <w:p>
            <w:pPr>
              <w:spacing w:after="0" w:line="20" w:lineRule="exact"/>
              <w:rPr>
                <w:sz w:val="1"/>
                <w:szCs w:val="1"/>
                <w:color w:val="auto"/>
              </w:rPr>
            </w:pPr>
          </w:p>
        </w:tc>
        <w:tc>
          <w:tcPr>
            <w:tcW w:w="120" w:type="dxa"/>
            <w:vAlign w:val="bottom"/>
            <w:tcBorders>
              <w:bottom w:val="single" w:sz="8" w:color="A5A4A3"/>
            </w:tcBorders>
          </w:tcPr>
          <w:p>
            <w:pPr>
              <w:spacing w:after="0" w:line="20" w:lineRule="exact"/>
              <w:rPr>
                <w:sz w:val="1"/>
                <w:szCs w:val="1"/>
                <w:color w:val="auto"/>
              </w:rPr>
            </w:pPr>
          </w:p>
        </w:tc>
        <w:tc>
          <w:tcPr>
            <w:tcW w:w="60" w:type="dxa"/>
            <w:vAlign w:val="bottom"/>
            <w:tcBorders>
              <w:bottom w:val="single" w:sz="8" w:color="A5A4A3"/>
            </w:tcBorders>
          </w:tcPr>
          <w:p>
            <w:pPr>
              <w:spacing w:after="0" w:line="20" w:lineRule="exact"/>
              <w:rPr>
                <w:sz w:val="1"/>
                <w:szCs w:val="1"/>
                <w:color w:val="auto"/>
              </w:rPr>
            </w:pPr>
          </w:p>
        </w:tc>
        <w:tc>
          <w:tcPr>
            <w:tcW w:w="660" w:type="dxa"/>
            <w:vAlign w:val="bottom"/>
            <w:tcBorders>
              <w:bottom w:val="single" w:sz="8" w:color="A5A4A3"/>
            </w:tcBorders>
          </w:tcPr>
          <w:p>
            <w:pPr>
              <w:spacing w:after="0" w:line="20" w:lineRule="exact"/>
              <w:rPr>
                <w:sz w:val="1"/>
                <w:szCs w:val="1"/>
                <w:color w:val="auto"/>
              </w:rPr>
            </w:pPr>
          </w:p>
        </w:tc>
        <w:tc>
          <w:tcPr>
            <w:tcW w:w="820" w:type="dxa"/>
            <w:vAlign w:val="bottom"/>
            <w:tcBorders>
              <w:bottom w:val="single" w:sz="8" w:color="A5A4A3"/>
            </w:tcBorders>
          </w:tcPr>
          <w:p>
            <w:pPr>
              <w:spacing w:after="0" w:line="20" w:lineRule="exact"/>
              <w:rPr>
                <w:sz w:val="1"/>
                <w:szCs w:val="1"/>
                <w:color w:val="auto"/>
              </w:rPr>
            </w:pPr>
          </w:p>
        </w:tc>
        <w:tc>
          <w:tcPr>
            <w:tcW w:w="1040" w:type="dxa"/>
            <w:vAlign w:val="bottom"/>
            <w:tcBorders>
              <w:bottom w:val="single" w:sz="8" w:color="A5A4A3"/>
            </w:tcBorders>
          </w:tcPr>
          <w:p>
            <w:pPr>
              <w:spacing w:after="0" w:line="20" w:lineRule="exact"/>
              <w:rPr>
                <w:sz w:val="1"/>
                <w:szCs w:val="1"/>
                <w:color w:val="auto"/>
              </w:rPr>
            </w:pPr>
          </w:p>
        </w:tc>
        <w:tc>
          <w:tcPr>
            <w:tcW w:w="760" w:type="dxa"/>
            <w:vAlign w:val="bottom"/>
            <w:tcBorders>
              <w:bottom w:val="single" w:sz="8" w:color="A5A4A3"/>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40" w:right="40" w:hanging="332"/>
        <w:spacing w:after="0" w:line="335" w:lineRule="auto"/>
        <w:tabs>
          <w:tab w:leader="none" w:pos="343" w:val="left"/>
        </w:tabs>
        <w:numPr>
          <w:ilvl w:val="0"/>
          <w:numId w:val="52"/>
        </w:numPr>
        <w:rPr>
          <w:rFonts w:ascii="Arial" w:cs="Arial" w:eastAsia="Arial" w:hAnsi="Arial"/>
          <w:sz w:val="13"/>
          <w:szCs w:val="13"/>
          <w:color w:val="0D0E10"/>
        </w:rPr>
      </w:pPr>
      <w:r>
        <w:rPr>
          <w:rFonts w:ascii="Arial" w:cs="Arial" w:eastAsia="Arial" w:hAnsi="Arial"/>
          <w:sz w:val="13"/>
          <w:szCs w:val="13"/>
          <w:color w:val="0D0E10"/>
        </w:rPr>
        <w:t>The weighted-average exercise price is calculated based solely on outstanding stock options. It does not take into account the shares of our common stock underlying restricted stock units, which have no exercise price.</w:t>
      </w:r>
    </w:p>
    <w:p>
      <w:pPr>
        <w:spacing w:after="0" w:line="1" w:lineRule="exact"/>
        <w:rPr>
          <w:rFonts w:ascii="Arial" w:cs="Arial" w:eastAsia="Arial" w:hAnsi="Arial"/>
          <w:sz w:val="13"/>
          <w:szCs w:val="13"/>
          <w:color w:val="0D0E10"/>
        </w:rPr>
      </w:pPr>
    </w:p>
    <w:p>
      <w:pPr>
        <w:ind w:left="340" w:right="60" w:hanging="332"/>
        <w:spacing w:after="0" w:line="306" w:lineRule="auto"/>
        <w:tabs>
          <w:tab w:leader="none" w:pos="343" w:val="left"/>
        </w:tabs>
        <w:numPr>
          <w:ilvl w:val="0"/>
          <w:numId w:val="52"/>
        </w:numPr>
        <w:rPr>
          <w:rFonts w:ascii="Arial" w:cs="Arial" w:eastAsia="Arial" w:hAnsi="Arial"/>
          <w:sz w:val="13"/>
          <w:szCs w:val="13"/>
          <w:color w:val="0D0E10"/>
        </w:rPr>
      </w:pPr>
      <w:r>
        <w:rPr>
          <w:rFonts w:ascii="Arial" w:cs="Arial" w:eastAsia="Arial" w:hAnsi="Arial"/>
          <w:sz w:val="13"/>
          <w:szCs w:val="13"/>
          <w:color w:val="0D0E10"/>
        </w:rPr>
        <w:t>Includes the following plans: The 2020 Equity Incentive Plan, the Amended and Restated 2012 Stock Plan, and the ESPP. The shares of our Class A common stock underlying any awards that are forfeited, canceled, held back upon exercise or settlement of an award to satisfy the exercise price or tax withholding, reacquired by us prior to vesting, satisfied without the issuance of stock, expire or are otherwise terminated, other than by exercise, under the 2020 Equity Incentive Plan and the Amended and Restated 2012 Stock Plan, will be added back to the shares of our Class A common stock available for issuance under the 2020 Equity Incentive Plan. The Amended and Restated 2012 Stock Plan has been terminated and no further grants will be made under the Amended and Restated 2012 Stock Plan. Our 2020 Equity Incentive Plan provides that on February 1 of each calendar year, starting on February 1, 2021 through February 1, 2030, the number of shares of our Class A common stock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prior to the applicable February 1. Our ESPP provides that on February 1 of each calendar year, starting on February 1, 2021 through February 1, 2030, the number of shares of our Class A common stock reserved for issuance thereunder is automatically increased by a number equal to the lesser of (i) 1% of the total number of shares of our common stock (both Class A and Class B) outstanding on January 31 of the fiscal year before the date of such automatic increase, and (ii) 3,000,000 shares; provided that before the date of any such increase, our Board may determine that such increase will be less than the amount set forth in clauses (i) and (ii) or that there will be no increase at all. On February 1, 2024, the number of shares of our Class A common stock available for issuance under our 2020 Equity Incentive Plan and our ESPP increased by 11,236,396 shares and 2,247,279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61</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66" w:name="page67"/>
    <w:bookmarkEnd w:id="66"/>
    <w:p>
      <w:pPr>
        <w:ind w:right="900"/>
        <w:spacing w:after="0" w:line="255" w:lineRule="auto"/>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Security Ownership of Certain Beneficial Owners and Management and Related Stockholder Matters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0D0E10"/>
        </w:rPr>
        <w:t>The following table sets forth information with respect to the beneficial ownership of our capital stock as of March 31, 2024, for:</w:t>
      </w:r>
    </w:p>
    <w:p>
      <w:pPr>
        <w:spacing w:after="0" w:line="212" w:lineRule="exact"/>
        <w:rPr>
          <w:sz w:val="20"/>
          <w:szCs w:val="20"/>
          <w:color w:val="auto"/>
        </w:rPr>
      </w:pPr>
    </w:p>
    <w:p>
      <w:pPr>
        <w:ind w:left="620" w:hanging="288"/>
        <w:spacing w:after="0"/>
        <w:tabs>
          <w:tab w:leader="none" w:pos="620" w:val="left"/>
        </w:tabs>
        <w:numPr>
          <w:ilvl w:val="0"/>
          <w:numId w:val="53"/>
        </w:numPr>
        <w:rPr>
          <w:rFonts w:ascii="Arial" w:cs="Arial" w:eastAsia="Arial" w:hAnsi="Arial"/>
          <w:sz w:val="18"/>
          <w:szCs w:val="18"/>
          <w:color w:val="0D0E10"/>
        </w:rPr>
      </w:pPr>
      <w:r>
        <w:rPr>
          <w:rFonts w:ascii="Arial" w:cs="Arial" w:eastAsia="Arial" w:hAnsi="Arial"/>
          <w:sz w:val="18"/>
          <w:szCs w:val="18"/>
          <w:color w:val="0D0E10"/>
        </w:rPr>
        <w:t>each of our named executive officers;</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53"/>
        </w:numPr>
        <w:rPr>
          <w:rFonts w:ascii="Arial" w:cs="Arial" w:eastAsia="Arial" w:hAnsi="Arial"/>
          <w:sz w:val="18"/>
          <w:szCs w:val="18"/>
          <w:color w:val="0D0E10"/>
        </w:rPr>
      </w:pPr>
      <w:r>
        <w:rPr>
          <w:rFonts w:ascii="Arial" w:cs="Arial" w:eastAsia="Arial" w:hAnsi="Arial"/>
          <w:sz w:val="18"/>
          <w:szCs w:val="18"/>
          <w:color w:val="0D0E10"/>
        </w:rPr>
        <w:t>each of our directors;</w:t>
      </w:r>
    </w:p>
    <w:p>
      <w:pPr>
        <w:spacing w:after="0" w:line="90" w:lineRule="exact"/>
        <w:rPr>
          <w:rFonts w:ascii="Arial" w:cs="Arial" w:eastAsia="Arial" w:hAnsi="Arial"/>
          <w:sz w:val="18"/>
          <w:szCs w:val="18"/>
          <w:color w:val="0D0E10"/>
        </w:rPr>
      </w:pPr>
    </w:p>
    <w:p>
      <w:pPr>
        <w:ind w:left="620" w:hanging="288"/>
        <w:spacing w:after="0"/>
        <w:tabs>
          <w:tab w:leader="none" w:pos="620" w:val="left"/>
        </w:tabs>
        <w:numPr>
          <w:ilvl w:val="0"/>
          <w:numId w:val="53"/>
        </w:numPr>
        <w:rPr>
          <w:rFonts w:ascii="Arial" w:cs="Arial" w:eastAsia="Arial" w:hAnsi="Arial"/>
          <w:sz w:val="18"/>
          <w:szCs w:val="18"/>
          <w:color w:val="0D0E10"/>
        </w:rPr>
      </w:pPr>
      <w:r>
        <w:rPr>
          <w:rFonts w:ascii="Arial" w:cs="Arial" w:eastAsia="Arial" w:hAnsi="Arial"/>
          <w:sz w:val="18"/>
          <w:szCs w:val="18"/>
          <w:color w:val="0D0E10"/>
        </w:rPr>
        <w:t>all of our executive officers and directors as a group; and</w:t>
      </w:r>
    </w:p>
    <w:p>
      <w:pPr>
        <w:spacing w:after="0" w:line="103" w:lineRule="exact"/>
        <w:rPr>
          <w:rFonts w:ascii="Arial" w:cs="Arial" w:eastAsia="Arial" w:hAnsi="Arial"/>
          <w:sz w:val="18"/>
          <w:szCs w:val="18"/>
          <w:color w:val="0D0E10"/>
        </w:rPr>
      </w:pPr>
    </w:p>
    <w:p>
      <w:pPr>
        <w:ind w:left="620" w:hanging="288"/>
        <w:spacing w:after="0"/>
        <w:tabs>
          <w:tab w:leader="none" w:pos="620" w:val="left"/>
        </w:tabs>
        <w:numPr>
          <w:ilvl w:val="0"/>
          <w:numId w:val="53"/>
        </w:numPr>
        <w:rPr>
          <w:rFonts w:ascii="Arial" w:cs="Arial" w:eastAsia="Arial" w:hAnsi="Arial"/>
          <w:sz w:val="18"/>
          <w:szCs w:val="18"/>
          <w:color w:val="0D0E10"/>
        </w:rPr>
      </w:pPr>
      <w:r>
        <w:rPr>
          <w:rFonts w:ascii="Arial" w:cs="Arial" w:eastAsia="Arial" w:hAnsi="Arial"/>
          <w:sz w:val="18"/>
          <w:szCs w:val="18"/>
          <w:color w:val="0D0E10"/>
        </w:rPr>
        <w:t>each person or group of affiliated persons known by us to beneficially own more than 5% of our Class A or Class B common stock.</w:t>
      </w:r>
    </w:p>
    <w:p>
      <w:pPr>
        <w:spacing w:after="0" w:line="198" w:lineRule="exact"/>
        <w:rPr>
          <w:sz w:val="20"/>
          <w:szCs w:val="20"/>
          <w:color w:val="auto"/>
        </w:rPr>
      </w:pPr>
    </w:p>
    <w:p>
      <w:pPr>
        <w:spacing w:after="0" w:line="304" w:lineRule="auto"/>
        <w:rPr>
          <w:sz w:val="20"/>
          <w:szCs w:val="20"/>
          <w:color w:val="auto"/>
        </w:rPr>
      </w:pPr>
      <w:r>
        <w:rPr>
          <w:rFonts w:ascii="Arial" w:cs="Arial" w:eastAsia="Arial" w:hAnsi="Arial"/>
          <w:sz w:val="18"/>
          <w:szCs w:val="18"/>
          <w:color w:val="0D0E1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26"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0D0E10"/>
        </w:rPr>
        <w:t>We have based percentage ownership of our capital stock on 142,281,522 shares of our Class A common stock and 85,489,359 shares of our Class B common stock outstanding on March 31, 2024. We have deemed shares of our common stock subject to options that are currently exercisable or exercisable within 60 days of March 31, 2024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D0E10"/>
        </w:rPr>
        <w:t>Unless otherwise indicated, the address of each beneficial owner listed below is:</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c/o Asana, Inc.</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633 Folsom Street, Suite 100</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0D0E10"/>
        </w:rPr>
        <w:t>San Francisco, California 94107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62</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3" w:right="359" w:bottom="1440" w:gutter="0" w:footer="0" w:header="0"/>
        </w:sectPr>
      </w:pPr>
    </w:p>
    <w:bookmarkStart w:id="67" w:name="page68"/>
    <w:bookmarkEnd w:id="67"/>
    <w:p>
      <w:pPr>
        <w:ind w:left="204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649605</wp:posOffset>
            </wp:positionV>
            <wp:extent cx="8890" cy="3003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420" w:type="dxa"/>
            <w:vAlign w:val="bottom"/>
            <w:shd w:val="clear" w:color="auto" w:fill="A5A4A3"/>
          </w:tcPr>
          <w:p>
            <w:pPr>
              <w:spacing w:after="0"/>
              <w:rPr>
                <w:sz w:val="18"/>
                <w:szCs w:val="18"/>
                <w:color w:val="auto"/>
              </w:rPr>
            </w:pPr>
          </w:p>
        </w:tc>
        <w:tc>
          <w:tcPr>
            <w:tcW w:w="1060" w:type="dxa"/>
            <w:vAlign w:val="bottom"/>
            <w:gridSpan w:val="2"/>
            <w:shd w:val="clear" w:color="auto" w:fill="A5A4A3"/>
          </w:tcPr>
          <w:p>
            <w:pPr>
              <w:jc w:val="center"/>
              <w:ind w:left="279"/>
              <w:spacing w:after="0"/>
              <w:rPr>
                <w:sz w:val="20"/>
                <w:szCs w:val="20"/>
                <w:color w:val="auto"/>
              </w:rPr>
            </w:pPr>
            <w:r>
              <w:rPr>
                <w:rFonts w:ascii="Arial" w:cs="Arial" w:eastAsia="Arial" w:hAnsi="Arial"/>
                <w:sz w:val="16"/>
                <w:szCs w:val="16"/>
                <w:b w:val="1"/>
                <w:bCs w:val="1"/>
                <w:color w:val="FFFFFF"/>
                <w:highlight w:val="darkGray"/>
                <w:w w:val="98"/>
              </w:rPr>
              <w:t>Class A</w:t>
            </w:r>
          </w:p>
        </w:tc>
        <w:tc>
          <w:tcPr>
            <w:tcW w:w="280" w:type="dxa"/>
            <w:vAlign w:val="bottom"/>
            <w:shd w:val="clear" w:color="auto" w:fill="A5A4A3"/>
          </w:tcPr>
          <w:p>
            <w:pPr>
              <w:spacing w:after="0"/>
              <w:rPr>
                <w:sz w:val="18"/>
                <w:szCs w:val="18"/>
                <w:color w:val="auto"/>
              </w:rPr>
            </w:pPr>
          </w:p>
        </w:tc>
        <w:tc>
          <w:tcPr>
            <w:tcW w:w="140" w:type="dxa"/>
            <w:vAlign w:val="bottom"/>
            <w:shd w:val="clear" w:color="auto" w:fill="A5A4A3"/>
          </w:tcPr>
          <w:p>
            <w:pPr>
              <w:spacing w:after="0"/>
              <w:rPr>
                <w:sz w:val="18"/>
                <w:szCs w:val="18"/>
                <w:color w:val="auto"/>
              </w:rPr>
            </w:pPr>
          </w:p>
        </w:tc>
        <w:tc>
          <w:tcPr>
            <w:tcW w:w="360" w:type="dxa"/>
            <w:vAlign w:val="bottom"/>
            <w:shd w:val="clear" w:color="auto" w:fill="A5A4A3"/>
          </w:tcPr>
          <w:p>
            <w:pPr>
              <w:spacing w:after="0"/>
              <w:rPr>
                <w:sz w:val="18"/>
                <w:szCs w:val="18"/>
                <w:color w:val="auto"/>
              </w:rPr>
            </w:pPr>
          </w:p>
        </w:tc>
        <w:tc>
          <w:tcPr>
            <w:tcW w:w="1740" w:type="dxa"/>
            <w:vAlign w:val="bottom"/>
            <w:shd w:val="clear" w:color="auto" w:fill="A5A4A3"/>
          </w:tcPr>
          <w:p>
            <w:pPr>
              <w:jc w:val="center"/>
              <w:ind w:left="419"/>
              <w:spacing w:after="0"/>
              <w:rPr>
                <w:sz w:val="20"/>
                <w:szCs w:val="20"/>
                <w:color w:val="auto"/>
              </w:rPr>
            </w:pPr>
            <w:r>
              <w:rPr>
                <w:rFonts w:ascii="Arial" w:cs="Arial" w:eastAsia="Arial" w:hAnsi="Arial"/>
                <w:sz w:val="16"/>
                <w:szCs w:val="16"/>
                <w:b w:val="1"/>
                <w:bCs w:val="1"/>
                <w:color w:val="FFFFFF"/>
              </w:rPr>
              <w:t>Class B</w:t>
            </w:r>
          </w:p>
        </w:tc>
        <w:tc>
          <w:tcPr>
            <w:tcW w:w="540" w:type="dxa"/>
            <w:vAlign w:val="bottom"/>
            <w:shd w:val="clear" w:color="auto" w:fill="A5A4A3"/>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420" w:type="dxa"/>
            <w:vAlign w:val="bottom"/>
            <w:tcBorders>
              <w:bottom w:val="single" w:sz="8" w:color="A5A4A3"/>
            </w:tcBorders>
            <w:shd w:val="clear" w:color="auto" w:fill="A5A4A3"/>
          </w:tcPr>
          <w:p>
            <w:pPr>
              <w:spacing w:after="0"/>
              <w:rPr>
                <w:sz w:val="20"/>
                <w:szCs w:val="20"/>
                <w:color w:val="auto"/>
              </w:rPr>
            </w:pPr>
          </w:p>
        </w:tc>
        <w:tc>
          <w:tcPr>
            <w:tcW w:w="1340" w:type="dxa"/>
            <w:vAlign w:val="bottom"/>
            <w:tcBorders>
              <w:bottom w:val="single" w:sz="8" w:color="A5A4A3"/>
            </w:tcBorders>
            <w:gridSpan w:val="3"/>
            <w:shd w:val="clear" w:color="auto" w:fill="A5A4A3"/>
          </w:tcPr>
          <w:p>
            <w:pPr>
              <w:jc w:val="center"/>
              <w:spacing w:after="0"/>
              <w:rPr>
                <w:sz w:val="20"/>
                <w:szCs w:val="20"/>
                <w:color w:val="auto"/>
              </w:rPr>
            </w:pPr>
            <w:r>
              <w:rPr>
                <w:rFonts w:ascii="Arial" w:cs="Arial" w:eastAsia="Arial" w:hAnsi="Arial"/>
                <w:sz w:val="16"/>
                <w:szCs w:val="16"/>
                <w:b w:val="1"/>
                <w:bCs w:val="1"/>
                <w:color w:val="FFFFFF"/>
                <w:highlight w:val="darkGray"/>
              </w:rPr>
              <w:t>Common Stock</w:t>
            </w:r>
          </w:p>
        </w:tc>
        <w:tc>
          <w:tcPr>
            <w:tcW w:w="140" w:type="dxa"/>
            <w:vAlign w:val="bottom"/>
            <w:tcBorders>
              <w:bottom w:val="single" w:sz="8" w:color="A5A4A3"/>
            </w:tcBorders>
            <w:shd w:val="clear" w:color="auto" w:fill="A5A4A3"/>
          </w:tcPr>
          <w:p>
            <w:pPr>
              <w:spacing w:after="0"/>
              <w:rPr>
                <w:sz w:val="20"/>
                <w:szCs w:val="20"/>
                <w:color w:val="auto"/>
              </w:rPr>
            </w:pPr>
          </w:p>
        </w:tc>
        <w:tc>
          <w:tcPr>
            <w:tcW w:w="360" w:type="dxa"/>
            <w:vAlign w:val="bottom"/>
            <w:tcBorders>
              <w:bottom w:val="single" w:sz="8" w:color="A5A4A3"/>
            </w:tcBorders>
            <w:shd w:val="clear" w:color="auto" w:fill="A5A4A3"/>
          </w:tcPr>
          <w:p>
            <w:pPr>
              <w:spacing w:after="0"/>
              <w:rPr>
                <w:sz w:val="20"/>
                <w:szCs w:val="20"/>
                <w:color w:val="auto"/>
              </w:rPr>
            </w:pPr>
          </w:p>
        </w:tc>
        <w:tc>
          <w:tcPr>
            <w:tcW w:w="1740" w:type="dxa"/>
            <w:vAlign w:val="bottom"/>
            <w:tcBorders>
              <w:bottom w:val="single" w:sz="8" w:color="A5A4A3"/>
            </w:tcBorders>
            <w:shd w:val="clear" w:color="auto" w:fill="A5A4A3"/>
          </w:tcPr>
          <w:p>
            <w:pPr>
              <w:jc w:val="center"/>
              <w:ind w:left="479"/>
              <w:spacing w:after="0"/>
              <w:rPr>
                <w:sz w:val="20"/>
                <w:szCs w:val="20"/>
                <w:color w:val="auto"/>
              </w:rPr>
            </w:pPr>
            <w:r>
              <w:rPr>
                <w:rFonts w:ascii="Arial" w:cs="Arial" w:eastAsia="Arial" w:hAnsi="Arial"/>
                <w:sz w:val="16"/>
                <w:szCs w:val="16"/>
                <w:b w:val="1"/>
                <w:bCs w:val="1"/>
                <w:color w:val="FFFFFF"/>
              </w:rPr>
              <w:t>Common Stock</w:t>
            </w:r>
          </w:p>
        </w:tc>
        <w:tc>
          <w:tcPr>
            <w:tcW w:w="540" w:type="dxa"/>
            <w:vAlign w:val="bottom"/>
            <w:tcBorders>
              <w:bottom w:val="single" w:sz="8" w:color="A5A4A3"/>
            </w:tcBorders>
            <w:shd w:val="clear" w:color="auto" w:fill="A5A4A3"/>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980" w:type="dxa"/>
            <w:vAlign w:val="bottom"/>
            <w:vMerge w:val="restart"/>
            <w:shd w:val="clear" w:color="auto" w:fill="EEEBEA"/>
          </w:tcPr>
          <w:p>
            <w:pPr>
              <w:ind w:left="100"/>
              <w:spacing w:after="0"/>
              <w:rPr>
                <w:sz w:val="20"/>
                <w:szCs w:val="20"/>
                <w:color w:val="auto"/>
              </w:rPr>
            </w:pPr>
            <w:r>
              <w:rPr>
                <w:rFonts w:ascii="Arial" w:cs="Arial" w:eastAsia="Arial" w:hAnsi="Arial"/>
                <w:sz w:val="16"/>
                <w:szCs w:val="16"/>
                <w:b w:val="1"/>
                <w:bCs w:val="1"/>
                <w:color w:val="F06A6A"/>
              </w:rPr>
              <w:t>Name of Beneficial Owner</w:t>
            </w:r>
          </w:p>
        </w:tc>
        <w:tc>
          <w:tcPr>
            <w:tcW w:w="420" w:type="dxa"/>
            <w:vAlign w:val="bottom"/>
            <w:shd w:val="clear" w:color="auto" w:fill="EEEBEA"/>
          </w:tcPr>
          <w:p>
            <w:pPr>
              <w:spacing w:after="0"/>
              <w:rPr>
                <w:sz w:val="19"/>
                <w:szCs w:val="19"/>
                <w:color w:val="auto"/>
              </w:rPr>
            </w:pPr>
          </w:p>
        </w:tc>
        <w:tc>
          <w:tcPr>
            <w:tcW w:w="540" w:type="dxa"/>
            <w:vAlign w:val="bottom"/>
            <w:vMerge w:val="restart"/>
            <w:shd w:val="clear" w:color="auto" w:fill="EEEBEA"/>
          </w:tcPr>
          <w:p>
            <w:pPr>
              <w:spacing w:after="0"/>
              <w:rPr>
                <w:sz w:val="20"/>
                <w:szCs w:val="20"/>
                <w:color w:val="auto"/>
              </w:rPr>
            </w:pPr>
            <w:r>
              <w:rPr>
                <w:rFonts w:ascii="Arial" w:cs="Arial" w:eastAsia="Arial" w:hAnsi="Arial"/>
                <w:sz w:val="16"/>
                <w:szCs w:val="16"/>
                <w:b w:val="1"/>
                <w:bCs w:val="1"/>
                <w:color w:val="F06A6A"/>
                <w:w w:val="97"/>
                <w:shd w:val="clear" w:color="auto" w:fill="EEEBEA"/>
              </w:rPr>
              <w:t>Shares</w:t>
            </w:r>
          </w:p>
        </w:tc>
        <w:tc>
          <w:tcPr>
            <w:tcW w:w="520" w:type="dxa"/>
            <w:vAlign w:val="bottom"/>
            <w:shd w:val="clear" w:color="auto" w:fill="EEEBEA"/>
          </w:tcPr>
          <w:p>
            <w:pPr>
              <w:spacing w:after="0"/>
              <w:rPr>
                <w:sz w:val="19"/>
                <w:szCs w:val="19"/>
                <w:color w:val="auto"/>
              </w:rPr>
            </w:pPr>
          </w:p>
        </w:tc>
        <w:tc>
          <w:tcPr>
            <w:tcW w:w="280" w:type="dxa"/>
            <w:vAlign w:val="bottom"/>
            <w:shd w:val="clear" w:color="auto" w:fill="EEEBEA"/>
          </w:tcPr>
          <w:p>
            <w:pPr>
              <w:spacing w:after="0"/>
              <w:rPr>
                <w:sz w:val="19"/>
                <w:szCs w:val="19"/>
                <w:color w:val="auto"/>
              </w:rPr>
            </w:pPr>
          </w:p>
        </w:tc>
        <w:tc>
          <w:tcPr>
            <w:tcW w:w="14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w w:val="98"/>
                <w:shd w:val="clear" w:color="auto" w:fill="EEEBEA"/>
              </w:rPr>
              <w:t>%</w:t>
            </w:r>
          </w:p>
        </w:tc>
        <w:tc>
          <w:tcPr>
            <w:tcW w:w="360" w:type="dxa"/>
            <w:vAlign w:val="bottom"/>
            <w:shd w:val="clear" w:color="auto" w:fill="EEEBEA"/>
          </w:tcPr>
          <w:p>
            <w:pPr>
              <w:spacing w:after="0"/>
              <w:rPr>
                <w:sz w:val="19"/>
                <w:szCs w:val="19"/>
                <w:color w:val="auto"/>
              </w:rPr>
            </w:pPr>
          </w:p>
        </w:tc>
        <w:tc>
          <w:tcPr>
            <w:tcW w:w="1740" w:type="dxa"/>
            <w:vAlign w:val="bottom"/>
            <w:vMerge w:val="restart"/>
            <w:shd w:val="clear" w:color="auto" w:fill="EEEBEA"/>
          </w:tcPr>
          <w:p>
            <w:pPr>
              <w:jc w:val="center"/>
              <w:ind w:right="239"/>
              <w:spacing w:after="0"/>
              <w:rPr>
                <w:sz w:val="20"/>
                <w:szCs w:val="20"/>
                <w:color w:val="auto"/>
              </w:rPr>
            </w:pPr>
            <w:r>
              <w:rPr>
                <w:rFonts w:ascii="Arial" w:cs="Arial" w:eastAsia="Arial" w:hAnsi="Arial"/>
                <w:sz w:val="16"/>
                <w:szCs w:val="16"/>
                <w:b w:val="1"/>
                <w:bCs w:val="1"/>
                <w:color w:val="F06A6A"/>
              </w:rPr>
              <w:t>Shares</w:t>
            </w:r>
          </w:p>
        </w:tc>
        <w:tc>
          <w:tcPr>
            <w:tcW w:w="540" w:type="dxa"/>
            <w:vAlign w:val="bottom"/>
            <w:vMerge w:val="restart"/>
            <w:shd w:val="clear" w:color="auto" w:fill="EEEBEA"/>
          </w:tcPr>
          <w:p>
            <w:pPr>
              <w:jc w:val="center"/>
              <w:ind w:right="259"/>
              <w:spacing w:after="0"/>
              <w:rPr>
                <w:sz w:val="20"/>
                <w:szCs w:val="20"/>
                <w:color w:val="auto"/>
              </w:rPr>
            </w:pPr>
            <w:r>
              <w:rPr>
                <w:rFonts w:ascii="Arial" w:cs="Arial" w:eastAsia="Arial" w:hAnsi="Arial"/>
                <w:sz w:val="16"/>
                <w:szCs w:val="16"/>
                <w:b w:val="1"/>
                <w:bCs w:val="1"/>
                <w:color w:val="F06A6A"/>
              </w:rPr>
              <w:t>%</w:t>
            </w:r>
          </w:p>
        </w:tc>
        <w:tc>
          <w:tcPr>
            <w:tcW w:w="1720" w:type="dxa"/>
            <w:vAlign w:val="bottom"/>
            <w:shd w:val="clear" w:color="auto" w:fill="EEEBEA"/>
          </w:tcPr>
          <w:p>
            <w:pPr>
              <w:jc w:val="center"/>
              <w:spacing w:after="0"/>
              <w:rPr>
                <w:sz w:val="20"/>
                <w:szCs w:val="20"/>
                <w:color w:val="auto"/>
              </w:rPr>
            </w:pPr>
            <w:r>
              <w:rPr>
                <w:rFonts w:ascii="Arial" w:cs="Arial" w:eastAsia="Arial" w:hAnsi="Arial"/>
                <w:sz w:val="16"/>
                <w:szCs w:val="16"/>
                <w:b w:val="1"/>
                <w:bCs w:val="1"/>
                <w:color w:val="F06A6A"/>
                <w:w w:val="99"/>
              </w:rPr>
              <w:t>% of Total Voting</w:t>
            </w:r>
          </w:p>
        </w:tc>
        <w:tc>
          <w:tcPr>
            <w:tcW w:w="0" w:type="dxa"/>
            <w:vAlign w:val="bottom"/>
          </w:tcPr>
          <w:p>
            <w:pPr>
              <w:spacing w:after="0"/>
              <w:rPr>
                <w:sz w:val="1"/>
                <w:szCs w:val="1"/>
                <w:color w:val="auto"/>
              </w:rPr>
            </w:pPr>
          </w:p>
        </w:tc>
      </w:tr>
      <w:tr>
        <w:trPr>
          <w:trHeight w:val="200"/>
        </w:trPr>
        <w:tc>
          <w:tcPr>
            <w:tcW w:w="4980" w:type="dxa"/>
            <w:vAlign w:val="bottom"/>
            <w:vMerge w:val="continue"/>
            <w:shd w:val="clear" w:color="auto" w:fill="EEEBEA"/>
          </w:tcPr>
          <w:p>
            <w:pPr>
              <w:spacing w:after="0"/>
              <w:rPr>
                <w:sz w:val="17"/>
                <w:szCs w:val="17"/>
                <w:color w:val="auto"/>
              </w:rPr>
            </w:pPr>
          </w:p>
        </w:tc>
        <w:tc>
          <w:tcPr>
            <w:tcW w:w="420" w:type="dxa"/>
            <w:vAlign w:val="bottom"/>
            <w:shd w:val="clear" w:color="auto" w:fill="EEEBEA"/>
          </w:tcPr>
          <w:p>
            <w:pPr>
              <w:spacing w:after="0"/>
              <w:rPr>
                <w:sz w:val="17"/>
                <w:szCs w:val="17"/>
                <w:color w:val="auto"/>
              </w:rPr>
            </w:pPr>
          </w:p>
        </w:tc>
        <w:tc>
          <w:tcPr>
            <w:tcW w:w="540" w:type="dxa"/>
            <w:vAlign w:val="bottom"/>
            <w:vMerge w:val="continue"/>
            <w:shd w:val="clear" w:color="auto" w:fill="EEEBEA"/>
          </w:tcPr>
          <w:p>
            <w:pPr>
              <w:spacing w:after="0"/>
              <w:rPr>
                <w:sz w:val="17"/>
                <w:szCs w:val="17"/>
                <w:color w:val="auto"/>
              </w:rPr>
            </w:pPr>
          </w:p>
        </w:tc>
        <w:tc>
          <w:tcPr>
            <w:tcW w:w="520" w:type="dxa"/>
            <w:vAlign w:val="bottom"/>
            <w:shd w:val="clear" w:color="auto" w:fill="EEEBEA"/>
          </w:tcPr>
          <w:p>
            <w:pPr>
              <w:spacing w:after="0"/>
              <w:rPr>
                <w:sz w:val="17"/>
                <w:szCs w:val="17"/>
                <w:color w:val="auto"/>
              </w:rPr>
            </w:pPr>
          </w:p>
        </w:tc>
        <w:tc>
          <w:tcPr>
            <w:tcW w:w="280" w:type="dxa"/>
            <w:vAlign w:val="bottom"/>
            <w:shd w:val="clear" w:color="auto" w:fill="EEEBEA"/>
          </w:tcPr>
          <w:p>
            <w:pPr>
              <w:spacing w:after="0"/>
              <w:rPr>
                <w:sz w:val="17"/>
                <w:szCs w:val="17"/>
                <w:color w:val="auto"/>
              </w:rPr>
            </w:pPr>
          </w:p>
        </w:tc>
        <w:tc>
          <w:tcPr>
            <w:tcW w:w="140" w:type="dxa"/>
            <w:vAlign w:val="bottom"/>
            <w:vMerge w:val="continue"/>
            <w:shd w:val="clear" w:color="auto" w:fill="EEEBEA"/>
          </w:tcPr>
          <w:p>
            <w:pPr>
              <w:spacing w:after="0"/>
              <w:rPr>
                <w:sz w:val="17"/>
                <w:szCs w:val="17"/>
                <w:color w:val="auto"/>
              </w:rPr>
            </w:pPr>
          </w:p>
        </w:tc>
        <w:tc>
          <w:tcPr>
            <w:tcW w:w="360" w:type="dxa"/>
            <w:vAlign w:val="bottom"/>
            <w:shd w:val="clear" w:color="auto" w:fill="EEEBEA"/>
          </w:tcPr>
          <w:p>
            <w:pPr>
              <w:spacing w:after="0"/>
              <w:rPr>
                <w:sz w:val="17"/>
                <w:szCs w:val="17"/>
                <w:color w:val="auto"/>
              </w:rPr>
            </w:pPr>
          </w:p>
        </w:tc>
        <w:tc>
          <w:tcPr>
            <w:tcW w:w="1740" w:type="dxa"/>
            <w:vAlign w:val="bottom"/>
            <w:vMerge w:val="continue"/>
            <w:shd w:val="clear" w:color="auto" w:fill="EEEBEA"/>
          </w:tcPr>
          <w:p>
            <w:pPr>
              <w:spacing w:after="0"/>
              <w:rPr>
                <w:sz w:val="17"/>
                <w:szCs w:val="17"/>
                <w:color w:val="auto"/>
              </w:rPr>
            </w:pPr>
          </w:p>
        </w:tc>
        <w:tc>
          <w:tcPr>
            <w:tcW w:w="540" w:type="dxa"/>
            <w:vAlign w:val="bottom"/>
            <w:vMerge w:val="continue"/>
            <w:shd w:val="clear" w:color="auto" w:fill="EEEBEA"/>
          </w:tcPr>
          <w:p>
            <w:pPr>
              <w:spacing w:after="0"/>
              <w:rPr>
                <w:sz w:val="17"/>
                <w:szCs w:val="17"/>
                <w:color w:val="auto"/>
              </w:rPr>
            </w:pPr>
          </w:p>
        </w:tc>
        <w:tc>
          <w:tcPr>
            <w:tcW w:w="1720" w:type="dxa"/>
            <w:vAlign w:val="bottom"/>
            <w:shd w:val="clear" w:color="auto" w:fill="EEEBEA"/>
          </w:tcPr>
          <w:p>
            <w:pPr>
              <w:jc w:val="center"/>
              <w:spacing w:after="0" w:line="200" w:lineRule="exact"/>
              <w:rPr>
                <w:sz w:val="20"/>
                <w:szCs w:val="20"/>
                <w:color w:val="auto"/>
              </w:rPr>
            </w:pPr>
            <w:r>
              <w:rPr>
                <w:rFonts w:ascii="Arial" w:cs="Arial" w:eastAsia="Arial" w:hAnsi="Arial"/>
                <w:sz w:val="16"/>
                <w:szCs w:val="16"/>
                <w:b w:val="1"/>
                <w:bCs w:val="1"/>
                <w:color w:val="F06A6A"/>
                <w:w w:val="96"/>
              </w:rPr>
              <w:t>Power</w:t>
            </w:r>
            <w:r>
              <w:rPr>
                <w:rFonts w:ascii="Arial" w:cs="Arial" w:eastAsia="Arial" w:hAnsi="Arial"/>
                <w:sz w:val="21"/>
                <w:szCs w:val="21"/>
                <w:b w:val="1"/>
                <w:bCs w:val="1"/>
                <w:color w:val="F06A6A"/>
                <w:w w:val="96"/>
                <w:vertAlign w:val="superscript"/>
              </w:rPr>
              <w:t>†</w:t>
            </w:r>
          </w:p>
        </w:tc>
        <w:tc>
          <w:tcPr>
            <w:tcW w:w="0" w:type="dxa"/>
            <w:vAlign w:val="bottom"/>
          </w:tcPr>
          <w:p>
            <w:pPr>
              <w:spacing w:after="0"/>
              <w:rPr>
                <w:sz w:val="1"/>
                <w:szCs w:val="1"/>
                <w:color w:val="auto"/>
              </w:rPr>
            </w:pPr>
          </w:p>
        </w:tc>
      </w:tr>
      <w:tr>
        <w:trPr>
          <w:trHeight w:val="148"/>
        </w:trPr>
        <w:tc>
          <w:tcPr>
            <w:tcW w:w="4980" w:type="dxa"/>
            <w:vAlign w:val="bottom"/>
            <w:shd w:val="clear" w:color="auto" w:fill="EEEBEA"/>
          </w:tcPr>
          <w:p>
            <w:pPr>
              <w:spacing w:after="0"/>
              <w:rPr>
                <w:sz w:val="12"/>
                <w:szCs w:val="12"/>
                <w:color w:val="auto"/>
              </w:rPr>
            </w:pPr>
          </w:p>
        </w:tc>
        <w:tc>
          <w:tcPr>
            <w:tcW w:w="420" w:type="dxa"/>
            <w:vAlign w:val="bottom"/>
            <w:shd w:val="clear" w:color="auto" w:fill="EEEBEA"/>
          </w:tcPr>
          <w:p>
            <w:pPr>
              <w:spacing w:after="0"/>
              <w:rPr>
                <w:sz w:val="12"/>
                <w:szCs w:val="12"/>
                <w:color w:val="auto"/>
              </w:rPr>
            </w:pPr>
          </w:p>
        </w:tc>
        <w:tc>
          <w:tcPr>
            <w:tcW w:w="540" w:type="dxa"/>
            <w:vAlign w:val="bottom"/>
            <w:shd w:val="clear" w:color="auto" w:fill="EEEBEA"/>
          </w:tcPr>
          <w:p>
            <w:pPr>
              <w:spacing w:after="0"/>
              <w:rPr>
                <w:sz w:val="12"/>
                <w:szCs w:val="12"/>
                <w:color w:val="auto"/>
              </w:rPr>
            </w:pPr>
          </w:p>
        </w:tc>
        <w:tc>
          <w:tcPr>
            <w:tcW w:w="520" w:type="dxa"/>
            <w:vAlign w:val="bottom"/>
            <w:shd w:val="clear" w:color="auto" w:fill="EEEBEA"/>
          </w:tcPr>
          <w:p>
            <w:pPr>
              <w:spacing w:after="0"/>
              <w:rPr>
                <w:sz w:val="12"/>
                <w:szCs w:val="12"/>
                <w:color w:val="auto"/>
              </w:rPr>
            </w:pPr>
          </w:p>
        </w:tc>
        <w:tc>
          <w:tcPr>
            <w:tcW w:w="280" w:type="dxa"/>
            <w:vAlign w:val="bottom"/>
            <w:shd w:val="clear" w:color="auto" w:fill="EEEBEA"/>
          </w:tcPr>
          <w:p>
            <w:pPr>
              <w:spacing w:after="0"/>
              <w:rPr>
                <w:sz w:val="12"/>
                <w:szCs w:val="12"/>
                <w:color w:val="auto"/>
              </w:rPr>
            </w:pPr>
          </w:p>
        </w:tc>
        <w:tc>
          <w:tcPr>
            <w:tcW w:w="140" w:type="dxa"/>
            <w:vAlign w:val="bottom"/>
            <w:shd w:val="clear" w:color="auto" w:fill="EEEBEA"/>
          </w:tcPr>
          <w:p>
            <w:pPr>
              <w:spacing w:after="0"/>
              <w:rPr>
                <w:sz w:val="12"/>
                <w:szCs w:val="12"/>
                <w:color w:val="auto"/>
              </w:rPr>
            </w:pPr>
          </w:p>
        </w:tc>
        <w:tc>
          <w:tcPr>
            <w:tcW w:w="360" w:type="dxa"/>
            <w:vAlign w:val="bottom"/>
            <w:shd w:val="clear" w:color="auto" w:fill="EEEBEA"/>
          </w:tcPr>
          <w:p>
            <w:pPr>
              <w:spacing w:after="0"/>
              <w:rPr>
                <w:sz w:val="12"/>
                <w:szCs w:val="12"/>
                <w:color w:val="auto"/>
              </w:rPr>
            </w:pPr>
          </w:p>
        </w:tc>
        <w:tc>
          <w:tcPr>
            <w:tcW w:w="1740" w:type="dxa"/>
            <w:vAlign w:val="bottom"/>
            <w:shd w:val="clear" w:color="auto" w:fill="EEEBEA"/>
          </w:tcPr>
          <w:p>
            <w:pPr>
              <w:spacing w:after="0"/>
              <w:rPr>
                <w:sz w:val="12"/>
                <w:szCs w:val="12"/>
                <w:color w:val="auto"/>
              </w:rPr>
            </w:pPr>
          </w:p>
        </w:tc>
        <w:tc>
          <w:tcPr>
            <w:tcW w:w="540" w:type="dxa"/>
            <w:vAlign w:val="bottom"/>
            <w:shd w:val="clear" w:color="auto" w:fill="EEEBEA"/>
          </w:tcPr>
          <w:p>
            <w:pPr>
              <w:spacing w:after="0"/>
              <w:rPr>
                <w:sz w:val="12"/>
                <w:szCs w:val="12"/>
                <w:color w:val="auto"/>
              </w:rPr>
            </w:pPr>
          </w:p>
        </w:tc>
        <w:tc>
          <w:tcPr>
            <w:tcW w:w="1720" w:type="dxa"/>
            <w:vAlign w:val="bottom"/>
            <w:shd w:val="clear" w:color="auto" w:fill="EEEBEA"/>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980" w:type="dxa"/>
            <w:vAlign w:val="bottom"/>
            <w:tcBorders>
              <w:bottom w:val="single" w:sz="8" w:color="F06A6A"/>
            </w:tcBorders>
            <w:shd w:val="clear" w:color="auto" w:fill="F06A6A"/>
          </w:tcPr>
          <w:p>
            <w:pPr>
              <w:ind w:left="100"/>
              <w:spacing w:after="0"/>
              <w:rPr>
                <w:sz w:val="20"/>
                <w:szCs w:val="20"/>
                <w:color w:val="auto"/>
              </w:rPr>
            </w:pPr>
            <w:r>
              <w:rPr>
                <w:rFonts w:ascii="Arial" w:cs="Arial" w:eastAsia="Arial" w:hAnsi="Arial"/>
                <w:sz w:val="16"/>
                <w:szCs w:val="16"/>
                <w:b w:val="1"/>
                <w:bCs w:val="1"/>
                <w:color w:val="FFFFFF"/>
              </w:rPr>
              <w:t>5% Stockholders</w:t>
            </w:r>
          </w:p>
        </w:tc>
        <w:tc>
          <w:tcPr>
            <w:tcW w:w="420" w:type="dxa"/>
            <w:vAlign w:val="bottom"/>
            <w:tcBorders>
              <w:bottom w:val="single" w:sz="8" w:color="F06A6A"/>
            </w:tcBorders>
            <w:shd w:val="clear" w:color="auto" w:fill="F06A6A"/>
          </w:tcPr>
          <w:p>
            <w:pPr>
              <w:spacing w:after="0"/>
              <w:rPr>
                <w:sz w:val="24"/>
                <w:szCs w:val="24"/>
                <w:color w:val="auto"/>
              </w:rPr>
            </w:pPr>
          </w:p>
        </w:tc>
        <w:tc>
          <w:tcPr>
            <w:tcW w:w="540" w:type="dxa"/>
            <w:vAlign w:val="bottom"/>
            <w:tcBorders>
              <w:bottom w:val="single" w:sz="8" w:color="F06A6A"/>
            </w:tcBorders>
            <w:shd w:val="clear" w:color="auto" w:fill="F06A6A"/>
          </w:tcPr>
          <w:p>
            <w:pPr>
              <w:spacing w:after="0"/>
              <w:rPr>
                <w:sz w:val="24"/>
                <w:szCs w:val="24"/>
                <w:color w:val="auto"/>
              </w:rPr>
            </w:pPr>
          </w:p>
        </w:tc>
        <w:tc>
          <w:tcPr>
            <w:tcW w:w="520" w:type="dxa"/>
            <w:vAlign w:val="bottom"/>
            <w:tcBorders>
              <w:bottom w:val="single" w:sz="8" w:color="F06A6A"/>
            </w:tcBorders>
            <w:shd w:val="clear" w:color="auto" w:fill="F06A6A"/>
          </w:tcPr>
          <w:p>
            <w:pPr>
              <w:spacing w:after="0"/>
              <w:rPr>
                <w:sz w:val="24"/>
                <w:szCs w:val="24"/>
                <w:color w:val="auto"/>
              </w:rPr>
            </w:pPr>
          </w:p>
        </w:tc>
        <w:tc>
          <w:tcPr>
            <w:tcW w:w="280" w:type="dxa"/>
            <w:vAlign w:val="bottom"/>
            <w:tcBorders>
              <w:bottom w:val="single" w:sz="8" w:color="F06A6A"/>
            </w:tcBorders>
            <w:shd w:val="clear" w:color="auto" w:fill="F06A6A"/>
          </w:tcPr>
          <w:p>
            <w:pPr>
              <w:spacing w:after="0"/>
              <w:rPr>
                <w:sz w:val="24"/>
                <w:szCs w:val="24"/>
                <w:color w:val="auto"/>
              </w:rPr>
            </w:pPr>
          </w:p>
        </w:tc>
        <w:tc>
          <w:tcPr>
            <w:tcW w:w="140" w:type="dxa"/>
            <w:vAlign w:val="bottom"/>
            <w:tcBorders>
              <w:bottom w:val="single" w:sz="8" w:color="F06A6A"/>
            </w:tcBorders>
            <w:shd w:val="clear" w:color="auto" w:fill="F06A6A"/>
          </w:tcPr>
          <w:p>
            <w:pPr>
              <w:spacing w:after="0"/>
              <w:rPr>
                <w:sz w:val="24"/>
                <w:szCs w:val="24"/>
                <w:color w:val="auto"/>
              </w:rPr>
            </w:pPr>
          </w:p>
        </w:tc>
        <w:tc>
          <w:tcPr>
            <w:tcW w:w="360" w:type="dxa"/>
            <w:vAlign w:val="bottom"/>
            <w:tcBorders>
              <w:bottom w:val="single" w:sz="8" w:color="F06A6A"/>
            </w:tcBorders>
            <w:shd w:val="clear" w:color="auto" w:fill="F06A6A"/>
          </w:tcPr>
          <w:p>
            <w:pPr>
              <w:spacing w:after="0"/>
              <w:rPr>
                <w:sz w:val="24"/>
                <w:szCs w:val="24"/>
                <w:color w:val="auto"/>
              </w:rPr>
            </w:pPr>
          </w:p>
        </w:tc>
        <w:tc>
          <w:tcPr>
            <w:tcW w:w="1740" w:type="dxa"/>
            <w:vAlign w:val="bottom"/>
            <w:tcBorders>
              <w:bottom w:val="single" w:sz="8" w:color="F06A6A"/>
            </w:tcBorders>
            <w:shd w:val="clear" w:color="auto" w:fill="F06A6A"/>
          </w:tcPr>
          <w:p>
            <w:pPr>
              <w:spacing w:after="0"/>
              <w:rPr>
                <w:sz w:val="24"/>
                <w:szCs w:val="24"/>
                <w:color w:val="auto"/>
              </w:rPr>
            </w:pPr>
          </w:p>
        </w:tc>
        <w:tc>
          <w:tcPr>
            <w:tcW w:w="540" w:type="dxa"/>
            <w:vAlign w:val="bottom"/>
            <w:tcBorders>
              <w:bottom w:val="single" w:sz="8" w:color="F06A6A"/>
            </w:tcBorders>
            <w:shd w:val="clear" w:color="auto" w:fill="F06A6A"/>
          </w:tcPr>
          <w:p>
            <w:pPr>
              <w:spacing w:after="0"/>
              <w:rPr>
                <w:sz w:val="24"/>
                <w:szCs w:val="24"/>
                <w:color w:val="auto"/>
              </w:rPr>
            </w:pPr>
          </w:p>
        </w:tc>
        <w:tc>
          <w:tcPr>
            <w:tcW w:w="1720" w:type="dxa"/>
            <w:vAlign w:val="bottom"/>
            <w:tcBorders>
              <w:bottom w:val="single" w:sz="8" w:color="F06A6A"/>
            </w:tcBorders>
            <w:shd w:val="clear" w:color="auto" w:fill="F06A6A"/>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980" w:type="dxa"/>
            <w:vAlign w:val="bottom"/>
            <w:tcBorders>
              <w:bottom w:val="single" w:sz="8" w:color="B6B6B6"/>
            </w:tcBorders>
          </w:tcPr>
          <w:p>
            <w:pPr>
              <w:ind w:left="100"/>
              <w:spacing w:after="0"/>
              <w:rPr>
                <w:sz w:val="20"/>
                <w:szCs w:val="20"/>
                <w:color w:val="auto"/>
              </w:rPr>
            </w:pPr>
            <w:r>
              <w:rPr>
                <w:rFonts w:ascii="Arial" w:cs="Arial" w:eastAsia="Arial" w:hAnsi="Arial"/>
                <w:sz w:val="16"/>
                <w:szCs w:val="16"/>
                <w:color w:val="0D0E10"/>
              </w:rPr>
              <w:t>The Vanguard Group</w:t>
            </w:r>
            <w:r>
              <w:rPr>
                <w:rFonts w:ascii="Arial" w:cs="Arial" w:eastAsia="Arial" w:hAnsi="Arial"/>
                <w:sz w:val="21"/>
                <w:szCs w:val="21"/>
                <w:color w:val="0D0E10"/>
                <w:vertAlign w:val="superscript"/>
              </w:rPr>
              <w:t>(1)</w:t>
            </w:r>
          </w:p>
        </w:tc>
        <w:tc>
          <w:tcPr>
            <w:tcW w:w="1480" w:type="dxa"/>
            <w:vAlign w:val="bottom"/>
            <w:tcBorders>
              <w:bottom w:val="single" w:sz="8" w:color="B6B6B6"/>
            </w:tcBorders>
            <w:gridSpan w:val="3"/>
          </w:tcPr>
          <w:p>
            <w:pPr>
              <w:jc w:val="right"/>
              <w:ind w:right="420"/>
              <w:spacing w:after="0"/>
              <w:rPr>
                <w:sz w:val="20"/>
                <w:szCs w:val="20"/>
                <w:color w:val="auto"/>
              </w:rPr>
            </w:pPr>
            <w:r>
              <w:rPr>
                <w:rFonts w:ascii="Arial" w:cs="Arial" w:eastAsia="Arial" w:hAnsi="Arial"/>
                <w:sz w:val="16"/>
                <w:szCs w:val="16"/>
                <w:color w:val="0D0E10"/>
              </w:rPr>
              <w:t>8,835,322</w:t>
            </w:r>
          </w:p>
        </w:tc>
        <w:tc>
          <w:tcPr>
            <w:tcW w:w="780" w:type="dxa"/>
            <w:vAlign w:val="bottom"/>
            <w:tcBorders>
              <w:bottom w:val="single" w:sz="8" w:color="B6B6B6"/>
            </w:tcBorders>
            <w:gridSpan w:val="3"/>
          </w:tcPr>
          <w:p>
            <w:pPr>
              <w:jc w:val="center"/>
              <w:ind w:right="80"/>
              <w:spacing w:after="0"/>
              <w:rPr>
                <w:sz w:val="20"/>
                <w:szCs w:val="20"/>
                <w:color w:val="auto"/>
              </w:rPr>
            </w:pPr>
            <w:r>
              <w:rPr>
                <w:rFonts w:ascii="Arial" w:cs="Arial" w:eastAsia="Arial" w:hAnsi="Arial"/>
                <w:sz w:val="16"/>
                <w:szCs w:val="16"/>
                <w:color w:val="0D0E10"/>
              </w:rPr>
              <w:t>6.2%</w:t>
            </w:r>
          </w:p>
        </w:tc>
        <w:tc>
          <w:tcPr>
            <w:tcW w:w="1740" w:type="dxa"/>
            <w:vAlign w:val="bottom"/>
            <w:tcBorders>
              <w:bottom w:val="single" w:sz="8" w:color="B6B6B6"/>
            </w:tcBorders>
          </w:tcPr>
          <w:p>
            <w:pPr>
              <w:jc w:val="center"/>
              <w:ind w:right="259"/>
              <w:spacing w:after="0"/>
              <w:rPr>
                <w:sz w:val="20"/>
                <w:szCs w:val="20"/>
                <w:color w:val="auto"/>
              </w:rPr>
            </w:pPr>
            <w:r>
              <w:rPr>
                <w:rFonts w:ascii="Arial" w:cs="Arial" w:eastAsia="Arial" w:hAnsi="Arial"/>
                <w:sz w:val="16"/>
                <w:szCs w:val="16"/>
                <w:color w:val="0D0E10"/>
                <w:w w:val="99"/>
              </w:rPr>
              <w:t>—</w:t>
            </w:r>
          </w:p>
        </w:tc>
        <w:tc>
          <w:tcPr>
            <w:tcW w:w="540" w:type="dxa"/>
            <w:vAlign w:val="bottom"/>
            <w:tcBorders>
              <w:bottom w:val="single" w:sz="8" w:color="B6B6B6"/>
            </w:tcBorders>
          </w:tcPr>
          <w:p>
            <w:pPr>
              <w:jc w:val="center"/>
              <w:ind w:right="259"/>
              <w:spacing w:after="0"/>
              <w:rPr>
                <w:sz w:val="20"/>
                <w:szCs w:val="20"/>
                <w:color w:val="auto"/>
              </w:rPr>
            </w:pPr>
            <w:r>
              <w:rPr>
                <w:rFonts w:ascii="Arial" w:cs="Arial" w:eastAsia="Arial" w:hAnsi="Arial"/>
                <w:sz w:val="16"/>
                <w:szCs w:val="16"/>
                <w:color w:val="0D0E10"/>
                <w:w w:val="99"/>
              </w:rPr>
              <w:t>—</w:t>
            </w:r>
          </w:p>
        </w:tc>
        <w:tc>
          <w:tcPr>
            <w:tcW w:w="1720" w:type="dxa"/>
            <w:vAlign w:val="bottom"/>
            <w:tcBorders>
              <w:bottom w:val="single" w:sz="8" w:color="B6B6B6"/>
            </w:tcBorders>
          </w:tcPr>
          <w:p>
            <w:pPr>
              <w:jc w:val="center"/>
              <w:spacing w:after="0"/>
              <w:rPr>
                <w:sz w:val="20"/>
                <w:szCs w:val="20"/>
                <w:color w:val="auto"/>
              </w:rPr>
            </w:pPr>
            <w:r>
              <w:rPr>
                <w:rFonts w:ascii="Arial" w:cs="Arial" w:eastAsia="Arial" w:hAnsi="Arial"/>
                <w:sz w:val="16"/>
                <w:szCs w:val="16"/>
                <w:color w:val="0D0E10"/>
                <w:w w:val="95"/>
              </w:rPr>
              <w:t>*</w:t>
            </w:r>
          </w:p>
        </w:tc>
        <w:tc>
          <w:tcPr>
            <w:tcW w:w="0" w:type="dxa"/>
            <w:vAlign w:val="bottom"/>
          </w:tcPr>
          <w:p>
            <w:pPr>
              <w:spacing w:after="0"/>
              <w:rPr>
                <w:sz w:val="1"/>
                <w:szCs w:val="1"/>
                <w:color w:val="auto"/>
              </w:rPr>
            </w:pPr>
          </w:p>
        </w:tc>
      </w:tr>
      <w:tr>
        <w:trPr>
          <w:trHeight w:val="250"/>
        </w:trPr>
        <w:tc>
          <w:tcPr>
            <w:tcW w:w="4980" w:type="dxa"/>
            <w:vAlign w:val="bottom"/>
          </w:tcPr>
          <w:p>
            <w:pPr>
              <w:ind w:left="100"/>
              <w:spacing w:after="0"/>
              <w:rPr>
                <w:sz w:val="20"/>
                <w:szCs w:val="20"/>
                <w:color w:val="auto"/>
              </w:rPr>
            </w:pPr>
            <w:r>
              <w:rPr>
                <w:rFonts w:ascii="Arial" w:cs="Arial" w:eastAsia="Arial" w:hAnsi="Arial"/>
                <w:sz w:val="16"/>
                <w:szCs w:val="16"/>
                <w:color w:val="0D0E10"/>
              </w:rPr>
              <w:t>Voya Financial, Inc.</w:t>
            </w:r>
            <w:r>
              <w:rPr>
                <w:rFonts w:ascii="Arial" w:cs="Arial" w:eastAsia="Arial" w:hAnsi="Arial"/>
                <w:sz w:val="21"/>
                <w:szCs w:val="21"/>
                <w:color w:val="0D0E10"/>
                <w:vertAlign w:val="superscript"/>
              </w:rPr>
              <w:t>(2)</w:t>
            </w:r>
          </w:p>
        </w:tc>
        <w:tc>
          <w:tcPr>
            <w:tcW w:w="1480" w:type="dxa"/>
            <w:vAlign w:val="bottom"/>
            <w:gridSpan w:val="3"/>
          </w:tcPr>
          <w:p>
            <w:pPr>
              <w:jc w:val="right"/>
              <w:ind w:right="380"/>
              <w:spacing w:after="0"/>
              <w:rPr>
                <w:sz w:val="20"/>
                <w:szCs w:val="20"/>
                <w:color w:val="auto"/>
              </w:rPr>
            </w:pPr>
            <w:r>
              <w:rPr>
                <w:rFonts w:ascii="Arial" w:cs="Arial" w:eastAsia="Arial" w:hAnsi="Arial"/>
                <w:sz w:val="16"/>
                <w:szCs w:val="16"/>
                <w:color w:val="0D0E10"/>
              </w:rPr>
              <w:t>10,697,066</w:t>
            </w:r>
          </w:p>
        </w:tc>
        <w:tc>
          <w:tcPr>
            <w:tcW w:w="780" w:type="dxa"/>
            <w:vAlign w:val="bottom"/>
            <w:gridSpan w:val="3"/>
          </w:tcPr>
          <w:p>
            <w:pPr>
              <w:jc w:val="center"/>
              <w:ind w:right="80"/>
              <w:spacing w:after="0"/>
              <w:rPr>
                <w:sz w:val="20"/>
                <w:szCs w:val="20"/>
                <w:color w:val="auto"/>
              </w:rPr>
            </w:pPr>
            <w:r>
              <w:rPr>
                <w:rFonts w:ascii="Arial" w:cs="Arial" w:eastAsia="Arial" w:hAnsi="Arial"/>
                <w:sz w:val="16"/>
                <w:szCs w:val="16"/>
                <w:color w:val="0D0E10"/>
              </w:rPr>
              <w:t>7.5%</w:t>
            </w:r>
          </w:p>
        </w:tc>
        <w:tc>
          <w:tcPr>
            <w:tcW w:w="1740" w:type="dxa"/>
            <w:vAlign w:val="bottom"/>
          </w:tcPr>
          <w:p>
            <w:pPr>
              <w:jc w:val="center"/>
              <w:ind w:right="259"/>
              <w:spacing w:after="0"/>
              <w:rPr>
                <w:sz w:val="20"/>
                <w:szCs w:val="20"/>
                <w:color w:val="auto"/>
              </w:rPr>
            </w:pPr>
            <w:r>
              <w:rPr>
                <w:rFonts w:ascii="Arial" w:cs="Arial" w:eastAsia="Arial" w:hAnsi="Arial"/>
                <w:sz w:val="16"/>
                <w:szCs w:val="16"/>
                <w:color w:val="0D0E10"/>
                <w:w w:val="99"/>
              </w:rPr>
              <w:t>—</w:t>
            </w:r>
          </w:p>
        </w:tc>
        <w:tc>
          <w:tcPr>
            <w:tcW w:w="540" w:type="dxa"/>
            <w:vAlign w:val="bottom"/>
          </w:tcPr>
          <w:p>
            <w:pPr>
              <w:jc w:val="center"/>
              <w:ind w:right="259"/>
              <w:spacing w:after="0"/>
              <w:rPr>
                <w:sz w:val="20"/>
                <w:szCs w:val="20"/>
                <w:color w:val="auto"/>
              </w:rPr>
            </w:pPr>
            <w:r>
              <w:rPr>
                <w:rFonts w:ascii="Arial" w:cs="Arial" w:eastAsia="Arial" w:hAnsi="Arial"/>
                <w:sz w:val="16"/>
                <w:szCs w:val="16"/>
                <w:color w:val="0D0E10"/>
                <w:w w:val="99"/>
              </w:rPr>
              <w:t>—</w:t>
            </w:r>
          </w:p>
        </w:tc>
        <w:tc>
          <w:tcPr>
            <w:tcW w:w="17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0" w:type="dxa"/>
            <w:vAlign w:val="bottom"/>
          </w:tcPr>
          <w:p>
            <w:pPr>
              <w:spacing w:after="0"/>
              <w:rPr>
                <w:sz w:val="1"/>
                <w:szCs w:val="1"/>
                <w:color w:val="auto"/>
              </w:rPr>
            </w:pPr>
          </w:p>
        </w:tc>
      </w:tr>
      <w:tr>
        <w:trPr>
          <w:trHeight w:val="236"/>
        </w:trPr>
        <w:tc>
          <w:tcPr>
            <w:tcW w:w="4980" w:type="dxa"/>
            <w:vAlign w:val="bottom"/>
            <w:shd w:val="clear" w:color="auto" w:fill="F06A6A"/>
          </w:tcPr>
          <w:p>
            <w:pPr>
              <w:ind w:left="100"/>
              <w:spacing w:after="0"/>
              <w:rPr>
                <w:sz w:val="20"/>
                <w:szCs w:val="20"/>
                <w:color w:val="auto"/>
              </w:rPr>
            </w:pPr>
            <w:r>
              <w:rPr>
                <w:rFonts w:ascii="Arial" w:cs="Arial" w:eastAsia="Arial" w:hAnsi="Arial"/>
                <w:sz w:val="16"/>
                <w:szCs w:val="16"/>
                <w:b w:val="1"/>
                <w:bCs w:val="1"/>
                <w:color w:val="FFFFFF"/>
              </w:rPr>
              <w:t>Directors and Named Executive Officers</w:t>
            </w:r>
          </w:p>
        </w:tc>
        <w:tc>
          <w:tcPr>
            <w:tcW w:w="420" w:type="dxa"/>
            <w:vAlign w:val="bottom"/>
            <w:shd w:val="clear" w:color="auto" w:fill="F06A6A"/>
          </w:tcPr>
          <w:p>
            <w:pPr>
              <w:spacing w:after="0"/>
              <w:rPr>
                <w:sz w:val="20"/>
                <w:szCs w:val="20"/>
                <w:color w:val="auto"/>
              </w:rPr>
            </w:pPr>
          </w:p>
        </w:tc>
        <w:tc>
          <w:tcPr>
            <w:tcW w:w="540" w:type="dxa"/>
            <w:vAlign w:val="bottom"/>
            <w:shd w:val="clear" w:color="auto" w:fill="F06A6A"/>
          </w:tcPr>
          <w:p>
            <w:pPr>
              <w:spacing w:after="0"/>
              <w:rPr>
                <w:sz w:val="20"/>
                <w:szCs w:val="20"/>
                <w:color w:val="auto"/>
              </w:rPr>
            </w:pPr>
          </w:p>
        </w:tc>
        <w:tc>
          <w:tcPr>
            <w:tcW w:w="520" w:type="dxa"/>
            <w:vAlign w:val="bottom"/>
            <w:shd w:val="clear" w:color="auto" w:fill="F06A6A"/>
          </w:tcPr>
          <w:p>
            <w:pPr>
              <w:spacing w:after="0"/>
              <w:rPr>
                <w:sz w:val="20"/>
                <w:szCs w:val="20"/>
                <w:color w:val="auto"/>
              </w:rPr>
            </w:pPr>
          </w:p>
        </w:tc>
        <w:tc>
          <w:tcPr>
            <w:tcW w:w="280" w:type="dxa"/>
            <w:vAlign w:val="bottom"/>
            <w:shd w:val="clear" w:color="auto" w:fill="F06A6A"/>
          </w:tcPr>
          <w:p>
            <w:pPr>
              <w:spacing w:after="0"/>
              <w:rPr>
                <w:sz w:val="20"/>
                <w:szCs w:val="20"/>
                <w:color w:val="auto"/>
              </w:rPr>
            </w:pPr>
          </w:p>
        </w:tc>
        <w:tc>
          <w:tcPr>
            <w:tcW w:w="140" w:type="dxa"/>
            <w:vAlign w:val="bottom"/>
            <w:shd w:val="clear" w:color="auto" w:fill="F06A6A"/>
          </w:tcPr>
          <w:p>
            <w:pPr>
              <w:spacing w:after="0"/>
              <w:rPr>
                <w:sz w:val="20"/>
                <w:szCs w:val="20"/>
                <w:color w:val="auto"/>
              </w:rPr>
            </w:pPr>
          </w:p>
        </w:tc>
        <w:tc>
          <w:tcPr>
            <w:tcW w:w="360" w:type="dxa"/>
            <w:vAlign w:val="bottom"/>
            <w:shd w:val="clear" w:color="auto" w:fill="F06A6A"/>
          </w:tcPr>
          <w:p>
            <w:pPr>
              <w:spacing w:after="0"/>
              <w:rPr>
                <w:sz w:val="20"/>
                <w:szCs w:val="20"/>
                <w:color w:val="auto"/>
              </w:rPr>
            </w:pPr>
          </w:p>
        </w:tc>
        <w:tc>
          <w:tcPr>
            <w:tcW w:w="1740" w:type="dxa"/>
            <w:vAlign w:val="bottom"/>
            <w:shd w:val="clear" w:color="auto" w:fill="F06A6A"/>
          </w:tcPr>
          <w:p>
            <w:pPr>
              <w:spacing w:after="0"/>
              <w:rPr>
                <w:sz w:val="20"/>
                <w:szCs w:val="20"/>
                <w:color w:val="auto"/>
              </w:rPr>
            </w:pPr>
          </w:p>
        </w:tc>
        <w:tc>
          <w:tcPr>
            <w:tcW w:w="540" w:type="dxa"/>
            <w:vAlign w:val="bottom"/>
            <w:shd w:val="clear" w:color="auto" w:fill="F06A6A"/>
          </w:tcPr>
          <w:p>
            <w:pPr>
              <w:spacing w:after="0"/>
              <w:rPr>
                <w:sz w:val="20"/>
                <w:szCs w:val="20"/>
                <w:color w:val="auto"/>
              </w:rPr>
            </w:pPr>
          </w:p>
        </w:tc>
        <w:tc>
          <w:tcPr>
            <w:tcW w:w="1720" w:type="dxa"/>
            <w:vAlign w:val="bottom"/>
            <w:shd w:val="clear" w:color="auto" w:fill="F06A6A"/>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980" w:type="dxa"/>
            <w:vAlign w:val="bottom"/>
            <w:shd w:val="clear" w:color="auto" w:fill="F06A6A"/>
          </w:tcPr>
          <w:p>
            <w:pPr>
              <w:spacing w:after="0"/>
              <w:rPr>
                <w:sz w:val="3"/>
                <w:szCs w:val="3"/>
                <w:color w:val="auto"/>
              </w:rPr>
            </w:pPr>
          </w:p>
        </w:tc>
        <w:tc>
          <w:tcPr>
            <w:tcW w:w="420" w:type="dxa"/>
            <w:vAlign w:val="bottom"/>
            <w:shd w:val="clear" w:color="auto" w:fill="F06A6A"/>
          </w:tcPr>
          <w:p>
            <w:pPr>
              <w:spacing w:after="0"/>
              <w:rPr>
                <w:sz w:val="3"/>
                <w:szCs w:val="3"/>
                <w:color w:val="auto"/>
              </w:rPr>
            </w:pPr>
          </w:p>
        </w:tc>
        <w:tc>
          <w:tcPr>
            <w:tcW w:w="540" w:type="dxa"/>
            <w:vAlign w:val="bottom"/>
            <w:shd w:val="clear" w:color="auto" w:fill="F06A6A"/>
          </w:tcPr>
          <w:p>
            <w:pPr>
              <w:spacing w:after="0"/>
              <w:rPr>
                <w:sz w:val="3"/>
                <w:szCs w:val="3"/>
                <w:color w:val="auto"/>
              </w:rPr>
            </w:pPr>
          </w:p>
        </w:tc>
        <w:tc>
          <w:tcPr>
            <w:tcW w:w="520" w:type="dxa"/>
            <w:vAlign w:val="bottom"/>
            <w:shd w:val="clear" w:color="auto" w:fill="F06A6A"/>
          </w:tcPr>
          <w:p>
            <w:pPr>
              <w:spacing w:after="0"/>
              <w:rPr>
                <w:sz w:val="3"/>
                <w:szCs w:val="3"/>
                <w:color w:val="auto"/>
              </w:rPr>
            </w:pPr>
          </w:p>
        </w:tc>
        <w:tc>
          <w:tcPr>
            <w:tcW w:w="280" w:type="dxa"/>
            <w:vAlign w:val="bottom"/>
            <w:shd w:val="clear" w:color="auto" w:fill="F06A6A"/>
          </w:tcPr>
          <w:p>
            <w:pPr>
              <w:spacing w:after="0"/>
              <w:rPr>
                <w:sz w:val="3"/>
                <w:szCs w:val="3"/>
                <w:color w:val="auto"/>
              </w:rPr>
            </w:pPr>
          </w:p>
        </w:tc>
        <w:tc>
          <w:tcPr>
            <w:tcW w:w="140" w:type="dxa"/>
            <w:vAlign w:val="bottom"/>
            <w:shd w:val="clear" w:color="auto" w:fill="F06A6A"/>
          </w:tcPr>
          <w:p>
            <w:pPr>
              <w:spacing w:after="0"/>
              <w:rPr>
                <w:sz w:val="3"/>
                <w:szCs w:val="3"/>
                <w:color w:val="auto"/>
              </w:rPr>
            </w:pPr>
          </w:p>
        </w:tc>
        <w:tc>
          <w:tcPr>
            <w:tcW w:w="360" w:type="dxa"/>
            <w:vAlign w:val="bottom"/>
            <w:shd w:val="clear" w:color="auto" w:fill="F06A6A"/>
          </w:tcPr>
          <w:p>
            <w:pPr>
              <w:spacing w:after="0"/>
              <w:rPr>
                <w:sz w:val="3"/>
                <w:szCs w:val="3"/>
                <w:color w:val="auto"/>
              </w:rPr>
            </w:pPr>
          </w:p>
        </w:tc>
        <w:tc>
          <w:tcPr>
            <w:tcW w:w="1740" w:type="dxa"/>
            <w:vAlign w:val="bottom"/>
            <w:shd w:val="clear" w:color="auto" w:fill="F06A6A"/>
          </w:tcPr>
          <w:p>
            <w:pPr>
              <w:spacing w:after="0"/>
              <w:rPr>
                <w:sz w:val="3"/>
                <w:szCs w:val="3"/>
                <w:color w:val="auto"/>
              </w:rPr>
            </w:pPr>
          </w:p>
        </w:tc>
        <w:tc>
          <w:tcPr>
            <w:tcW w:w="540" w:type="dxa"/>
            <w:vAlign w:val="bottom"/>
            <w:shd w:val="clear" w:color="auto" w:fill="F06A6A"/>
          </w:tcPr>
          <w:p>
            <w:pPr>
              <w:spacing w:after="0"/>
              <w:rPr>
                <w:sz w:val="3"/>
                <w:szCs w:val="3"/>
                <w:color w:val="auto"/>
              </w:rPr>
            </w:pPr>
          </w:p>
        </w:tc>
        <w:tc>
          <w:tcPr>
            <w:tcW w:w="1720" w:type="dxa"/>
            <w:vAlign w:val="bottom"/>
            <w:shd w:val="clear" w:color="auto" w:fill="F06A6A"/>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279" w:right="339" w:bottom="1440" w:gutter="0" w:footer="0" w:header="0"/>
        </w:sectPr>
      </w:pPr>
    </w:p>
    <w:tbl>
      <w:tblPr>
        <w:tblLayout w:type="fixed"/>
        <w:tblInd w:w="0" w:type="dxa"/>
        <w:tblCellMar>
          <w:top w:w="0" w:type="dxa"/>
          <w:left w:w="0" w:type="dxa"/>
          <w:bottom w:w="0" w:type="dxa"/>
          <w:right w:w="0" w:type="dxa"/>
        </w:tblCellMar>
      </w:tblPr>
      <w:tr>
        <w:trPr>
          <w:trHeight w:val="244"/>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Dustin Moskovitz</w:t>
            </w:r>
            <w:r>
              <w:rPr>
                <w:rFonts w:ascii="Arial" w:cs="Arial" w:eastAsia="Arial" w:hAnsi="Arial"/>
                <w:sz w:val="21"/>
                <w:szCs w:val="21"/>
                <w:color w:val="0D0E10"/>
                <w:vertAlign w:val="superscript"/>
              </w:rPr>
              <w:t>(3)(4)</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w w:val="99"/>
              </w:rPr>
              <w:t>53,766,398</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Eleanor Lacey</w:t>
            </w:r>
            <w:r>
              <w:rPr>
                <w:rFonts w:ascii="Arial" w:cs="Arial" w:eastAsia="Arial" w:hAnsi="Arial"/>
                <w:sz w:val="21"/>
                <w:szCs w:val="21"/>
                <w:color w:val="0D0E10"/>
                <w:vertAlign w:val="superscript"/>
              </w:rPr>
              <w:t>(5)</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rPr>
              <w:t>184,479</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Anne Raimondi</w:t>
            </w:r>
            <w:r>
              <w:rPr>
                <w:rFonts w:ascii="Arial" w:cs="Arial" w:eastAsia="Arial" w:hAnsi="Arial"/>
                <w:sz w:val="21"/>
                <w:szCs w:val="21"/>
                <w:color w:val="0D0E10"/>
                <w:vertAlign w:val="superscript"/>
              </w:rPr>
              <w:t>(6)</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rPr>
              <w:t>160,566</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Tim Wan</w:t>
            </w:r>
            <w:r>
              <w:rPr>
                <w:rFonts w:ascii="Arial" w:cs="Arial" w:eastAsia="Arial" w:hAnsi="Arial"/>
                <w:sz w:val="21"/>
                <w:szCs w:val="21"/>
                <w:color w:val="0D0E10"/>
                <w:vertAlign w:val="superscript"/>
              </w:rPr>
              <w:t>(7)</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rPr>
              <w:t>1,429,247</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Krista Anderson-Copperman</w:t>
            </w:r>
            <w:r>
              <w:rPr>
                <w:rFonts w:ascii="Arial" w:cs="Arial" w:eastAsia="Arial" w:hAnsi="Arial"/>
                <w:sz w:val="21"/>
                <w:szCs w:val="21"/>
                <w:color w:val="0D0E10"/>
                <w:vertAlign w:val="superscript"/>
              </w:rPr>
              <w:t>(8)</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w w:val="99"/>
              </w:rPr>
              <w:t>3,354</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Sydney Carey</w:t>
            </w:r>
            <w:r>
              <w:rPr>
                <w:rFonts w:ascii="Arial" w:cs="Arial" w:eastAsia="Arial" w:hAnsi="Arial"/>
                <w:sz w:val="21"/>
                <w:szCs w:val="21"/>
                <w:color w:val="0D0E10"/>
                <w:vertAlign w:val="superscript"/>
              </w:rPr>
              <w:t>(9)</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w w:val="98"/>
              </w:rPr>
              <w:t>68,483</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Matthew Cohler</w:t>
            </w:r>
            <w:r>
              <w:rPr>
                <w:rFonts w:ascii="Arial" w:cs="Arial" w:eastAsia="Arial" w:hAnsi="Arial"/>
                <w:sz w:val="21"/>
                <w:szCs w:val="21"/>
                <w:color w:val="0D0E10"/>
                <w:vertAlign w:val="superscript"/>
              </w:rPr>
              <w:t>(10)</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rPr>
              <w:t>536,202</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Adam D’Angelo</w:t>
            </w:r>
            <w:r>
              <w:rPr>
                <w:rFonts w:ascii="Arial" w:cs="Arial" w:eastAsia="Arial" w:hAnsi="Arial"/>
                <w:sz w:val="21"/>
                <w:szCs w:val="21"/>
                <w:color w:val="0D0E10"/>
                <w:vertAlign w:val="superscript"/>
              </w:rPr>
              <w:t>(11)</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rPr>
              <w:t>1,082,612</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Andrew Lindsay</w:t>
            </w:r>
            <w:r>
              <w:rPr>
                <w:rFonts w:ascii="Arial" w:cs="Arial" w:eastAsia="Arial" w:hAnsi="Arial"/>
                <w:sz w:val="21"/>
                <w:szCs w:val="21"/>
                <w:color w:val="0D0E10"/>
                <w:vertAlign w:val="superscript"/>
              </w:rPr>
              <w:t>(12)</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w w:val="99"/>
              </w:rPr>
              <w:t>1,757</w:t>
            </w:r>
          </w:p>
        </w:tc>
      </w:tr>
      <w:tr>
        <w:trPr>
          <w:trHeight w:val="250"/>
        </w:trPr>
        <w:tc>
          <w:tcPr>
            <w:tcW w:w="3800" w:type="dxa"/>
            <w:vAlign w:val="bottom"/>
            <w:tcBorders>
              <w:bottom w:val="single" w:sz="8" w:color="A5A4A3"/>
            </w:tcBorders>
          </w:tcPr>
          <w:p>
            <w:pPr>
              <w:ind w:left="100"/>
              <w:spacing w:after="0"/>
              <w:rPr>
                <w:sz w:val="20"/>
                <w:szCs w:val="20"/>
                <w:color w:val="auto"/>
              </w:rPr>
            </w:pPr>
            <w:r>
              <w:rPr>
                <w:rFonts w:ascii="Arial" w:cs="Arial" w:eastAsia="Arial" w:hAnsi="Arial"/>
                <w:sz w:val="16"/>
                <w:szCs w:val="16"/>
                <w:color w:val="0D0E10"/>
              </w:rPr>
              <w:t>Lorrie Norrington</w:t>
            </w:r>
            <w:r>
              <w:rPr>
                <w:rFonts w:ascii="Arial" w:cs="Arial" w:eastAsia="Arial" w:hAnsi="Arial"/>
                <w:sz w:val="21"/>
                <w:szCs w:val="21"/>
                <w:color w:val="0D0E10"/>
                <w:vertAlign w:val="superscript"/>
              </w:rPr>
              <w:t>(13)</w:t>
            </w:r>
          </w:p>
        </w:tc>
        <w:tc>
          <w:tcPr>
            <w:tcW w:w="2580" w:type="dxa"/>
            <w:vAlign w:val="bottom"/>
            <w:tcBorders>
              <w:bottom w:val="single" w:sz="8" w:color="A5A4A3"/>
            </w:tcBorders>
          </w:tcPr>
          <w:p>
            <w:pPr>
              <w:jc w:val="center"/>
              <w:ind w:left="1139"/>
              <w:spacing w:after="0"/>
              <w:rPr>
                <w:sz w:val="20"/>
                <w:szCs w:val="20"/>
                <w:color w:val="auto"/>
              </w:rPr>
            </w:pPr>
            <w:r>
              <w:rPr>
                <w:rFonts w:ascii="Arial" w:cs="Arial" w:eastAsia="Arial" w:hAnsi="Arial"/>
                <w:sz w:val="16"/>
                <w:szCs w:val="16"/>
                <w:color w:val="0D0E10"/>
                <w:w w:val="98"/>
              </w:rPr>
              <w:t>87,324</w:t>
            </w:r>
          </w:p>
        </w:tc>
      </w:tr>
      <w:tr>
        <w:trPr>
          <w:trHeight w:val="278"/>
        </w:trPr>
        <w:tc>
          <w:tcPr>
            <w:tcW w:w="3800" w:type="dxa"/>
            <w:vAlign w:val="bottom"/>
          </w:tcPr>
          <w:p>
            <w:pPr>
              <w:ind w:left="100"/>
              <w:spacing w:after="0"/>
              <w:rPr>
                <w:sz w:val="20"/>
                <w:szCs w:val="20"/>
                <w:color w:val="auto"/>
              </w:rPr>
            </w:pPr>
            <w:r>
              <w:rPr>
                <w:rFonts w:ascii="Arial" w:cs="Arial" w:eastAsia="Arial" w:hAnsi="Arial"/>
                <w:sz w:val="16"/>
                <w:szCs w:val="16"/>
                <w:color w:val="0D0E10"/>
              </w:rPr>
              <w:t>Justin Rosenstein</w:t>
            </w:r>
            <w:r>
              <w:rPr>
                <w:rFonts w:ascii="Arial" w:cs="Arial" w:eastAsia="Arial" w:hAnsi="Arial"/>
                <w:sz w:val="21"/>
                <w:szCs w:val="21"/>
                <w:color w:val="0D0E10"/>
                <w:vertAlign w:val="superscript"/>
              </w:rPr>
              <w:t>(14)</w:t>
            </w:r>
          </w:p>
        </w:tc>
        <w:tc>
          <w:tcPr>
            <w:tcW w:w="2580" w:type="dxa"/>
            <w:vAlign w:val="bottom"/>
          </w:tcPr>
          <w:p>
            <w:pPr>
              <w:jc w:val="center"/>
              <w:ind w:left="1139"/>
              <w:spacing w:after="0"/>
              <w:rPr>
                <w:sz w:val="20"/>
                <w:szCs w:val="20"/>
                <w:color w:val="auto"/>
              </w:rPr>
            </w:pPr>
            <w:r>
              <w:rPr>
                <w:rFonts w:ascii="Arial" w:cs="Arial" w:eastAsia="Arial" w:hAnsi="Arial"/>
                <w:sz w:val="16"/>
                <w:szCs w:val="16"/>
                <w:color w:val="0D0E10"/>
              </w:rPr>
              <w:t>3,891,293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jc w:val="center"/>
              <w:spacing w:after="0"/>
              <w:rPr>
                <w:sz w:val="20"/>
                <w:szCs w:val="20"/>
                <w:color w:val="auto"/>
              </w:rPr>
            </w:pPr>
            <w:r>
              <w:rPr>
                <w:rFonts w:ascii="Arial" w:cs="Arial" w:eastAsia="Arial" w:hAnsi="Arial"/>
                <w:sz w:val="16"/>
                <w:szCs w:val="16"/>
                <w:color w:val="0D0E10"/>
              </w:rPr>
              <w:t>37.8%</w:t>
            </w:r>
          </w:p>
        </w:tc>
        <w:tc>
          <w:tcPr>
            <w:tcW w:w="1300" w:type="dxa"/>
            <w:vAlign w:val="bottom"/>
          </w:tcPr>
          <w:p>
            <w:pPr>
              <w:jc w:val="center"/>
              <w:spacing w:after="0"/>
              <w:rPr>
                <w:sz w:val="20"/>
                <w:szCs w:val="20"/>
                <w:color w:val="auto"/>
              </w:rPr>
            </w:pPr>
            <w:r>
              <w:rPr>
                <w:rFonts w:ascii="Arial" w:cs="Arial" w:eastAsia="Arial" w:hAnsi="Arial"/>
                <w:sz w:val="16"/>
                <w:szCs w:val="16"/>
                <w:color w:val="0D0E10"/>
              </w:rPr>
              <w:t>67,030,474</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6"/>
              </w:rPr>
              <w:t>78.4%</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rPr>
              <w:t>69.8%</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rPr>
              <w:t>1.0%</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rPr>
              <w:t>48,410</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w w:val="95"/>
              </w:rPr>
              <w:t>*</w:t>
            </w:r>
          </w:p>
        </w:tc>
        <w:tc>
          <w:tcPr>
            <w:tcW w:w="1300" w:type="dxa"/>
            <w:vAlign w:val="bottom"/>
          </w:tcPr>
          <w:p>
            <w:pPr>
              <w:jc w:val="center"/>
              <w:spacing w:after="0"/>
              <w:rPr>
                <w:sz w:val="20"/>
                <w:szCs w:val="20"/>
                <w:color w:val="auto"/>
              </w:rPr>
            </w:pPr>
            <w:r>
              <w:rPr>
                <w:rFonts w:ascii="Arial" w:cs="Arial" w:eastAsia="Arial" w:hAnsi="Arial"/>
                <w:sz w:val="16"/>
                <w:szCs w:val="16"/>
                <w:color w:val="0D0E10"/>
                <w:w w:val="99"/>
              </w:rPr>
              <w:t>—</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9"/>
              </w:rPr>
              <w:t>—</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w w:val="95"/>
              </w:rPr>
              <w:t>*</w:t>
            </w:r>
          </w:p>
        </w:tc>
      </w:tr>
      <w:tr>
        <w:trPr>
          <w:trHeight w:val="29"/>
        </w:trPr>
        <w:tc>
          <w:tcPr>
            <w:tcW w:w="920" w:type="dxa"/>
            <w:vAlign w:val="bottom"/>
            <w:tcBorders>
              <w:bottom w:val="single" w:sz="8" w:color="B6B6B6"/>
            </w:tcBorders>
          </w:tcPr>
          <w:p>
            <w:pPr>
              <w:spacing w:after="0"/>
              <w:rPr>
                <w:sz w:val="2"/>
                <w:szCs w:val="2"/>
                <w:color w:val="auto"/>
              </w:rPr>
            </w:pPr>
          </w:p>
        </w:tc>
        <w:tc>
          <w:tcPr>
            <w:tcW w:w="1300" w:type="dxa"/>
            <w:vAlign w:val="bottom"/>
            <w:tcBorders>
              <w:bottom w:val="single" w:sz="8" w:color="B6B6B6"/>
            </w:tcBorders>
          </w:tcPr>
          <w:p>
            <w:pPr>
              <w:spacing w:after="0"/>
              <w:rPr>
                <w:sz w:val="2"/>
                <w:szCs w:val="2"/>
                <w:color w:val="auto"/>
              </w:rPr>
            </w:pPr>
          </w:p>
        </w:tc>
        <w:tc>
          <w:tcPr>
            <w:tcW w:w="112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r>
      <w:tr>
        <w:trPr>
          <w:trHeight w:val="221"/>
        </w:trPr>
        <w:tc>
          <w:tcPr>
            <w:tcW w:w="920" w:type="dxa"/>
            <w:vAlign w:val="bottom"/>
          </w:tcPr>
          <w:p>
            <w:pPr>
              <w:jc w:val="center"/>
              <w:spacing w:after="0"/>
              <w:rPr>
                <w:sz w:val="20"/>
                <w:szCs w:val="20"/>
                <w:color w:val="auto"/>
              </w:rPr>
            </w:pPr>
            <w:r>
              <w:rPr>
                <w:rFonts w:ascii="Arial" w:cs="Arial" w:eastAsia="Arial" w:hAnsi="Arial"/>
                <w:sz w:val="16"/>
                <w:szCs w:val="16"/>
                <w:color w:val="0D0E10"/>
              </w:rPr>
              <w:t>2.7%</w:t>
            </w:r>
          </w:p>
        </w:tc>
        <w:tc>
          <w:tcPr>
            <w:tcW w:w="1300" w:type="dxa"/>
            <w:vAlign w:val="bottom"/>
          </w:tcPr>
          <w:p>
            <w:pPr>
              <w:jc w:val="center"/>
              <w:spacing w:after="0"/>
              <w:rPr>
                <w:sz w:val="20"/>
                <w:szCs w:val="20"/>
                <w:color w:val="auto"/>
              </w:rPr>
            </w:pPr>
            <w:r>
              <w:rPr>
                <w:rFonts w:ascii="Arial" w:cs="Arial" w:eastAsia="Arial" w:hAnsi="Arial"/>
                <w:sz w:val="16"/>
                <w:szCs w:val="16"/>
                <w:color w:val="0D0E10"/>
              </w:rPr>
              <w:t>17,413,990</w:t>
            </w:r>
          </w:p>
        </w:tc>
        <w:tc>
          <w:tcPr>
            <w:tcW w:w="1120" w:type="dxa"/>
            <w:vAlign w:val="bottom"/>
          </w:tcPr>
          <w:p>
            <w:pPr>
              <w:jc w:val="center"/>
              <w:ind w:right="79"/>
              <w:spacing w:after="0"/>
              <w:rPr>
                <w:sz w:val="20"/>
                <w:szCs w:val="20"/>
                <w:color w:val="auto"/>
              </w:rPr>
            </w:pPr>
            <w:r>
              <w:rPr>
                <w:rFonts w:ascii="Arial" w:cs="Arial" w:eastAsia="Arial" w:hAnsi="Arial"/>
                <w:sz w:val="16"/>
                <w:szCs w:val="16"/>
                <w:color w:val="0D0E10"/>
                <w:w w:val="96"/>
              </w:rPr>
              <w:t>20.4%</w:t>
            </w:r>
          </w:p>
        </w:tc>
        <w:tc>
          <w:tcPr>
            <w:tcW w:w="1520" w:type="dxa"/>
            <w:vAlign w:val="bottom"/>
          </w:tcPr>
          <w:p>
            <w:pPr>
              <w:jc w:val="center"/>
              <w:ind w:right="139"/>
              <w:spacing w:after="0"/>
              <w:rPr>
                <w:sz w:val="20"/>
                <w:szCs w:val="20"/>
                <w:color w:val="auto"/>
              </w:rPr>
            </w:pPr>
            <w:r>
              <w:rPr>
                <w:rFonts w:ascii="Arial" w:cs="Arial" w:eastAsia="Arial" w:hAnsi="Arial"/>
                <w:sz w:val="16"/>
                <w:szCs w:val="16"/>
                <w:color w:val="0D0E10"/>
              </w:rPr>
              <w:t>17.8%</w:t>
            </w:r>
          </w:p>
        </w:tc>
      </w:tr>
    </w:tbl>
    <w:p>
      <w:pPr>
        <w:spacing w:after="0" w:line="58" w:lineRule="exact"/>
        <w:rPr>
          <w:sz w:val="20"/>
          <w:szCs w:val="20"/>
          <w:color w:val="auto"/>
        </w:rPr>
      </w:pPr>
    </w:p>
    <w:p>
      <w:pPr>
        <w:sectPr>
          <w:pgSz w:w="11900" w:h="16838" w:orient="portrait"/>
          <w:cols w:equalWidth="0" w:num="2">
            <w:col w:w="6380" w:space="0"/>
            <w:col w:w="4860"/>
          </w:cols>
          <w:pgMar w:left="320" w:top="279"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480" w:type="dxa"/>
            <w:vAlign w:val="bottom"/>
          </w:tcPr>
          <w:p>
            <w:pPr>
              <w:ind w:left="100"/>
              <w:spacing w:after="0"/>
              <w:rPr>
                <w:sz w:val="20"/>
                <w:szCs w:val="20"/>
                <w:color w:val="auto"/>
              </w:rPr>
            </w:pPr>
            <w:r>
              <w:rPr>
                <w:rFonts w:ascii="Arial" w:cs="Arial" w:eastAsia="Arial" w:hAnsi="Arial"/>
                <w:sz w:val="16"/>
                <w:szCs w:val="16"/>
                <w:b w:val="1"/>
                <w:bCs w:val="1"/>
                <w:color w:val="0D0E10"/>
              </w:rPr>
              <w:t>All directors and executive officers as a group</w:t>
            </w:r>
          </w:p>
        </w:tc>
        <w:tc>
          <w:tcPr>
            <w:tcW w:w="18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D0E10"/>
              </w:rPr>
              <w:t>61,211,715</w:t>
            </w:r>
          </w:p>
        </w:tc>
        <w:tc>
          <w:tcPr>
            <w:tcW w:w="9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D0E10"/>
              </w:rPr>
              <w:t>42.5%</w:t>
            </w:r>
          </w:p>
        </w:tc>
        <w:tc>
          <w:tcPr>
            <w:tcW w:w="13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0D0E10"/>
              </w:rPr>
              <w:t>84,492,874</w:t>
            </w:r>
          </w:p>
        </w:tc>
        <w:tc>
          <w:tcPr>
            <w:tcW w:w="11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0D0E10"/>
              </w:rPr>
              <w:t>98.8%</w:t>
            </w:r>
          </w:p>
        </w:tc>
        <w:tc>
          <w:tcPr>
            <w:tcW w:w="152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0D0E10"/>
              </w:rPr>
              <w:t>87.9%</w:t>
            </w:r>
          </w:p>
        </w:tc>
        <w:tc>
          <w:tcPr>
            <w:tcW w:w="0" w:type="dxa"/>
            <w:vAlign w:val="bottom"/>
          </w:tcPr>
          <w:p>
            <w:pPr>
              <w:spacing w:after="0"/>
              <w:rPr>
                <w:sz w:val="1"/>
                <w:szCs w:val="1"/>
                <w:color w:val="auto"/>
              </w:rPr>
            </w:pPr>
          </w:p>
        </w:tc>
      </w:tr>
      <w:tr>
        <w:trPr>
          <w:trHeight w:val="115"/>
        </w:trPr>
        <w:tc>
          <w:tcPr>
            <w:tcW w:w="4480" w:type="dxa"/>
            <w:vAlign w:val="bottom"/>
            <w:vMerge w:val="restart"/>
          </w:tcPr>
          <w:p>
            <w:pPr>
              <w:ind w:left="100"/>
              <w:spacing w:after="0"/>
              <w:rPr>
                <w:sz w:val="20"/>
                <w:szCs w:val="20"/>
                <w:color w:val="auto"/>
              </w:rPr>
            </w:pPr>
            <w:r>
              <w:rPr>
                <w:rFonts w:ascii="Arial" w:cs="Arial" w:eastAsia="Arial" w:hAnsi="Arial"/>
                <w:sz w:val="16"/>
                <w:szCs w:val="16"/>
                <w:b w:val="1"/>
                <w:bCs w:val="1"/>
                <w:color w:val="0D0E10"/>
              </w:rPr>
              <w:t>(11 persons)</w:t>
            </w:r>
          </w:p>
        </w:tc>
        <w:tc>
          <w:tcPr>
            <w:tcW w:w="18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vMerge w:val="continue"/>
          </w:tcPr>
          <w:p>
            <w:pPr>
              <w:spacing w:after="0"/>
              <w:rPr>
                <w:sz w:val="9"/>
                <w:szCs w:val="9"/>
                <w:color w:val="auto"/>
              </w:rPr>
            </w:pPr>
          </w:p>
        </w:tc>
        <w:tc>
          <w:tcPr>
            <w:tcW w:w="1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480" w:type="dxa"/>
            <w:vAlign w:val="bottom"/>
            <w:tcBorders>
              <w:bottom w:val="single" w:sz="8" w:color="A5A4A3"/>
            </w:tcBorders>
          </w:tcPr>
          <w:p>
            <w:pPr>
              <w:spacing w:after="0" w:line="20" w:lineRule="exact"/>
              <w:rPr>
                <w:sz w:val="1"/>
                <w:szCs w:val="1"/>
                <w:color w:val="auto"/>
              </w:rPr>
            </w:pPr>
          </w:p>
        </w:tc>
        <w:tc>
          <w:tcPr>
            <w:tcW w:w="1860" w:type="dxa"/>
            <w:vAlign w:val="bottom"/>
            <w:tcBorders>
              <w:bottom w:val="single" w:sz="8" w:color="A5A4A3"/>
            </w:tcBorders>
          </w:tcPr>
          <w:p>
            <w:pPr>
              <w:spacing w:after="0" w:line="20" w:lineRule="exact"/>
              <w:rPr>
                <w:sz w:val="1"/>
                <w:szCs w:val="1"/>
                <w:color w:val="auto"/>
              </w:rPr>
            </w:pPr>
          </w:p>
        </w:tc>
        <w:tc>
          <w:tcPr>
            <w:tcW w:w="960" w:type="dxa"/>
            <w:vAlign w:val="bottom"/>
            <w:tcBorders>
              <w:bottom w:val="single" w:sz="8" w:color="A5A4A3"/>
            </w:tcBorders>
          </w:tcPr>
          <w:p>
            <w:pPr>
              <w:spacing w:after="0" w:line="20" w:lineRule="exact"/>
              <w:rPr>
                <w:sz w:val="1"/>
                <w:szCs w:val="1"/>
                <w:color w:val="auto"/>
              </w:rPr>
            </w:pPr>
          </w:p>
        </w:tc>
        <w:tc>
          <w:tcPr>
            <w:tcW w:w="1300" w:type="dxa"/>
            <w:vAlign w:val="bottom"/>
            <w:tcBorders>
              <w:bottom w:val="single" w:sz="8" w:color="A5A4A3"/>
            </w:tcBorders>
          </w:tcPr>
          <w:p>
            <w:pPr>
              <w:spacing w:after="0" w:line="20" w:lineRule="exact"/>
              <w:rPr>
                <w:sz w:val="1"/>
                <w:szCs w:val="1"/>
                <w:color w:val="auto"/>
              </w:rPr>
            </w:pPr>
          </w:p>
        </w:tc>
        <w:tc>
          <w:tcPr>
            <w:tcW w:w="1120" w:type="dxa"/>
            <w:vAlign w:val="bottom"/>
            <w:tcBorders>
              <w:bottom w:val="single" w:sz="8" w:color="A5A4A3"/>
            </w:tcBorders>
          </w:tcPr>
          <w:p>
            <w:pPr>
              <w:spacing w:after="0" w:line="20" w:lineRule="exact"/>
              <w:rPr>
                <w:sz w:val="1"/>
                <w:szCs w:val="1"/>
                <w:color w:val="auto"/>
              </w:rPr>
            </w:pPr>
          </w:p>
        </w:tc>
        <w:tc>
          <w:tcPr>
            <w:tcW w:w="1520" w:type="dxa"/>
            <w:vAlign w:val="bottom"/>
            <w:tcBorders>
              <w:bottom w:val="single" w:sz="8" w:color="A5A4A3"/>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3"/>
          <w:szCs w:val="13"/>
          <w:color w:val="0D0E10"/>
        </w:rPr>
      </w:pPr>
      <w:r>
        <w:rPr>
          <w:rFonts w:ascii="Arial" w:cs="Arial" w:eastAsia="Arial" w:hAnsi="Arial"/>
          <w:sz w:val="13"/>
          <w:szCs w:val="13"/>
          <w:color w:val="0D0E10"/>
        </w:rPr>
        <w:t>Represents beneficial ownership or voting power of less than 1%.</w:t>
      </w:r>
    </w:p>
    <w:p>
      <w:pPr>
        <w:spacing w:after="0" w:line="80" w:lineRule="exact"/>
        <w:rPr>
          <w:sz w:val="20"/>
          <w:szCs w:val="20"/>
          <w:color w:val="auto"/>
        </w:rPr>
      </w:pPr>
    </w:p>
    <w:p>
      <w:pPr>
        <w:ind w:left="340" w:right="100" w:hanging="332"/>
        <w:spacing w:after="0" w:line="314" w:lineRule="auto"/>
        <w:tabs>
          <w:tab w:leader="none" w:pos="241" w:val="left"/>
        </w:tabs>
        <w:numPr>
          <w:ilvl w:val="0"/>
          <w:numId w:val="55"/>
        </w:numPr>
        <w:rPr>
          <w:rFonts w:ascii="Arial" w:cs="Arial" w:eastAsia="Arial" w:hAnsi="Arial"/>
          <w:sz w:val="13"/>
          <w:szCs w:val="13"/>
          <w:color w:val="0D0E10"/>
        </w:rPr>
      </w:pPr>
      <w:r>
        <w:rPr>
          <w:rFonts w:ascii="Arial" w:cs="Arial" w:eastAsia="Arial" w:hAnsi="Arial"/>
          <w:sz w:val="13"/>
          <w:szCs w:val="13"/>
          <w:color w:val="0D0E10"/>
        </w:rPr>
        <w:t>Represents the voting power with respect to all shares of our Class A common stock and Class B common stock, voting together as a single class. Each share of our Class A common stock is entitled to one vote per share, and each share of our Class B common stock is entitled to 10 votes per share. Our Class A common stock and Class B common stock vote together on all matters (including the election of directors) submitted to a vote of stockholders, except under limited circumstances.</w:t>
      </w:r>
    </w:p>
    <w:p>
      <w:pPr>
        <w:spacing w:after="0" w:line="21" w:lineRule="exact"/>
        <w:rPr>
          <w:sz w:val="20"/>
          <w:szCs w:val="20"/>
          <w:color w:val="auto"/>
        </w:rPr>
      </w:pPr>
    </w:p>
    <w:p>
      <w:pPr>
        <w:ind w:left="340" w:right="120" w:hanging="332"/>
        <w:spacing w:after="0" w:line="298" w:lineRule="auto"/>
        <w:tabs>
          <w:tab w:leader="none" w:pos="343" w:val="left"/>
        </w:tabs>
        <w:numPr>
          <w:ilvl w:val="0"/>
          <w:numId w:val="56"/>
        </w:numPr>
        <w:rPr>
          <w:rFonts w:ascii="Arial" w:cs="Arial" w:eastAsia="Arial" w:hAnsi="Arial"/>
          <w:sz w:val="13"/>
          <w:szCs w:val="13"/>
          <w:color w:val="0D0E10"/>
        </w:rPr>
      </w:pPr>
      <w:r>
        <w:rPr>
          <w:rFonts w:ascii="Arial" w:cs="Arial" w:eastAsia="Arial" w:hAnsi="Arial"/>
          <w:sz w:val="13"/>
          <w:szCs w:val="13"/>
          <w:color w:val="0D0E10"/>
        </w:rPr>
        <w:t>Based on information contained in a Schedule 13G (the “Vanguard 13G”) filed with the SEC by The Vanguard Group (“Vanguard”) on February 13, 2024. According to the Schedule 13G, as of December 29, 2023, Vanguard has shared power to vote or direct the vote of 149,307 shares of our Class A common stock, shared power to dispose or direct the disposition of 232,618 shares of our Class A common stock, and sole power to dispose or direct the disposition of 8,602,704 shares of our Class A common stock. According to the Schedule 13G, as of December 29, 2023, Vanguard beneficially owned 8,835,322 shares of our Class A common stock in the aggregate. The address of Vanguard’s principal business office is 100 Vanguard Blvd., Malvern, PA 19355. The Vanguard 13G provides information only as of December 29, 2023 and, consequently, the beneficial ownership of the above-mentioned entity may have changed between December 29, 2023 and March 31, 2024.</w:t>
      </w:r>
    </w:p>
    <w:p>
      <w:pPr>
        <w:spacing w:after="0" w:line="33" w:lineRule="exact"/>
        <w:rPr>
          <w:rFonts w:ascii="Arial" w:cs="Arial" w:eastAsia="Arial" w:hAnsi="Arial"/>
          <w:sz w:val="13"/>
          <w:szCs w:val="13"/>
          <w:color w:val="0D0E10"/>
        </w:rPr>
      </w:pPr>
    </w:p>
    <w:p>
      <w:pPr>
        <w:ind w:left="340" w:right="60" w:hanging="332"/>
        <w:spacing w:after="0" w:line="298" w:lineRule="auto"/>
        <w:tabs>
          <w:tab w:leader="none" w:pos="343" w:val="left"/>
        </w:tabs>
        <w:numPr>
          <w:ilvl w:val="0"/>
          <w:numId w:val="56"/>
        </w:numPr>
        <w:rPr>
          <w:rFonts w:ascii="Arial" w:cs="Arial" w:eastAsia="Arial" w:hAnsi="Arial"/>
          <w:sz w:val="13"/>
          <w:szCs w:val="13"/>
          <w:color w:val="0D0E10"/>
        </w:rPr>
      </w:pPr>
      <w:r>
        <w:rPr>
          <w:rFonts w:ascii="Arial" w:cs="Arial" w:eastAsia="Arial" w:hAnsi="Arial"/>
          <w:sz w:val="13"/>
          <w:szCs w:val="13"/>
          <w:color w:val="0D0E10"/>
        </w:rPr>
        <w:t>Based on information contained in a Schedule 13G (the “Voya Financial 13G”) filed with the SEC by Voya Financial, Inc. as the ultimate corporate parent of its direct and indirect subsidiaries (“Voya Financial”) on February 14, 2024. According to the Schedule 13G, as of December 29, 2023, Voya Financial has sole power to vote or direct the vote of 4,174,061 shares of our Class A common stock and sole power to dispose or direct the disposition of 10,697,066 shares of our Class A common stock. According to the Schedule 13G, as of December 29, 2023, Voya Financial beneficially owned 10,697,066 shares of our Class A common stock in the aggregate. The address of Voya Financial’s principal business office is 230 Park Avenue New York, NY 10169. The Voya Financial 13G provides information only as of December 29, 2023 and, consequently, the beneficial ownership of the above-mentioned entity may have changed between December 29, 2023 and March 31, 2024.</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63</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68" w:name="page69"/>
    <w:bookmarkEnd w:id="68"/>
    <w:p>
      <w:pPr>
        <w:ind w:left="772"/>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SECURITY OWNERSHIP OF CERTAIN BENEFICIAL OWNERS AND MANAGEMENT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2" w:right="80" w:hanging="332"/>
        <w:spacing w:after="0" w:line="297" w:lineRule="auto"/>
        <w:tabs>
          <w:tab w:leader="none" w:pos="335"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(a) 47,898,436 shares of our Class A common stock and 21,395,830 shares of our Class B common stock held directly by Mr. Moskovitz, (b) 4,147,046 shares of our Class A common stock and 42,030,755 shares of our Class B common stock held of record by the Dustin A. Moskovitz TTEE Dustin A. Moskovitz Trust DTD 12/27/05 (the “Dustin Moskovitz Trust”), (c) 2,604,170 shares of our Class B common stock held of record by the Dustin Moskovitz Roth IRA, (d) 460,000 shares of our Class B common stock held of record by the Justin Rosenstein Trust, (e) 539,719 shares of our Class B common stock held of record by the Justin Rosenstein Non-Exempt Trust, and (f) 1,720,916 shares of Class A Common Stock held of record by Good Ventures Foundation. Mr. Moskovitz is the trustee of the Dustin Moskovitz Trust and may be deemed to have voting power and dispositive power over the shares held by the Dustin Moskovitz Trust. Mr. Moskovitz may be deemed to have voting power and dispositive power over the shares held by the Dustin Moskovitz Roth IRA. Mr. Moskovitz is the trustee of the Justin Rosenstein Trust and the Justin Rosenstein Non-Exempt Trust and may be deemed to have voting power and dispositive power over the shares held by these trusts. Mr. Moskovitz and his spouse serve as directors on the board of Good Ventures Foundation and may be deemed to have shared voting and dispositive power with respect to the shares held by the Good Ventures Foundation.</w:t>
      </w:r>
    </w:p>
    <w:p>
      <w:pPr>
        <w:spacing w:after="0" w:line="36" w:lineRule="exact"/>
        <w:rPr>
          <w:rFonts w:ascii="Arial" w:cs="Arial" w:eastAsia="Arial" w:hAnsi="Arial"/>
          <w:sz w:val="13"/>
          <w:szCs w:val="13"/>
          <w:color w:val="0D0E10"/>
        </w:rPr>
      </w:pPr>
    </w:p>
    <w:p>
      <w:pPr>
        <w:ind w:left="332" w:hanging="332"/>
        <w:spacing w:after="0" w:line="298" w:lineRule="auto"/>
        <w:tabs>
          <w:tab w:leader="none" w:pos="335"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Of the Class A common stock directly held by Mr. Moskovitz, 19,273,127 shares of our Class A common stock (the “Private Placement Shares”) were acquired on September 7, 2022 via a private placement offering (the “Private Placement”). In connection with the Private Placement, Mr. Moskovitz granted Asana, Inc. an irrevocable proxy over the Private Placement Shares and any additional shares Mr. Moskovitz or affiliates controlled by Mr. Moskovitz may acquire subsequent to the Private Placement (collectively, the “Voting Neutralization Shares”) to vote all of the Voting Neutralization Shares in a manner that will reflect the voting results of all other shares of common stock over which Mr. Moskovitz or his affiliates do not have sole or shared voting power. As such, Mr. Moskovitz does not retain voting power with respect to the Voting Neutralization Shares. As of March 31, 2024, the Voting Neutralization Shares consisted of 28,058,760 shares of Class A Common Stock held directly by Mr. Moskovitz.</w:t>
      </w:r>
    </w:p>
    <w:p>
      <w:pPr>
        <w:spacing w:after="0" w:line="33" w:lineRule="exact"/>
        <w:rPr>
          <w:rFonts w:ascii="Arial" w:cs="Arial" w:eastAsia="Arial" w:hAnsi="Arial"/>
          <w:sz w:val="13"/>
          <w:szCs w:val="13"/>
          <w:color w:val="0D0E10"/>
        </w:rPr>
      </w:pPr>
    </w:p>
    <w:p>
      <w:pPr>
        <w:ind w:left="332" w:right="120" w:hanging="332"/>
        <w:spacing w:after="0" w:line="314" w:lineRule="auto"/>
        <w:tabs>
          <w:tab w:leader="none" w:pos="335"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(a) 59,479 shares of our Class A common stock held directly by Ms. Lacey, and (b) 125,000 shares of our Class A common stock issuable upon the exercise of stock options that are exercisable within 60 days of March 31, 2024, all of which are vested as of such date. Does not include 76,399 shares issuable upon the settlement of vested RSUs, as these RSUs remain subject to a holding period that elapses more than 60 days after March 31, 2024.</w:t>
      </w:r>
    </w:p>
    <w:p>
      <w:pPr>
        <w:spacing w:after="0" w:line="7" w:lineRule="exact"/>
        <w:rPr>
          <w:rFonts w:ascii="Arial" w:cs="Arial" w:eastAsia="Arial" w:hAnsi="Arial"/>
          <w:sz w:val="13"/>
          <w:szCs w:val="13"/>
          <w:color w:val="0D0E10"/>
        </w:rPr>
      </w:pPr>
    </w:p>
    <w:p>
      <w:pPr>
        <w:ind w:left="332" w:right="300" w:hanging="332"/>
        <w:spacing w:after="0" w:line="335" w:lineRule="auto"/>
        <w:tabs>
          <w:tab w:leader="none" w:pos="335"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160,566 shares of our Class A common stock held directly by Ms. Raimondi. Does not include 115,429 shares issuable upon the settlement of vested RSUs, as these RSUs remain subject to a holding period that elapses more than 60 days after March 31, 2024.</w:t>
      </w:r>
    </w:p>
    <w:p>
      <w:pPr>
        <w:spacing w:after="0" w:line="1" w:lineRule="exact"/>
        <w:rPr>
          <w:rFonts w:ascii="Arial" w:cs="Arial" w:eastAsia="Arial" w:hAnsi="Arial"/>
          <w:sz w:val="13"/>
          <w:szCs w:val="13"/>
          <w:color w:val="0D0E10"/>
        </w:rPr>
      </w:pPr>
    </w:p>
    <w:p>
      <w:pPr>
        <w:ind w:left="332" w:right="220" w:hanging="332"/>
        <w:spacing w:after="0" w:line="303" w:lineRule="auto"/>
        <w:tabs>
          <w:tab w:leader="none" w:pos="335"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(a) 336,660 shares of our Class A common stock held directly by Mr. Wan, (b) 139,055 shares of our Class A common stock held of record by The 2019 Tim Ming Wan Grantor Retained Annuity Trust Dated July 22, 2019 (the “Wan GRAT”), (c) 903,532 shares of our Class A common stock issuable upon the exercise of stock options that are exercisable within 60 days of March 31, 2024, all of which are vested as of such date, and (d) 50,000 shares of our Class A common stock held of record by Mr. Wan’s spouse. Mr. Wan is the trustee of the Wan GRAT and may be deemed to have voting and dispositive power over the shares held by the Wan GRAT. Does not include 196,166 shares issuable upon the settlement of vested RSUs, as these RSUs remain subject to a holding period that elapses more than 60 days after March 31, 2024.</w:t>
      </w:r>
    </w:p>
    <w:p>
      <w:pPr>
        <w:spacing w:after="0" w:line="28" w:lineRule="exact"/>
        <w:rPr>
          <w:rFonts w:ascii="Arial" w:cs="Arial" w:eastAsia="Arial" w:hAnsi="Arial"/>
          <w:sz w:val="13"/>
          <w:szCs w:val="13"/>
          <w:color w:val="0D0E10"/>
        </w:rPr>
      </w:pPr>
    </w:p>
    <w:p>
      <w:pPr>
        <w:ind w:left="332" w:right="200" w:hanging="332"/>
        <w:spacing w:after="0" w:line="324" w:lineRule="auto"/>
        <w:tabs>
          <w:tab w:leader="none" w:pos="335"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3,354 shares of our Class A common stock held directly by Ms. Anderson-Copperman. Does not include 6,554 shares issuable upon the settlement of vested RSUs, as these RSUs remain subject to a holding period that elapses more than 60 days after March 31, 2024.</w:t>
      </w:r>
    </w:p>
    <w:p>
      <w:pPr>
        <w:spacing w:after="0" w:line="14" w:lineRule="exact"/>
        <w:rPr>
          <w:rFonts w:ascii="Arial" w:cs="Arial" w:eastAsia="Arial" w:hAnsi="Arial"/>
          <w:sz w:val="13"/>
          <w:szCs w:val="13"/>
          <w:color w:val="0D0E10"/>
        </w:rPr>
      </w:pPr>
    </w:p>
    <w:p>
      <w:pPr>
        <w:ind w:left="332" w:right="280" w:hanging="332"/>
        <w:spacing w:after="0" w:line="324" w:lineRule="auto"/>
        <w:tabs>
          <w:tab w:leader="none" w:pos="335"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68,483 shares of our Class A common stock held directly by Ms. Carey. Does not include 13,466 shares issuable upon the settlement of vested RSUs, as these RSUs remain subject to a holding period that elapses more than 60 days after March 31, 2024.</w:t>
      </w:r>
    </w:p>
    <w:p>
      <w:pPr>
        <w:spacing w:after="0" w:line="14" w:lineRule="exact"/>
        <w:rPr>
          <w:rFonts w:ascii="Arial" w:cs="Arial" w:eastAsia="Arial" w:hAnsi="Arial"/>
          <w:sz w:val="13"/>
          <w:szCs w:val="13"/>
          <w:color w:val="0D0E10"/>
        </w:rPr>
      </w:pPr>
    </w:p>
    <w:p>
      <w:pPr>
        <w:ind w:left="332" w:right="20" w:hanging="332"/>
        <w:spacing w:after="0" w:line="338" w:lineRule="auto"/>
        <w:tabs>
          <w:tab w:leader="none" w:pos="329"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(a) 15,273 shares of our Class A common stock held directly by Mr. Cohler and (b) 520,929 shares of our Class A common stock held of record by Mr. Cohler’s trust entity. Does not include 13,466 shares issuable upon the settlement of vested RSUs, as these RSUs remain subject to a holding period that elapses more than 60 days after March 31, 2024.</w:t>
      </w:r>
    </w:p>
    <w:p>
      <w:pPr>
        <w:spacing w:after="0" w:line="172" w:lineRule="exact"/>
        <w:rPr>
          <w:rFonts w:ascii="Arial" w:cs="Arial" w:eastAsia="Arial" w:hAnsi="Arial"/>
          <w:sz w:val="13"/>
          <w:szCs w:val="13"/>
          <w:color w:val="0D0E10"/>
        </w:rPr>
      </w:pPr>
    </w:p>
    <w:p>
      <w:pPr>
        <w:ind w:left="332" w:right="300" w:hanging="332"/>
        <w:spacing w:after="0" w:line="314" w:lineRule="auto"/>
        <w:tabs>
          <w:tab w:leader="none" w:pos="319"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(a) 4,442 shares of our Class A common stock held directly by Mr. D’Angelo and (b) 1,078,170 shares of our Class A common stock and 48,410 shares of our Class B common stock held of record by the Adam D’Angelo Revocable Trust Dtd 3/13/08. Does not include 13,466 shares issuable upon the settlement of vested RSUs, as these RSUs remain subject to a holding period that elapses more than 60 days after March 31, 2024.</w:t>
      </w:r>
    </w:p>
    <w:p>
      <w:pPr>
        <w:spacing w:after="0" w:line="20" w:lineRule="exact"/>
        <w:rPr>
          <w:rFonts w:ascii="Arial" w:cs="Arial" w:eastAsia="Arial" w:hAnsi="Arial"/>
          <w:sz w:val="13"/>
          <w:szCs w:val="13"/>
          <w:color w:val="0D0E10"/>
        </w:rPr>
      </w:pPr>
    </w:p>
    <w:p>
      <w:pPr>
        <w:ind w:left="332" w:right="280" w:hanging="332"/>
        <w:spacing w:after="0" w:line="324" w:lineRule="auto"/>
        <w:tabs>
          <w:tab w:leader="none" w:pos="329"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1,757 shares of our Class A common stock held directly by Mr. Lindsay. Does not include 11,441 shares issuable upon the settlement of vested RSUs, as these RSUs remain subject to a holding period that elapses more than 60 days after March 31, 2024.</w:t>
      </w:r>
    </w:p>
    <w:p>
      <w:pPr>
        <w:spacing w:after="0" w:line="14" w:lineRule="exact"/>
        <w:rPr>
          <w:rFonts w:ascii="Arial" w:cs="Arial" w:eastAsia="Arial" w:hAnsi="Arial"/>
          <w:sz w:val="13"/>
          <w:szCs w:val="13"/>
          <w:color w:val="0D0E10"/>
        </w:rPr>
      </w:pPr>
    </w:p>
    <w:p>
      <w:pPr>
        <w:ind w:left="332" w:right="80" w:hanging="332"/>
        <w:spacing w:after="0" w:line="314" w:lineRule="auto"/>
        <w:tabs>
          <w:tab w:leader="none" w:pos="329"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(a) 85,029 shares of our Class A common stock held directly by Ms. Norrington and (b) 2,295 shares of our Class A common stock held of record by Norrington Advisory Services, LLC. Does not include 13,466 shares issuable upon the settlement of vested RSUs, as these RSUs remain subject to a holding period that elapses more than 60 days after March 31, 2024.</w:t>
      </w:r>
    </w:p>
    <w:p>
      <w:pPr>
        <w:spacing w:after="0" w:line="7" w:lineRule="exact"/>
        <w:rPr>
          <w:rFonts w:ascii="Arial" w:cs="Arial" w:eastAsia="Arial" w:hAnsi="Arial"/>
          <w:sz w:val="13"/>
          <w:szCs w:val="13"/>
          <w:color w:val="0D0E10"/>
        </w:rPr>
      </w:pPr>
    </w:p>
    <w:p>
      <w:pPr>
        <w:ind w:left="332" w:right="240" w:hanging="332"/>
        <w:spacing w:after="0" w:line="314" w:lineRule="auto"/>
        <w:tabs>
          <w:tab w:leader="none" w:pos="329" w:val="left"/>
        </w:tabs>
        <w:numPr>
          <w:ilvl w:val="0"/>
          <w:numId w:val="57"/>
        </w:numPr>
        <w:rPr>
          <w:rFonts w:ascii="Arial" w:cs="Arial" w:eastAsia="Arial" w:hAnsi="Arial"/>
          <w:sz w:val="13"/>
          <w:szCs w:val="13"/>
          <w:color w:val="0D0E10"/>
        </w:rPr>
      </w:pPr>
      <w:r>
        <w:rPr>
          <w:rFonts w:ascii="Arial" w:cs="Arial" w:eastAsia="Arial" w:hAnsi="Arial"/>
          <w:sz w:val="13"/>
          <w:szCs w:val="13"/>
          <w:color w:val="0D0E10"/>
        </w:rPr>
        <w:t>Consists of (a) 3,315,309 shares of our Class A common stock and 17,413,990 shares of our Class B common stock held directly by Mr. Rosenstein and (b) 575,984 shares of our Class A common stock issuable upon the exercise of stock options that are exercisable within 60 days of March 31, 2024, of which 406,784 are vested as of such date. Does not include 13,466 shares issuable upon the settlement of vested RSUs, as these RSUs remain subject to a holding period that elapses more than 60 days after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
        <w:spacing w:after="0"/>
        <w:tabs>
          <w:tab w:leader="none" w:pos="5492" w:val="left"/>
          <w:tab w:leader="none" w:pos="9772"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64</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279" w:right="359" w:bottom="1440" w:gutter="0" w:footer="0" w:header="0"/>
        </w:sectPr>
      </w:pPr>
    </w:p>
    <w:bookmarkStart w:id="69" w:name="page70"/>
    <w:bookmarkEnd w:id="69"/>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CEO Pay Ratio</w:t>
      </w:r>
    </w:p>
    <w:p>
      <w:pPr>
        <w:spacing w:after="0" w:line="343" w:lineRule="exact"/>
        <w:rPr>
          <w:sz w:val="20"/>
          <w:szCs w:val="20"/>
          <w:color w:val="auto"/>
        </w:rPr>
      </w:pPr>
    </w:p>
    <w:p>
      <w:pPr>
        <w:spacing w:after="0"/>
        <w:rPr>
          <w:sz w:val="20"/>
          <w:szCs w:val="20"/>
          <w:color w:val="auto"/>
        </w:rPr>
      </w:pPr>
      <w:r>
        <w:rPr>
          <w:rFonts w:ascii="Arial" w:cs="Arial" w:eastAsia="Arial" w:hAnsi="Arial"/>
          <w:sz w:val="32"/>
          <w:szCs w:val="32"/>
          <w:color w:val="0D0E10"/>
        </w:rPr>
        <w:t>CEO Pay Ratio Results for Fiscal Year 2024</w:t>
      </w:r>
    </w:p>
    <w:p>
      <w:pPr>
        <w:spacing w:after="0" w:line="195" w:lineRule="exact"/>
        <w:rPr>
          <w:sz w:val="20"/>
          <w:szCs w:val="20"/>
          <w:color w:val="auto"/>
        </w:rPr>
      </w:pPr>
    </w:p>
    <w:p>
      <w:pPr>
        <w:ind w:right="220"/>
        <w:spacing w:after="0" w:line="318" w:lineRule="auto"/>
        <w:rPr>
          <w:sz w:val="20"/>
          <w:szCs w:val="20"/>
          <w:color w:val="auto"/>
        </w:rPr>
      </w:pPr>
      <w:r>
        <w:rPr>
          <w:rFonts w:ascii="Arial" w:cs="Arial" w:eastAsia="Arial" w:hAnsi="Arial"/>
          <w:sz w:val="18"/>
          <w:szCs w:val="18"/>
          <w:color w:val="0D0E10"/>
        </w:rPr>
        <w:t>As required by Section 953(b) of the Dodd-Frank Act, we are providing the following information about the relationship between the annual total compensation of our median employee and the annual total compensation of our CEO.</w:t>
      </w:r>
    </w:p>
    <w:p>
      <w:pPr>
        <w:spacing w:after="0" w:line="113" w:lineRule="exact"/>
        <w:rPr>
          <w:sz w:val="20"/>
          <w:szCs w:val="20"/>
          <w:color w:val="auto"/>
        </w:rPr>
      </w:pPr>
    </w:p>
    <w:p>
      <w:pPr>
        <w:ind w:right="240"/>
        <w:spacing w:after="0" w:line="302" w:lineRule="auto"/>
        <w:rPr>
          <w:sz w:val="20"/>
          <w:szCs w:val="20"/>
          <w:color w:val="auto"/>
        </w:rPr>
      </w:pPr>
      <w:r>
        <w:rPr>
          <w:rFonts w:ascii="Arial" w:cs="Arial" w:eastAsia="Arial" w:hAnsi="Arial"/>
          <w:sz w:val="18"/>
          <w:szCs w:val="18"/>
          <w:color w:val="0D0E10"/>
        </w:rPr>
        <w:t>As of January 31, 2024, our employee population consisted of 1,845 individuals globally, including full-time employees, interns and apprentices. We excluded 80 non-U.S. individuals from our determination of the median employee, as permitted by the SEC rules, who accounted for less than 5% of our total workforce in the following countries: the United Kingdom (29), Singapore (19), Iceland (14), France (11), Sweden (5), and Switzerland (2). We identified our median employee from the remaining 1,765 employees who were located in the following countries: the United States, Ireland, Canada, Australia, Japan, and Germany.</w:t>
      </w:r>
    </w:p>
    <w:p>
      <w:pPr>
        <w:spacing w:after="0" w:line="115" w:lineRule="exact"/>
        <w:rPr>
          <w:sz w:val="20"/>
          <w:szCs w:val="20"/>
          <w:color w:val="auto"/>
        </w:rPr>
      </w:pPr>
    </w:p>
    <w:p>
      <w:pPr>
        <w:ind w:right="20"/>
        <w:spacing w:after="0" w:line="324" w:lineRule="auto"/>
        <w:rPr>
          <w:sz w:val="20"/>
          <w:szCs w:val="20"/>
          <w:color w:val="auto"/>
        </w:rPr>
      </w:pPr>
      <w:r>
        <w:rPr>
          <w:rFonts w:ascii="Arial" w:cs="Arial" w:eastAsia="Arial" w:hAnsi="Arial"/>
          <w:sz w:val="17"/>
          <w:szCs w:val="17"/>
          <w:color w:val="0D0E10"/>
        </w:rPr>
        <w:t>To identify the median employee, we combined the actual salary, bonus, commissions and other taxable benefits (other than related to equity awards and our ESPP) as reflected in our payroll records for fiscal year 2024, as well as the aggregate grant date fair value of equity awards granted to employees in fiscal year 2024. We identified our median employee using this compensation measure, which was consistently applied to all our employees included in the calculation. We did not make any cost-of-living adjustments in identifying the median employee. Compensation paid in foreign currencies was converted to U.S. dollars based on exchange rates in effect on January 31, 2024.</w:t>
      </w:r>
    </w:p>
    <w:p>
      <w:pPr>
        <w:spacing w:after="0" w:line="112" w:lineRule="exact"/>
        <w:rPr>
          <w:sz w:val="20"/>
          <w:szCs w:val="20"/>
          <w:color w:val="auto"/>
        </w:rPr>
      </w:pPr>
    </w:p>
    <w:p>
      <w:pPr>
        <w:spacing w:after="0" w:line="304" w:lineRule="auto"/>
        <w:rPr>
          <w:sz w:val="20"/>
          <w:szCs w:val="20"/>
          <w:color w:val="auto"/>
        </w:rPr>
      </w:pPr>
      <w:r>
        <w:rPr>
          <w:rFonts w:ascii="Arial" w:cs="Arial" w:eastAsia="Arial" w:hAnsi="Arial"/>
          <w:sz w:val="18"/>
          <w:szCs w:val="18"/>
          <w:color w:val="0D0E10"/>
        </w:rPr>
        <w:t>As of January 31, 2024, the final day of our last completed fiscal year, the median annual total compensation of our employees (determined as described above) was $227,491 and the annual total compensation of our CEO, as reported in the Summary Compensation Table included elsewhere in this proxy statement, was $1. Based on this information, for fiscal year 2024, the ratio of the annual total compensation of our CEO to our median compensated employee was 1:227,491 or 0.000004.</w:t>
      </w:r>
    </w:p>
    <w:p>
      <w:pPr>
        <w:spacing w:after="0" w:line="112"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0D0E10"/>
        </w:rPr>
        <w:t>The pay ratio described above is a reasonable estimate calculated in a manner consistent with Item 402(u) of Regulations S-K. SEC rules for identifying the median employee permit companies to use a wide range of methodologies, assumptions and exclusions. As a result, it may not necessarily be meaningful to compare pay ratios reported by other companies. This information is being provided for compliance purposes. Neither the Compensation Committee nor management of the company used the foregoing pay ratio measure in making compensation decisions.</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65</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3" w:right="359" w:bottom="1440" w:gutter="0" w:footer="0" w:header="0"/>
        </w:sectPr>
      </w:pPr>
    </w:p>
    <w:bookmarkStart w:id="70" w:name="page71"/>
    <w:bookmarkEnd w:id="70"/>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Pay Versus Performance</w:t>
      </w:r>
    </w:p>
    <w:p>
      <w:pPr>
        <w:spacing w:after="0" w:line="366" w:lineRule="exact"/>
        <w:rPr>
          <w:sz w:val="20"/>
          <w:szCs w:val="20"/>
          <w:color w:val="auto"/>
        </w:rPr>
      </w:pPr>
    </w:p>
    <w:p>
      <w:pPr>
        <w:ind w:right="160"/>
        <w:spacing w:after="0" w:line="298" w:lineRule="auto"/>
        <w:rPr>
          <w:sz w:val="20"/>
          <w:szCs w:val="20"/>
          <w:color w:val="auto"/>
        </w:rPr>
      </w:pPr>
      <w:r>
        <w:rPr>
          <w:rFonts w:ascii="Arial" w:cs="Arial" w:eastAsia="Arial" w:hAnsi="Arial"/>
          <w:sz w:val="18"/>
          <w:szCs w:val="18"/>
          <w:color w:val="0D0E10"/>
        </w:rPr>
        <w:t>The information in the table below reflects the alignment of Asana’s executive compensation programs with long-term stockholder interests. As discussed in our CD&amp;A, the variable portion of our executive compensation program is tied to long-term stockholder returns through equity awards, and changes in the value of awards during a particular fiscal year are driven by stockholder returns in that fiscal year. We do not consider other financial or non-financial performance measures in determining the compensation actually paid to our CEO and other NEOs. As a result, we have not included any company selected performance measures in our disclosure below. The compensation information presented in the table and disclosure below is intended to be provided in accordance with SEC rules, and may be different from the compensation information presented in the CD&amp;A. Our Compensation Committee did not consider the pay versus performance disclosure below in making its pay decisions for any of the fiscal years shown.</w:t>
      </w:r>
    </w:p>
    <w:p>
      <w:pPr>
        <w:spacing w:after="0" w:line="95" w:lineRule="exact"/>
        <w:rPr>
          <w:sz w:val="20"/>
          <w:szCs w:val="20"/>
          <w:color w:val="auto"/>
        </w:rPr>
      </w:pPr>
    </w:p>
    <w:p>
      <w:pPr>
        <w:spacing w:after="0"/>
        <w:rPr>
          <w:sz w:val="20"/>
          <w:szCs w:val="20"/>
          <w:color w:val="auto"/>
        </w:rPr>
      </w:pPr>
      <w:r>
        <w:rPr>
          <w:rFonts w:ascii="Arial" w:cs="Arial" w:eastAsia="Arial" w:hAnsi="Arial"/>
          <w:sz w:val="32"/>
          <w:szCs w:val="32"/>
          <w:color w:val="0D0E10"/>
        </w:rPr>
        <w:t>Pay Versus Performance Table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0D0E10"/>
        </w:rPr>
        <w:t>The following table sets forth information concerning the compensation of our CEO and other NEOs for each of the fiscal years ending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0D0E10"/>
        </w:rPr>
        <w:t>January 31, 2022, 2023 and 2024, and our financial performance of each such fiscal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60" w:type="dxa"/>
            <w:vAlign w:val="bottom"/>
            <w:gridSpan w:val="2"/>
            <w:shd w:val="clear" w:color="auto" w:fill="A5A4A3"/>
          </w:tcPr>
          <w:p>
            <w:pPr>
              <w:jc w:val="center"/>
              <w:spacing w:after="0"/>
              <w:rPr>
                <w:sz w:val="20"/>
                <w:szCs w:val="20"/>
                <w:color w:val="auto"/>
              </w:rPr>
            </w:pPr>
            <w:r>
              <w:rPr>
                <w:rFonts w:ascii="Arial" w:cs="Arial" w:eastAsia="Arial" w:hAnsi="Arial"/>
                <w:sz w:val="14"/>
                <w:szCs w:val="14"/>
                <w:b w:val="1"/>
                <w:bCs w:val="1"/>
                <w:color w:val="FFFFFF"/>
              </w:rPr>
              <w:t>Value of Initial Fixed $100</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560" w:type="dxa"/>
            <w:vAlign w:val="bottom"/>
            <w:tcBorders>
              <w:bottom w:val="single" w:sz="8" w:color="A5A4A3"/>
            </w:tcBorders>
            <w:gridSpan w:val="2"/>
            <w:shd w:val="clear" w:color="auto" w:fill="A5A4A3"/>
          </w:tcPr>
          <w:p>
            <w:pPr>
              <w:jc w:val="center"/>
              <w:spacing w:after="0"/>
              <w:rPr>
                <w:sz w:val="20"/>
                <w:szCs w:val="20"/>
                <w:color w:val="auto"/>
              </w:rPr>
            </w:pPr>
            <w:r>
              <w:rPr>
                <w:rFonts w:ascii="Arial" w:cs="Arial" w:eastAsia="Arial" w:hAnsi="Arial"/>
                <w:sz w:val="14"/>
                <w:szCs w:val="14"/>
                <w:b w:val="1"/>
                <w:bCs w:val="1"/>
                <w:color w:val="FFFFFF"/>
              </w:rPr>
              <w:t>Investment Based on</w:t>
            </w: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EEEBEA"/>
          </w:tcPr>
          <w:p>
            <w:pPr>
              <w:spacing w:after="0"/>
              <w:rPr>
                <w:sz w:val="17"/>
                <w:szCs w:val="17"/>
                <w:color w:val="auto"/>
              </w:rPr>
            </w:pPr>
          </w:p>
        </w:tc>
        <w:tc>
          <w:tcPr>
            <w:tcW w:w="12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Summary</w:t>
            </w:r>
          </w:p>
        </w:tc>
        <w:tc>
          <w:tcPr>
            <w:tcW w:w="1140" w:type="dxa"/>
            <w:vAlign w:val="bottom"/>
            <w:shd w:val="clear" w:color="auto" w:fill="EEEBEA"/>
          </w:tcPr>
          <w:p>
            <w:pPr>
              <w:spacing w:after="0"/>
              <w:rPr>
                <w:sz w:val="17"/>
                <w:szCs w:val="17"/>
                <w:color w:val="auto"/>
              </w:rPr>
            </w:pPr>
          </w:p>
        </w:tc>
        <w:tc>
          <w:tcPr>
            <w:tcW w:w="140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Average</w:t>
            </w:r>
          </w:p>
        </w:tc>
        <w:tc>
          <w:tcPr>
            <w:tcW w:w="1440" w:type="dxa"/>
            <w:vAlign w:val="bottom"/>
            <w:shd w:val="clear" w:color="auto" w:fill="EEEBEA"/>
          </w:tcPr>
          <w:p>
            <w:pPr>
              <w:spacing w:after="0"/>
              <w:rPr>
                <w:sz w:val="17"/>
                <w:szCs w:val="17"/>
                <w:color w:val="auto"/>
              </w:rPr>
            </w:pPr>
          </w:p>
        </w:tc>
        <w:tc>
          <w:tcPr>
            <w:tcW w:w="1160" w:type="dxa"/>
            <w:vAlign w:val="bottom"/>
            <w:shd w:val="clear" w:color="auto" w:fill="EEEBEA"/>
          </w:tcPr>
          <w:p>
            <w:pPr>
              <w:spacing w:after="0"/>
              <w:rPr>
                <w:sz w:val="17"/>
                <w:szCs w:val="17"/>
                <w:color w:val="auto"/>
              </w:rPr>
            </w:pPr>
          </w:p>
        </w:tc>
        <w:tc>
          <w:tcPr>
            <w:tcW w:w="1400" w:type="dxa"/>
            <w:vAlign w:val="bottom"/>
            <w:shd w:val="clear" w:color="auto" w:fill="EEEBEA"/>
          </w:tcPr>
          <w:p>
            <w:pPr>
              <w:spacing w:after="0"/>
              <w:rPr>
                <w:sz w:val="17"/>
                <w:szCs w:val="17"/>
                <w:color w:val="auto"/>
              </w:rPr>
            </w:pPr>
          </w:p>
        </w:tc>
        <w:tc>
          <w:tcPr>
            <w:tcW w:w="1120" w:type="dxa"/>
            <w:vAlign w:val="bottom"/>
            <w:shd w:val="clear" w:color="auto" w:fill="EEEBEA"/>
          </w:tcPr>
          <w:p>
            <w:pPr>
              <w:spacing w:after="0"/>
              <w:rPr>
                <w:sz w:val="17"/>
                <w:szCs w:val="17"/>
                <w:color w:val="auto"/>
              </w:rPr>
            </w:pPr>
          </w:p>
        </w:tc>
        <w:tc>
          <w:tcPr>
            <w:tcW w:w="1020" w:type="dxa"/>
            <w:vAlign w:val="bottom"/>
            <w:shd w:val="clear" w:color="auto" w:fill="EEEBEA"/>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shd w:val="clear" w:color="auto" w:fill="EEEBEA"/>
          </w:tcPr>
          <w:p>
            <w:pPr>
              <w:spacing w:after="0"/>
              <w:rPr>
                <w:sz w:val="16"/>
                <w:szCs w:val="16"/>
                <w:color w:val="auto"/>
              </w:rPr>
            </w:pPr>
          </w:p>
        </w:tc>
        <w:tc>
          <w:tcPr>
            <w:tcW w:w="12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Compensation</w:t>
            </w:r>
          </w:p>
        </w:tc>
        <w:tc>
          <w:tcPr>
            <w:tcW w:w="1140" w:type="dxa"/>
            <w:vAlign w:val="bottom"/>
            <w:vMerge w:val="restart"/>
            <w:shd w:val="clear" w:color="auto" w:fill="EEEBEA"/>
          </w:tcPr>
          <w:p>
            <w:pPr>
              <w:jc w:val="center"/>
              <w:spacing w:after="0"/>
              <w:rPr>
                <w:sz w:val="20"/>
                <w:szCs w:val="20"/>
                <w:color w:val="auto"/>
              </w:rPr>
            </w:pPr>
            <w:r>
              <w:rPr>
                <w:rFonts w:ascii="Arial" w:cs="Arial" w:eastAsia="Arial" w:hAnsi="Arial"/>
                <w:sz w:val="14"/>
                <w:szCs w:val="14"/>
                <w:b w:val="1"/>
                <w:bCs w:val="1"/>
                <w:color w:val="F06A6A"/>
              </w:rPr>
              <w:t>Compensation</w:t>
            </w:r>
          </w:p>
        </w:tc>
        <w:tc>
          <w:tcPr>
            <w:tcW w:w="140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Summary</w:t>
            </w:r>
          </w:p>
        </w:tc>
        <w:tc>
          <w:tcPr>
            <w:tcW w:w="144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Average</w:t>
            </w:r>
          </w:p>
        </w:tc>
        <w:tc>
          <w:tcPr>
            <w:tcW w:w="116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Total</w:t>
            </w:r>
          </w:p>
        </w:tc>
        <w:tc>
          <w:tcPr>
            <w:tcW w:w="1400" w:type="dxa"/>
            <w:vAlign w:val="bottom"/>
            <w:vMerge w:val="restart"/>
            <w:shd w:val="clear" w:color="auto" w:fill="EEEBEA"/>
          </w:tcPr>
          <w:p>
            <w:pPr>
              <w:jc w:val="center"/>
              <w:ind w:left="4"/>
              <w:spacing w:after="0"/>
              <w:rPr>
                <w:sz w:val="20"/>
                <w:szCs w:val="20"/>
                <w:color w:val="auto"/>
              </w:rPr>
            </w:pPr>
            <w:r>
              <w:rPr>
                <w:rFonts w:ascii="Arial" w:cs="Arial" w:eastAsia="Arial" w:hAnsi="Arial"/>
                <w:sz w:val="14"/>
                <w:szCs w:val="14"/>
                <w:b w:val="1"/>
                <w:bCs w:val="1"/>
                <w:color w:val="F06A6A"/>
              </w:rPr>
              <w:t>Peer Group Total</w:t>
            </w:r>
          </w:p>
        </w:tc>
        <w:tc>
          <w:tcPr>
            <w:tcW w:w="1120" w:type="dxa"/>
            <w:vAlign w:val="bottom"/>
            <w:vMerge w:val="restart"/>
            <w:shd w:val="clear" w:color="auto" w:fill="EEEBEA"/>
          </w:tcPr>
          <w:p>
            <w:pPr>
              <w:jc w:val="center"/>
              <w:spacing w:after="0"/>
              <w:rPr>
                <w:sz w:val="20"/>
                <w:szCs w:val="20"/>
                <w:color w:val="auto"/>
              </w:rPr>
            </w:pPr>
            <w:r>
              <w:rPr>
                <w:rFonts w:ascii="Arial" w:cs="Arial" w:eastAsia="Arial" w:hAnsi="Arial"/>
                <w:sz w:val="14"/>
                <w:szCs w:val="14"/>
                <w:b w:val="1"/>
                <w:bCs w:val="1"/>
                <w:color w:val="F06A6A"/>
              </w:rPr>
              <w:t>Net Income</w:t>
            </w:r>
          </w:p>
        </w:tc>
        <w:tc>
          <w:tcPr>
            <w:tcW w:w="1020" w:type="dxa"/>
            <w:vAlign w:val="bottom"/>
            <w:vMerge w:val="restart"/>
            <w:shd w:val="clear" w:color="auto" w:fill="EEEBEA"/>
          </w:tcPr>
          <w:p>
            <w:pPr>
              <w:jc w:val="center"/>
              <w:spacing w:after="0"/>
              <w:rPr>
                <w:sz w:val="20"/>
                <w:szCs w:val="20"/>
                <w:color w:val="auto"/>
              </w:rPr>
            </w:pPr>
            <w:r>
              <w:rPr>
                <w:rFonts w:ascii="Arial" w:cs="Arial" w:eastAsia="Arial" w:hAnsi="Arial"/>
                <w:sz w:val="14"/>
                <w:szCs w:val="14"/>
                <w:b w:val="1"/>
                <w:bCs w:val="1"/>
                <w:color w:val="F06A6A"/>
              </w:rPr>
              <w:t>Company</w:t>
            </w:r>
          </w:p>
        </w:tc>
        <w:tc>
          <w:tcPr>
            <w:tcW w:w="0" w:type="dxa"/>
            <w:vAlign w:val="bottom"/>
          </w:tcPr>
          <w:p>
            <w:pPr>
              <w:spacing w:after="0"/>
              <w:rPr>
                <w:sz w:val="1"/>
                <w:szCs w:val="1"/>
                <w:color w:val="auto"/>
              </w:rPr>
            </w:pPr>
          </w:p>
        </w:tc>
      </w:tr>
      <w:tr>
        <w:trPr>
          <w:trHeight w:val="175"/>
        </w:trPr>
        <w:tc>
          <w:tcPr>
            <w:tcW w:w="1340" w:type="dxa"/>
            <w:vAlign w:val="bottom"/>
            <w:shd w:val="clear" w:color="auto" w:fill="EEEBEA"/>
          </w:tcPr>
          <w:p>
            <w:pPr>
              <w:spacing w:after="0"/>
              <w:rPr>
                <w:sz w:val="15"/>
                <w:szCs w:val="15"/>
                <w:color w:val="auto"/>
              </w:rPr>
            </w:pPr>
          </w:p>
        </w:tc>
        <w:tc>
          <w:tcPr>
            <w:tcW w:w="12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w w:val="99"/>
              </w:rPr>
              <w:t>Table Total for</w:t>
            </w:r>
          </w:p>
        </w:tc>
        <w:tc>
          <w:tcPr>
            <w:tcW w:w="1140" w:type="dxa"/>
            <w:vAlign w:val="bottom"/>
            <w:vMerge w:val="continue"/>
            <w:shd w:val="clear" w:color="auto" w:fill="EEEBEA"/>
          </w:tcPr>
          <w:p>
            <w:pPr>
              <w:spacing w:after="0"/>
              <w:rPr>
                <w:sz w:val="15"/>
                <w:szCs w:val="15"/>
                <w:color w:val="auto"/>
              </w:rPr>
            </w:pPr>
          </w:p>
        </w:tc>
        <w:tc>
          <w:tcPr>
            <w:tcW w:w="140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Compensation</w:t>
            </w:r>
          </w:p>
        </w:tc>
        <w:tc>
          <w:tcPr>
            <w:tcW w:w="144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Compensation</w:t>
            </w:r>
          </w:p>
        </w:tc>
        <w:tc>
          <w:tcPr>
            <w:tcW w:w="116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Stockholder</w:t>
            </w:r>
          </w:p>
        </w:tc>
        <w:tc>
          <w:tcPr>
            <w:tcW w:w="1400" w:type="dxa"/>
            <w:vAlign w:val="bottom"/>
            <w:vMerge w:val="continue"/>
            <w:shd w:val="clear" w:color="auto" w:fill="EEEBEA"/>
          </w:tcPr>
          <w:p>
            <w:pPr>
              <w:spacing w:after="0"/>
              <w:rPr>
                <w:sz w:val="15"/>
                <w:szCs w:val="15"/>
                <w:color w:val="auto"/>
              </w:rPr>
            </w:pPr>
          </w:p>
        </w:tc>
        <w:tc>
          <w:tcPr>
            <w:tcW w:w="1120" w:type="dxa"/>
            <w:vAlign w:val="bottom"/>
            <w:vMerge w:val="continue"/>
            <w:shd w:val="clear" w:color="auto" w:fill="EEEBEA"/>
          </w:tcPr>
          <w:p>
            <w:pPr>
              <w:spacing w:after="0"/>
              <w:rPr>
                <w:sz w:val="15"/>
                <w:szCs w:val="15"/>
                <w:color w:val="auto"/>
              </w:rPr>
            </w:pPr>
          </w:p>
        </w:tc>
        <w:tc>
          <w:tcPr>
            <w:tcW w:w="1020" w:type="dxa"/>
            <w:vAlign w:val="bottom"/>
            <w:vMerge w:val="continue"/>
            <w:shd w:val="clear" w:color="auto" w:fill="EEEBEA"/>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340" w:type="dxa"/>
            <w:vAlign w:val="bottom"/>
            <w:vMerge w:val="restart"/>
            <w:shd w:val="clear" w:color="auto" w:fill="EEEBEA"/>
          </w:tcPr>
          <w:p>
            <w:pPr>
              <w:ind w:left="100"/>
              <w:spacing w:after="0"/>
              <w:rPr>
                <w:sz w:val="20"/>
                <w:szCs w:val="20"/>
                <w:color w:val="auto"/>
              </w:rPr>
            </w:pPr>
            <w:r>
              <w:rPr>
                <w:rFonts w:ascii="Arial" w:cs="Arial" w:eastAsia="Arial" w:hAnsi="Arial"/>
                <w:sz w:val="16"/>
                <w:szCs w:val="16"/>
                <w:b w:val="1"/>
                <w:bCs w:val="1"/>
                <w:color w:val="F06A6A"/>
              </w:rPr>
              <w:t>Year</w:t>
            </w:r>
          </w:p>
        </w:tc>
        <w:tc>
          <w:tcPr>
            <w:tcW w:w="12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CEO</w:t>
            </w:r>
          </w:p>
        </w:tc>
        <w:tc>
          <w:tcPr>
            <w:tcW w:w="114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Actually Paid</w:t>
            </w:r>
          </w:p>
        </w:tc>
        <w:tc>
          <w:tcPr>
            <w:tcW w:w="140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Table Total for non-</w:t>
            </w:r>
          </w:p>
        </w:tc>
        <w:tc>
          <w:tcPr>
            <w:tcW w:w="144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Actually Paid to</w:t>
            </w:r>
          </w:p>
        </w:tc>
        <w:tc>
          <w:tcPr>
            <w:tcW w:w="116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Return</w:t>
            </w:r>
          </w:p>
        </w:tc>
        <w:tc>
          <w:tcPr>
            <w:tcW w:w="140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Stockholder</w:t>
            </w:r>
          </w:p>
        </w:tc>
        <w:tc>
          <w:tcPr>
            <w:tcW w:w="11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 (in</w:t>
            </w:r>
          </w:p>
        </w:tc>
        <w:tc>
          <w:tcPr>
            <w:tcW w:w="10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Selected</w:t>
            </w:r>
          </w:p>
        </w:tc>
        <w:tc>
          <w:tcPr>
            <w:tcW w:w="0" w:type="dxa"/>
            <w:vAlign w:val="bottom"/>
          </w:tcPr>
          <w:p>
            <w:pPr>
              <w:spacing w:after="0"/>
              <w:rPr>
                <w:sz w:val="1"/>
                <w:szCs w:val="1"/>
                <w:color w:val="auto"/>
              </w:rPr>
            </w:pPr>
          </w:p>
        </w:tc>
      </w:tr>
      <w:tr>
        <w:trPr>
          <w:trHeight w:val="228"/>
        </w:trPr>
        <w:tc>
          <w:tcPr>
            <w:tcW w:w="1340" w:type="dxa"/>
            <w:vAlign w:val="bottom"/>
            <w:vMerge w:val="continue"/>
            <w:shd w:val="clear" w:color="auto" w:fill="EEEBEA"/>
          </w:tcPr>
          <w:p>
            <w:pPr>
              <w:spacing w:after="0"/>
              <w:rPr>
                <w:sz w:val="19"/>
                <w:szCs w:val="19"/>
                <w:color w:val="auto"/>
              </w:rPr>
            </w:pPr>
          </w:p>
        </w:tc>
        <w:tc>
          <w:tcPr>
            <w:tcW w:w="12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w w:val="93"/>
              </w:rPr>
              <w:t>($)</w:t>
            </w:r>
          </w:p>
        </w:tc>
        <w:tc>
          <w:tcPr>
            <w:tcW w:w="114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w w:val="96"/>
              </w:rPr>
              <w:t>to CEO ($)</w:t>
            </w:r>
            <w:r>
              <w:rPr>
                <w:rFonts w:ascii="Arial" w:cs="Arial" w:eastAsia="Arial" w:hAnsi="Arial"/>
                <w:sz w:val="18"/>
                <w:szCs w:val="18"/>
                <w:b w:val="1"/>
                <w:bCs w:val="1"/>
                <w:color w:val="F06A6A"/>
                <w:w w:val="96"/>
                <w:vertAlign w:val="superscript"/>
              </w:rPr>
              <w:t>(1)</w:t>
            </w:r>
          </w:p>
        </w:tc>
        <w:tc>
          <w:tcPr>
            <w:tcW w:w="140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CEO NEOs ($)</w:t>
            </w:r>
          </w:p>
        </w:tc>
        <w:tc>
          <w:tcPr>
            <w:tcW w:w="144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non-CEO NEOs ($)</w:t>
            </w:r>
            <w:r>
              <w:rPr>
                <w:rFonts w:ascii="Arial" w:cs="Arial" w:eastAsia="Arial" w:hAnsi="Arial"/>
                <w:sz w:val="18"/>
                <w:szCs w:val="18"/>
                <w:b w:val="1"/>
                <w:bCs w:val="1"/>
                <w:color w:val="F06A6A"/>
                <w:vertAlign w:val="superscript"/>
              </w:rPr>
              <w:t>(1)</w:t>
            </w:r>
          </w:p>
        </w:tc>
        <w:tc>
          <w:tcPr>
            <w:tcW w:w="116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w w:val="94"/>
              </w:rPr>
              <w:t>($)</w:t>
            </w:r>
            <w:r>
              <w:rPr>
                <w:rFonts w:ascii="Arial" w:cs="Arial" w:eastAsia="Arial" w:hAnsi="Arial"/>
                <w:sz w:val="18"/>
                <w:szCs w:val="18"/>
                <w:b w:val="1"/>
                <w:bCs w:val="1"/>
                <w:color w:val="F06A6A"/>
                <w:w w:val="94"/>
                <w:vertAlign w:val="superscript"/>
              </w:rPr>
              <w:t>(2)</w:t>
            </w:r>
          </w:p>
        </w:tc>
        <w:tc>
          <w:tcPr>
            <w:tcW w:w="140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w w:val="96"/>
              </w:rPr>
              <w:t>Return ($)</w:t>
            </w:r>
            <w:r>
              <w:rPr>
                <w:rFonts w:ascii="Arial" w:cs="Arial" w:eastAsia="Arial" w:hAnsi="Arial"/>
                <w:sz w:val="18"/>
                <w:szCs w:val="18"/>
                <w:b w:val="1"/>
                <w:bCs w:val="1"/>
                <w:color w:val="F06A6A"/>
                <w:w w:val="96"/>
                <w:vertAlign w:val="superscript"/>
              </w:rPr>
              <w:t>(3)</w:t>
            </w:r>
          </w:p>
        </w:tc>
        <w:tc>
          <w:tcPr>
            <w:tcW w:w="11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thousands)</w:t>
            </w:r>
          </w:p>
        </w:tc>
        <w:tc>
          <w:tcPr>
            <w:tcW w:w="1020" w:type="dxa"/>
            <w:vAlign w:val="bottom"/>
            <w:shd w:val="clear" w:color="auto" w:fill="EEEBEA"/>
          </w:tcPr>
          <w:p>
            <w:pPr>
              <w:jc w:val="center"/>
              <w:spacing w:after="0"/>
              <w:rPr>
                <w:sz w:val="20"/>
                <w:szCs w:val="20"/>
                <w:color w:val="auto"/>
              </w:rPr>
            </w:pPr>
            <w:r>
              <w:rPr>
                <w:rFonts w:ascii="Arial" w:cs="Arial" w:eastAsia="Arial" w:hAnsi="Arial"/>
                <w:sz w:val="14"/>
                <w:szCs w:val="14"/>
                <w:b w:val="1"/>
                <w:bCs w:val="1"/>
                <w:color w:val="F06A6A"/>
              </w:rPr>
              <w:t>Measure</w:t>
            </w:r>
          </w:p>
        </w:tc>
        <w:tc>
          <w:tcPr>
            <w:tcW w:w="0" w:type="dxa"/>
            <w:vAlign w:val="bottom"/>
          </w:tcPr>
          <w:p>
            <w:pPr>
              <w:spacing w:after="0"/>
              <w:rPr>
                <w:sz w:val="1"/>
                <w:szCs w:val="1"/>
                <w:color w:val="auto"/>
              </w:rPr>
            </w:pPr>
          </w:p>
        </w:tc>
      </w:tr>
      <w:tr>
        <w:trPr>
          <w:trHeight w:val="95"/>
        </w:trPr>
        <w:tc>
          <w:tcPr>
            <w:tcW w:w="1340" w:type="dxa"/>
            <w:vAlign w:val="bottom"/>
            <w:tcBorders>
              <w:bottom w:val="single" w:sz="8" w:color="A5A4A3"/>
            </w:tcBorders>
            <w:shd w:val="clear" w:color="auto" w:fill="EEEBEA"/>
          </w:tcPr>
          <w:p>
            <w:pPr>
              <w:spacing w:after="0"/>
              <w:rPr>
                <w:sz w:val="8"/>
                <w:szCs w:val="8"/>
                <w:color w:val="auto"/>
              </w:rPr>
            </w:pPr>
          </w:p>
        </w:tc>
        <w:tc>
          <w:tcPr>
            <w:tcW w:w="1220" w:type="dxa"/>
            <w:vAlign w:val="bottom"/>
            <w:tcBorders>
              <w:bottom w:val="single" w:sz="8" w:color="A5A4A3"/>
            </w:tcBorders>
            <w:shd w:val="clear" w:color="auto" w:fill="EEEBEA"/>
          </w:tcPr>
          <w:p>
            <w:pPr>
              <w:spacing w:after="0"/>
              <w:rPr>
                <w:sz w:val="8"/>
                <w:szCs w:val="8"/>
                <w:color w:val="auto"/>
              </w:rPr>
            </w:pPr>
          </w:p>
        </w:tc>
        <w:tc>
          <w:tcPr>
            <w:tcW w:w="1140" w:type="dxa"/>
            <w:vAlign w:val="bottom"/>
            <w:tcBorders>
              <w:bottom w:val="single" w:sz="8" w:color="A5A4A3"/>
            </w:tcBorders>
            <w:shd w:val="clear" w:color="auto" w:fill="EEEBEA"/>
          </w:tcPr>
          <w:p>
            <w:pPr>
              <w:spacing w:after="0"/>
              <w:rPr>
                <w:sz w:val="8"/>
                <w:szCs w:val="8"/>
                <w:color w:val="auto"/>
              </w:rPr>
            </w:pPr>
          </w:p>
        </w:tc>
        <w:tc>
          <w:tcPr>
            <w:tcW w:w="1400" w:type="dxa"/>
            <w:vAlign w:val="bottom"/>
            <w:tcBorders>
              <w:bottom w:val="single" w:sz="8" w:color="A5A4A3"/>
            </w:tcBorders>
            <w:shd w:val="clear" w:color="auto" w:fill="EEEBEA"/>
          </w:tcPr>
          <w:p>
            <w:pPr>
              <w:spacing w:after="0"/>
              <w:rPr>
                <w:sz w:val="8"/>
                <w:szCs w:val="8"/>
                <w:color w:val="auto"/>
              </w:rPr>
            </w:pPr>
          </w:p>
        </w:tc>
        <w:tc>
          <w:tcPr>
            <w:tcW w:w="1440" w:type="dxa"/>
            <w:vAlign w:val="bottom"/>
            <w:tcBorders>
              <w:bottom w:val="single" w:sz="8" w:color="A5A4A3"/>
            </w:tcBorders>
            <w:shd w:val="clear" w:color="auto" w:fill="EEEBEA"/>
          </w:tcPr>
          <w:p>
            <w:pPr>
              <w:spacing w:after="0"/>
              <w:rPr>
                <w:sz w:val="8"/>
                <w:szCs w:val="8"/>
                <w:color w:val="auto"/>
              </w:rPr>
            </w:pPr>
          </w:p>
        </w:tc>
        <w:tc>
          <w:tcPr>
            <w:tcW w:w="1160" w:type="dxa"/>
            <w:vAlign w:val="bottom"/>
            <w:tcBorders>
              <w:bottom w:val="single" w:sz="8" w:color="A5A4A3"/>
            </w:tcBorders>
            <w:shd w:val="clear" w:color="auto" w:fill="EEEBEA"/>
          </w:tcPr>
          <w:p>
            <w:pPr>
              <w:spacing w:after="0"/>
              <w:rPr>
                <w:sz w:val="8"/>
                <w:szCs w:val="8"/>
                <w:color w:val="auto"/>
              </w:rPr>
            </w:pPr>
          </w:p>
        </w:tc>
        <w:tc>
          <w:tcPr>
            <w:tcW w:w="1400" w:type="dxa"/>
            <w:vAlign w:val="bottom"/>
            <w:tcBorders>
              <w:bottom w:val="single" w:sz="8" w:color="A5A4A3"/>
            </w:tcBorders>
            <w:shd w:val="clear" w:color="auto" w:fill="EEEBEA"/>
          </w:tcPr>
          <w:p>
            <w:pPr>
              <w:spacing w:after="0"/>
              <w:rPr>
                <w:sz w:val="8"/>
                <w:szCs w:val="8"/>
                <w:color w:val="auto"/>
              </w:rPr>
            </w:pPr>
          </w:p>
        </w:tc>
        <w:tc>
          <w:tcPr>
            <w:tcW w:w="1120" w:type="dxa"/>
            <w:vAlign w:val="bottom"/>
            <w:tcBorders>
              <w:bottom w:val="single" w:sz="8" w:color="A5A4A3"/>
            </w:tcBorders>
            <w:shd w:val="clear" w:color="auto" w:fill="EEEBEA"/>
          </w:tcPr>
          <w:p>
            <w:pPr>
              <w:spacing w:after="0"/>
              <w:rPr>
                <w:sz w:val="8"/>
                <w:szCs w:val="8"/>
                <w:color w:val="auto"/>
              </w:rPr>
            </w:pPr>
          </w:p>
        </w:tc>
        <w:tc>
          <w:tcPr>
            <w:tcW w:w="1020" w:type="dxa"/>
            <w:vAlign w:val="bottom"/>
            <w:tcBorders>
              <w:bottom w:val="single" w:sz="8" w:color="A5A4A3"/>
            </w:tcBorders>
            <w:shd w:val="clear" w:color="auto" w:fill="EEEBEA"/>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40" w:type="dxa"/>
            <w:vAlign w:val="bottom"/>
          </w:tcPr>
          <w:p>
            <w:pPr>
              <w:ind w:left="100"/>
              <w:spacing w:after="0"/>
              <w:rPr>
                <w:sz w:val="20"/>
                <w:szCs w:val="20"/>
                <w:color w:val="auto"/>
              </w:rPr>
            </w:pPr>
            <w:r>
              <w:rPr>
                <w:rFonts w:ascii="Arial" w:cs="Arial" w:eastAsia="Arial" w:hAnsi="Arial"/>
                <w:sz w:val="16"/>
                <w:szCs w:val="16"/>
                <w:color w:val="0D0E10"/>
              </w:rPr>
              <w:t>Year 1</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0D0E10"/>
                <w:w w:val="89"/>
              </w:rPr>
              <w:t>1</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0D0E10"/>
                <w:w w:val="89"/>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D0E10"/>
              </w:rPr>
              <w:t>8,823,880</w:t>
            </w:r>
          </w:p>
        </w:tc>
        <w:tc>
          <w:tcPr>
            <w:tcW w:w="1440" w:type="dxa"/>
            <w:vAlign w:val="bottom"/>
            <w:vMerge w:val="restart"/>
          </w:tcPr>
          <w:p>
            <w:pPr>
              <w:jc w:val="right"/>
              <w:ind w:right="284"/>
              <w:spacing w:after="0"/>
              <w:rPr>
                <w:sz w:val="20"/>
                <w:szCs w:val="20"/>
                <w:color w:val="auto"/>
              </w:rPr>
            </w:pPr>
            <w:r>
              <w:rPr>
                <w:rFonts w:ascii="Arial" w:cs="Arial" w:eastAsia="Arial" w:hAnsi="Arial"/>
                <w:sz w:val="16"/>
                <w:szCs w:val="16"/>
                <w:color w:val="0D0E10"/>
              </w:rPr>
              <w:t>8,499,266</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D0E10"/>
                <w:w w:val="97"/>
              </w:rPr>
              <w:t>148</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D0E10"/>
                <w:w w:val="97"/>
              </w:rPr>
              <w:t>122</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D0E10"/>
                <w:w w:val="99"/>
              </w:rPr>
              <w:t>(288,342)</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0D0E10"/>
                <w:w w:val="98"/>
              </w:rPr>
              <w:t>n/a</w:t>
            </w:r>
          </w:p>
        </w:tc>
        <w:tc>
          <w:tcPr>
            <w:tcW w:w="0" w:type="dxa"/>
            <w:vAlign w:val="bottom"/>
          </w:tcPr>
          <w:p>
            <w:pPr>
              <w:spacing w:after="0"/>
              <w:rPr>
                <w:sz w:val="1"/>
                <w:szCs w:val="1"/>
                <w:color w:val="auto"/>
              </w:rPr>
            </w:pPr>
          </w:p>
        </w:tc>
      </w:tr>
      <w:tr>
        <w:trPr>
          <w:trHeight w:val="107"/>
        </w:trPr>
        <w:tc>
          <w:tcPr>
            <w:tcW w:w="1340" w:type="dxa"/>
            <w:vAlign w:val="bottom"/>
            <w:vMerge w:val="restart"/>
          </w:tcPr>
          <w:p>
            <w:pPr>
              <w:ind w:left="100"/>
              <w:spacing w:after="0"/>
              <w:rPr>
                <w:sz w:val="20"/>
                <w:szCs w:val="20"/>
                <w:color w:val="auto"/>
              </w:rPr>
            </w:pPr>
            <w:r>
              <w:rPr>
                <w:rFonts w:ascii="Arial" w:cs="Arial" w:eastAsia="Arial" w:hAnsi="Arial"/>
                <w:sz w:val="16"/>
                <w:szCs w:val="16"/>
                <w:color w:val="0D0E10"/>
              </w:rPr>
              <w:t>(Fiscal 2022)</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40" w:type="dxa"/>
            <w:vAlign w:val="bottom"/>
            <w:tcBorders>
              <w:bottom w:val="single" w:sz="8" w:color="A5A4A3"/>
            </w:tcBorders>
          </w:tcPr>
          <w:p>
            <w:pPr>
              <w:spacing w:after="0"/>
              <w:rPr>
                <w:sz w:val="2"/>
                <w:szCs w:val="2"/>
                <w:color w:val="auto"/>
              </w:rPr>
            </w:pPr>
          </w:p>
        </w:tc>
        <w:tc>
          <w:tcPr>
            <w:tcW w:w="1220" w:type="dxa"/>
            <w:vAlign w:val="bottom"/>
            <w:tcBorders>
              <w:bottom w:val="single" w:sz="8" w:color="A5A4A3"/>
            </w:tcBorders>
          </w:tcPr>
          <w:p>
            <w:pPr>
              <w:spacing w:after="0"/>
              <w:rPr>
                <w:sz w:val="2"/>
                <w:szCs w:val="2"/>
                <w:color w:val="auto"/>
              </w:rPr>
            </w:pPr>
          </w:p>
        </w:tc>
        <w:tc>
          <w:tcPr>
            <w:tcW w:w="1140" w:type="dxa"/>
            <w:vAlign w:val="bottom"/>
            <w:tcBorders>
              <w:bottom w:val="single" w:sz="8" w:color="A5A4A3"/>
            </w:tcBorders>
          </w:tcPr>
          <w:p>
            <w:pPr>
              <w:spacing w:after="0"/>
              <w:rPr>
                <w:sz w:val="2"/>
                <w:szCs w:val="2"/>
                <w:color w:val="auto"/>
              </w:rPr>
            </w:pPr>
          </w:p>
        </w:tc>
        <w:tc>
          <w:tcPr>
            <w:tcW w:w="1400" w:type="dxa"/>
            <w:vAlign w:val="bottom"/>
            <w:tcBorders>
              <w:bottom w:val="single" w:sz="8" w:color="A5A4A3"/>
            </w:tcBorders>
          </w:tcPr>
          <w:p>
            <w:pPr>
              <w:spacing w:after="0"/>
              <w:rPr>
                <w:sz w:val="2"/>
                <w:szCs w:val="2"/>
                <w:color w:val="auto"/>
              </w:rPr>
            </w:pPr>
          </w:p>
        </w:tc>
        <w:tc>
          <w:tcPr>
            <w:tcW w:w="1440" w:type="dxa"/>
            <w:vAlign w:val="bottom"/>
            <w:tcBorders>
              <w:bottom w:val="single" w:sz="8" w:color="A5A4A3"/>
            </w:tcBorders>
          </w:tcPr>
          <w:p>
            <w:pPr>
              <w:spacing w:after="0"/>
              <w:rPr>
                <w:sz w:val="2"/>
                <w:szCs w:val="2"/>
                <w:color w:val="auto"/>
              </w:rPr>
            </w:pPr>
          </w:p>
        </w:tc>
        <w:tc>
          <w:tcPr>
            <w:tcW w:w="1160" w:type="dxa"/>
            <w:vAlign w:val="bottom"/>
            <w:tcBorders>
              <w:bottom w:val="single" w:sz="8" w:color="A5A4A3"/>
            </w:tcBorders>
          </w:tcPr>
          <w:p>
            <w:pPr>
              <w:spacing w:after="0"/>
              <w:rPr>
                <w:sz w:val="2"/>
                <w:szCs w:val="2"/>
                <w:color w:val="auto"/>
              </w:rPr>
            </w:pPr>
          </w:p>
        </w:tc>
        <w:tc>
          <w:tcPr>
            <w:tcW w:w="1400" w:type="dxa"/>
            <w:vAlign w:val="bottom"/>
            <w:tcBorders>
              <w:bottom w:val="single" w:sz="8" w:color="A5A4A3"/>
            </w:tcBorders>
          </w:tcPr>
          <w:p>
            <w:pPr>
              <w:spacing w:after="0"/>
              <w:rPr>
                <w:sz w:val="2"/>
                <w:szCs w:val="2"/>
                <w:color w:val="auto"/>
              </w:rPr>
            </w:pPr>
          </w:p>
        </w:tc>
        <w:tc>
          <w:tcPr>
            <w:tcW w:w="1120" w:type="dxa"/>
            <w:vAlign w:val="bottom"/>
            <w:tcBorders>
              <w:bottom w:val="single" w:sz="8" w:color="A5A4A3"/>
            </w:tcBorders>
          </w:tcPr>
          <w:p>
            <w:pPr>
              <w:spacing w:after="0"/>
              <w:rPr>
                <w:sz w:val="2"/>
                <w:szCs w:val="2"/>
                <w:color w:val="auto"/>
              </w:rPr>
            </w:pPr>
          </w:p>
        </w:tc>
        <w:tc>
          <w:tcPr>
            <w:tcW w:w="102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40" w:type="dxa"/>
            <w:vAlign w:val="bottom"/>
          </w:tcPr>
          <w:p>
            <w:pPr>
              <w:ind w:left="100"/>
              <w:spacing w:after="0"/>
              <w:rPr>
                <w:sz w:val="20"/>
                <w:szCs w:val="20"/>
                <w:color w:val="auto"/>
              </w:rPr>
            </w:pPr>
            <w:r>
              <w:rPr>
                <w:rFonts w:ascii="Arial" w:cs="Arial" w:eastAsia="Arial" w:hAnsi="Arial"/>
                <w:sz w:val="16"/>
                <w:szCs w:val="16"/>
                <w:color w:val="0D0E10"/>
              </w:rPr>
              <w:t>Year 2</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0D0E10"/>
                <w:w w:val="89"/>
              </w:rPr>
              <w:t>1</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0D0E10"/>
                <w:w w:val="89"/>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D0E10"/>
              </w:rPr>
              <w:t>3,502,160</w:t>
            </w:r>
          </w:p>
        </w:tc>
        <w:tc>
          <w:tcPr>
            <w:tcW w:w="1440" w:type="dxa"/>
            <w:vAlign w:val="bottom"/>
            <w:vMerge w:val="restart"/>
          </w:tcPr>
          <w:p>
            <w:pPr>
              <w:jc w:val="right"/>
              <w:ind w:right="224"/>
              <w:spacing w:after="0"/>
              <w:rPr>
                <w:sz w:val="20"/>
                <w:szCs w:val="20"/>
                <w:color w:val="auto"/>
              </w:rPr>
            </w:pPr>
            <w:r>
              <w:rPr>
                <w:rFonts w:ascii="Arial" w:cs="Arial" w:eastAsia="Arial" w:hAnsi="Arial"/>
                <w:sz w:val="16"/>
                <w:szCs w:val="16"/>
                <w:color w:val="0D0E10"/>
              </w:rPr>
              <w:t>(5,158,293)</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D0E10"/>
              </w:rPr>
              <w:t>44</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D0E10"/>
                <w:w w:val="97"/>
              </w:rPr>
              <w:t>102</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D0E10"/>
                <w:w w:val="99"/>
              </w:rPr>
              <w:t>(407,768)</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0D0E10"/>
                <w:w w:val="98"/>
              </w:rPr>
              <w:t>n/a</w:t>
            </w:r>
          </w:p>
        </w:tc>
        <w:tc>
          <w:tcPr>
            <w:tcW w:w="0" w:type="dxa"/>
            <w:vAlign w:val="bottom"/>
          </w:tcPr>
          <w:p>
            <w:pPr>
              <w:spacing w:after="0"/>
              <w:rPr>
                <w:sz w:val="1"/>
                <w:szCs w:val="1"/>
                <w:color w:val="auto"/>
              </w:rPr>
            </w:pPr>
          </w:p>
        </w:tc>
      </w:tr>
      <w:tr>
        <w:trPr>
          <w:trHeight w:val="107"/>
        </w:trPr>
        <w:tc>
          <w:tcPr>
            <w:tcW w:w="1340" w:type="dxa"/>
            <w:vAlign w:val="bottom"/>
            <w:vMerge w:val="restart"/>
          </w:tcPr>
          <w:p>
            <w:pPr>
              <w:ind w:left="100"/>
              <w:spacing w:after="0"/>
              <w:rPr>
                <w:sz w:val="20"/>
                <w:szCs w:val="20"/>
                <w:color w:val="auto"/>
              </w:rPr>
            </w:pPr>
            <w:r>
              <w:rPr>
                <w:rFonts w:ascii="Arial" w:cs="Arial" w:eastAsia="Arial" w:hAnsi="Arial"/>
                <w:sz w:val="16"/>
                <w:szCs w:val="16"/>
                <w:color w:val="0D0E10"/>
              </w:rPr>
              <w:t>(Fiscal 2023)</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40" w:type="dxa"/>
            <w:vAlign w:val="bottom"/>
            <w:tcBorders>
              <w:bottom w:val="single" w:sz="8" w:color="A5A4A3"/>
            </w:tcBorders>
          </w:tcPr>
          <w:p>
            <w:pPr>
              <w:spacing w:after="0"/>
              <w:rPr>
                <w:sz w:val="2"/>
                <w:szCs w:val="2"/>
                <w:color w:val="auto"/>
              </w:rPr>
            </w:pPr>
          </w:p>
        </w:tc>
        <w:tc>
          <w:tcPr>
            <w:tcW w:w="1220" w:type="dxa"/>
            <w:vAlign w:val="bottom"/>
            <w:tcBorders>
              <w:bottom w:val="single" w:sz="8" w:color="A5A4A3"/>
            </w:tcBorders>
          </w:tcPr>
          <w:p>
            <w:pPr>
              <w:spacing w:after="0"/>
              <w:rPr>
                <w:sz w:val="2"/>
                <w:szCs w:val="2"/>
                <w:color w:val="auto"/>
              </w:rPr>
            </w:pPr>
          </w:p>
        </w:tc>
        <w:tc>
          <w:tcPr>
            <w:tcW w:w="1140" w:type="dxa"/>
            <w:vAlign w:val="bottom"/>
            <w:tcBorders>
              <w:bottom w:val="single" w:sz="8" w:color="A5A4A3"/>
            </w:tcBorders>
          </w:tcPr>
          <w:p>
            <w:pPr>
              <w:spacing w:after="0"/>
              <w:rPr>
                <w:sz w:val="2"/>
                <w:szCs w:val="2"/>
                <w:color w:val="auto"/>
              </w:rPr>
            </w:pPr>
          </w:p>
        </w:tc>
        <w:tc>
          <w:tcPr>
            <w:tcW w:w="1400" w:type="dxa"/>
            <w:vAlign w:val="bottom"/>
            <w:tcBorders>
              <w:bottom w:val="single" w:sz="8" w:color="A5A4A3"/>
            </w:tcBorders>
          </w:tcPr>
          <w:p>
            <w:pPr>
              <w:spacing w:after="0"/>
              <w:rPr>
                <w:sz w:val="2"/>
                <w:szCs w:val="2"/>
                <w:color w:val="auto"/>
              </w:rPr>
            </w:pPr>
          </w:p>
        </w:tc>
        <w:tc>
          <w:tcPr>
            <w:tcW w:w="1440" w:type="dxa"/>
            <w:vAlign w:val="bottom"/>
            <w:tcBorders>
              <w:bottom w:val="single" w:sz="8" w:color="A5A4A3"/>
            </w:tcBorders>
          </w:tcPr>
          <w:p>
            <w:pPr>
              <w:spacing w:after="0"/>
              <w:rPr>
                <w:sz w:val="2"/>
                <w:szCs w:val="2"/>
                <w:color w:val="auto"/>
              </w:rPr>
            </w:pPr>
          </w:p>
        </w:tc>
        <w:tc>
          <w:tcPr>
            <w:tcW w:w="1160" w:type="dxa"/>
            <w:vAlign w:val="bottom"/>
            <w:tcBorders>
              <w:bottom w:val="single" w:sz="8" w:color="A5A4A3"/>
            </w:tcBorders>
          </w:tcPr>
          <w:p>
            <w:pPr>
              <w:spacing w:after="0"/>
              <w:rPr>
                <w:sz w:val="2"/>
                <w:szCs w:val="2"/>
                <w:color w:val="auto"/>
              </w:rPr>
            </w:pPr>
          </w:p>
        </w:tc>
        <w:tc>
          <w:tcPr>
            <w:tcW w:w="1400" w:type="dxa"/>
            <w:vAlign w:val="bottom"/>
            <w:tcBorders>
              <w:bottom w:val="single" w:sz="8" w:color="A5A4A3"/>
            </w:tcBorders>
          </w:tcPr>
          <w:p>
            <w:pPr>
              <w:spacing w:after="0"/>
              <w:rPr>
                <w:sz w:val="2"/>
                <w:szCs w:val="2"/>
                <w:color w:val="auto"/>
              </w:rPr>
            </w:pPr>
          </w:p>
        </w:tc>
        <w:tc>
          <w:tcPr>
            <w:tcW w:w="1120" w:type="dxa"/>
            <w:vAlign w:val="bottom"/>
            <w:tcBorders>
              <w:bottom w:val="single" w:sz="8" w:color="A5A4A3"/>
            </w:tcBorders>
          </w:tcPr>
          <w:p>
            <w:pPr>
              <w:spacing w:after="0"/>
              <w:rPr>
                <w:sz w:val="2"/>
                <w:szCs w:val="2"/>
                <w:color w:val="auto"/>
              </w:rPr>
            </w:pPr>
          </w:p>
        </w:tc>
        <w:tc>
          <w:tcPr>
            <w:tcW w:w="102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340" w:type="dxa"/>
            <w:vAlign w:val="bottom"/>
          </w:tcPr>
          <w:p>
            <w:pPr>
              <w:ind w:left="100"/>
              <w:spacing w:after="0"/>
              <w:rPr>
                <w:sz w:val="20"/>
                <w:szCs w:val="20"/>
                <w:color w:val="auto"/>
              </w:rPr>
            </w:pPr>
            <w:r>
              <w:rPr>
                <w:rFonts w:ascii="Arial" w:cs="Arial" w:eastAsia="Arial" w:hAnsi="Arial"/>
                <w:sz w:val="16"/>
                <w:szCs w:val="16"/>
                <w:color w:val="0D0E10"/>
              </w:rPr>
              <w:t>Year 3</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0D0E10"/>
                <w:w w:val="89"/>
              </w:rPr>
              <w:t>1</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0D0E10"/>
                <w:w w:val="89"/>
              </w:rPr>
              <w:t>1</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D0E10"/>
              </w:rPr>
              <w:t>3,986,062</w:t>
            </w:r>
          </w:p>
        </w:tc>
        <w:tc>
          <w:tcPr>
            <w:tcW w:w="1440" w:type="dxa"/>
            <w:vAlign w:val="bottom"/>
            <w:vMerge w:val="restart"/>
          </w:tcPr>
          <w:p>
            <w:pPr>
              <w:jc w:val="right"/>
              <w:ind w:right="284"/>
              <w:spacing w:after="0"/>
              <w:rPr>
                <w:sz w:val="20"/>
                <w:szCs w:val="20"/>
                <w:color w:val="auto"/>
              </w:rPr>
            </w:pPr>
            <w:r>
              <w:rPr>
                <w:rFonts w:ascii="Arial" w:cs="Arial" w:eastAsia="Arial" w:hAnsi="Arial"/>
                <w:sz w:val="16"/>
                <w:szCs w:val="16"/>
                <w:color w:val="0D0E10"/>
              </w:rPr>
              <w:t>2,304,899</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0D0E10"/>
              </w:rPr>
              <w:t>49</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0D0E10"/>
                <w:w w:val="97"/>
              </w:rPr>
              <w:t>156</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D0E10"/>
                <w:w w:val="99"/>
              </w:rPr>
              <w:t>(257,030)</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0D0E10"/>
                <w:w w:val="98"/>
              </w:rPr>
              <w:t>n/a</w:t>
            </w:r>
          </w:p>
        </w:tc>
        <w:tc>
          <w:tcPr>
            <w:tcW w:w="0" w:type="dxa"/>
            <w:vAlign w:val="bottom"/>
          </w:tcPr>
          <w:p>
            <w:pPr>
              <w:spacing w:after="0"/>
              <w:rPr>
                <w:sz w:val="1"/>
                <w:szCs w:val="1"/>
                <w:color w:val="auto"/>
              </w:rPr>
            </w:pPr>
          </w:p>
        </w:tc>
      </w:tr>
      <w:tr>
        <w:trPr>
          <w:trHeight w:val="107"/>
        </w:trPr>
        <w:tc>
          <w:tcPr>
            <w:tcW w:w="1340" w:type="dxa"/>
            <w:vAlign w:val="bottom"/>
            <w:vMerge w:val="restart"/>
          </w:tcPr>
          <w:p>
            <w:pPr>
              <w:ind w:left="100"/>
              <w:spacing w:after="0"/>
              <w:rPr>
                <w:sz w:val="20"/>
                <w:szCs w:val="20"/>
                <w:color w:val="auto"/>
              </w:rPr>
            </w:pPr>
            <w:r>
              <w:rPr>
                <w:rFonts w:ascii="Arial" w:cs="Arial" w:eastAsia="Arial" w:hAnsi="Arial"/>
                <w:sz w:val="16"/>
                <w:szCs w:val="16"/>
                <w:color w:val="0D0E10"/>
              </w:rPr>
              <w:t>(Fiscal 2024)</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40" w:type="dxa"/>
            <w:vAlign w:val="bottom"/>
            <w:tcBorders>
              <w:bottom w:val="single" w:sz="8" w:color="A5A4A3"/>
            </w:tcBorders>
          </w:tcPr>
          <w:p>
            <w:pPr>
              <w:spacing w:after="0"/>
              <w:rPr>
                <w:sz w:val="2"/>
                <w:szCs w:val="2"/>
                <w:color w:val="auto"/>
              </w:rPr>
            </w:pPr>
          </w:p>
        </w:tc>
        <w:tc>
          <w:tcPr>
            <w:tcW w:w="1220" w:type="dxa"/>
            <w:vAlign w:val="bottom"/>
            <w:tcBorders>
              <w:bottom w:val="single" w:sz="8" w:color="A5A4A3"/>
            </w:tcBorders>
          </w:tcPr>
          <w:p>
            <w:pPr>
              <w:spacing w:after="0"/>
              <w:rPr>
                <w:sz w:val="2"/>
                <w:szCs w:val="2"/>
                <w:color w:val="auto"/>
              </w:rPr>
            </w:pPr>
          </w:p>
        </w:tc>
        <w:tc>
          <w:tcPr>
            <w:tcW w:w="1140" w:type="dxa"/>
            <w:vAlign w:val="bottom"/>
            <w:tcBorders>
              <w:bottom w:val="single" w:sz="8" w:color="A5A4A3"/>
            </w:tcBorders>
          </w:tcPr>
          <w:p>
            <w:pPr>
              <w:spacing w:after="0"/>
              <w:rPr>
                <w:sz w:val="2"/>
                <w:szCs w:val="2"/>
                <w:color w:val="auto"/>
              </w:rPr>
            </w:pPr>
          </w:p>
        </w:tc>
        <w:tc>
          <w:tcPr>
            <w:tcW w:w="1400" w:type="dxa"/>
            <w:vAlign w:val="bottom"/>
            <w:tcBorders>
              <w:bottom w:val="single" w:sz="8" w:color="A5A4A3"/>
            </w:tcBorders>
          </w:tcPr>
          <w:p>
            <w:pPr>
              <w:spacing w:after="0"/>
              <w:rPr>
                <w:sz w:val="2"/>
                <w:szCs w:val="2"/>
                <w:color w:val="auto"/>
              </w:rPr>
            </w:pPr>
          </w:p>
        </w:tc>
        <w:tc>
          <w:tcPr>
            <w:tcW w:w="1440" w:type="dxa"/>
            <w:vAlign w:val="bottom"/>
            <w:tcBorders>
              <w:bottom w:val="single" w:sz="8" w:color="A5A4A3"/>
            </w:tcBorders>
          </w:tcPr>
          <w:p>
            <w:pPr>
              <w:spacing w:after="0"/>
              <w:rPr>
                <w:sz w:val="2"/>
                <w:szCs w:val="2"/>
                <w:color w:val="auto"/>
              </w:rPr>
            </w:pPr>
          </w:p>
        </w:tc>
        <w:tc>
          <w:tcPr>
            <w:tcW w:w="1160" w:type="dxa"/>
            <w:vAlign w:val="bottom"/>
            <w:tcBorders>
              <w:bottom w:val="single" w:sz="8" w:color="A5A4A3"/>
            </w:tcBorders>
          </w:tcPr>
          <w:p>
            <w:pPr>
              <w:spacing w:after="0"/>
              <w:rPr>
                <w:sz w:val="2"/>
                <w:szCs w:val="2"/>
                <w:color w:val="auto"/>
              </w:rPr>
            </w:pPr>
          </w:p>
        </w:tc>
        <w:tc>
          <w:tcPr>
            <w:tcW w:w="1400" w:type="dxa"/>
            <w:vAlign w:val="bottom"/>
            <w:tcBorders>
              <w:bottom w:val="single" w:sz="8" w:color="A5A4A3"/>
            </w:tcBorders>
          </w:tcPr>
          <w:p>
            <w:pPr>
              <w:spacing w:after="0"/>
              <w:rPr>
                <w:sz w:val="2"/>
                <w:szCs w:val="2"/>
                <w:color w:val="auto"/>
              </w:rPr>
            </w:pPr>
          </w:p>
        </w:tc>
        <w:tc>
          <w:tcPr>
            <w:tcW w:w="1120" w:type="dxa"/>
            <w:vAlign w:val="bottom"/>
            <w:tcBorders>
              <w:bottom w:val="single" w:sz="8" w:color="A5A4A3"/>
            </w:tcBorders>
          </w:tcPr>
          <w:p>
            <w:pPr>
              <w:spacing w:after="0"/>
              <w:rPr>
                <w:sz w:val="2"/>
                <w:szCs w:val="2"/>
                <w:color w:val="auto"/>
              </w:rPr>
            </w:pPr>
          </w:p>
        </w:tc>
        <w:tc>
          <w:tcPr>
            <w:tcW w:w="102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340" w:right="100" w:hanging="332"/>
        <w:spacing w:after="0" w:line="324" w:lineRule="auto"/>
        <w:tabs>
          <w:tab w:leader="none" w:pos="343" w:val="left"/>
        </w:tabs>
        <w:numPr>
          <w:ilvl w:val="0"/>
          <w:numId w:val="58"/>
        </w:numPr>
        <w:rPr>
          <w:rFonts w:ascii="Arial" w:cs="Arial" w:eastAsia="Arial" w:hAnsi="Arial"/>
          <w:sz w:val="13"/>
          <w:szCs w:val="13"/>
          <w:color w:val="0D0E10"/>
        </w:rPr>
      </w:pPr>
      <w:r>
        <w:rPr>
          <w:rFonts w:ascii="Arial" w:cs="Arial" w:eastAsia="Arial" w:hAnsi="Arial"/>
          <w:sz w:val="13"/>
          <w:szCs w:val="13"/>
          <w:color w:val="0D0E10"/>
        </w:rPr>
        <w:t>Amounts represent compensation actually paid to our CEO and the average compensation actually paid to our remaining NEOs for the relevant fiscal year, as determined under SEC rules (and described below), which includes the individuals indicated in the table below for each fiscal year.</w:t>
      </w:r>
    </w:p>
    <w:p>
      <w:pPr>
        <w:spacing w:after="0" w:line="14" w:lineRule="exact"/>
        <w:rPr>
          <w:rFonts w:ascii="Arial" w:cs="Arial" w:eastAsia="Arial" w:hAnsi="Arial"/>
          <w:sz w:val="13"/>
          <w:szCs w:val="13"/>
          <w:color w:val="0D0E10"/>
        </w:rPr>
      </w:pPr>
    </w:p>
    <w:p>
      <w:pPr>
        <w:ind w:left="340" w:right="60" w:hanging="332"/>
        <w:spacing w:after="0" w:line="324" w:lineRule="auto"/>
        <w:tabs>
          <w:tab w:leader="none" w:pos="343" w:val="left"/>
        </w:tabs>
        <w:numPr>
          <w:ilvl w:val="0"/>
          <w:numId w:val="58"/>
        </w:numPr>
        <w:rPr>
          <w:rFonts w:ascii="Arial" w:cs="Arial" w:eastAsia="Arial" w:hAnsi="Arial"/>
          <w:sz w:val="13"/>
          <w:szCs w:val="13"/>
          <w:color w:val="0D0E10"/>
        </w:rPr>
      </w:pPr>
      <w:r>
        <w:rPr>
          <w:rFonts w:ascii="Arial" w:cs="Arial" w:eastAsia="Arial" w:hAnsi="Arial"/>
          <w:sz w:val="13"/>
          <w:szCs w:val="13"/>
          <w:color w:val="0D0E10"/>
        </w:rPr>
        <w:t>Represents the company’s TSR based on a fixed investment of $100 over the Fiscal Year starting from the market close on the last trading day of Fiscal Year 2021 through the end of each applicable Fiscal Year in the table.</w:t>
      </w:r>
    </w:p>
    <w:p>
      <w:pPr>
        <w:spacing w:after="0" w:line="14" w:lineRule="exact"/>
        <w:rPr>
          <w:rFonts w:ascii="Arial" w:cs="Arial" w:eastAsia="Arial" w:hAnsi="Arial"/>
          <w:sz w:val="13"/>
          <w:szCs w:val="13"/>
          <w:color w:val="0D0E10"/>
        </w:rPr>
      </w:pPr>
    </w:p>
    <w:p>
      <w:pPr>
        <w:ind w:left="340" w:right="220" w:hanging="332"/>
        <w:spacing w:after="0" w:line="324" w:lineRule="auto"/>
        <w:tabs>
          <w:tab w:leader="none" w:pos="343" w:val="left"/>
        </w:tabs>
        <w:numPr>
          <w:ilvl w:val="0"/>
          <w:numId w:val="58"/>
        </w:numPr>
        <w:rPr>
          <w:rFonts w:ascii="Arial" w:cs="Arial" w:eastAsia="Arial" w:hAnsi="Arial"/>
          <w:sz w:val="13"/>
          <w:szCs w:val="13"/>
          <w:color w:val="0D0E10"/>
        </w:rPr>
      </w:pPr>
      <w:r>
        <w:rPr>
          <w:rFonts w:ascii="Arial" w:cs="Arial" w:eastAsia="Arial" w:hAnsi="Arial"/>
          <w:sz w:val="13"/>
          <w:szCs w:val="13"/>
          <w:color w:val="0D0E10"/>
        </w:rPr>
        <w:t>Represents the cumulative TSR of the Standard &amp; Poor’s (S&amp;P) Information Technology Index, on a fixed investment of $100 over the Fiscal Year starting from the market close on the last trading day of Fiscal Year 2021 through the end of each applicable Fiscal Year in the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Pr>
          <w:p>
            <w:pPr>
              <w:spacing w:after="0"/>
              <w:rPr>
                <w:sz w:val="21"/>
                <w:szCs w:val="21"/>
                <w:color w:val="auto"/>
              </w:rPr>
            </w:pPr>
          </w:p>
        </w:tc>
        <w:tc>
          <w:tcPr>
            <w:tcW w:w="2240" w:type="dxa"/>
            <w:vAlign w:val="bottom"/>
            <w:shd w:val="clear" w:color="auto" w:fill="EEEBEA"/>
          </w:tcPr>
          <w:p>
            <w:pPr>
              <w:ind w:left="100"/>
              <w:spacing w:after="0"/>
              <w:rPr>
                <w:sz w:val="20"/>
                <w:szCs w:val="20"/>
                <w:color w:val="auto"/>
              </w:rPr>
            </w:pPr>
            <w:r>
              <w:rPr>
                <w:rFonts w:ascii="Arial" w:cs="Arial" w:eastAsia="Arial" w:hAnsi="Arial"/>
                <w:sz w:val="16"/>
                <w:szCs w:val="16"/>
                <w:b w:val="1"/>
                <w:bCs w:val="1"/>
                <w:color w:val="F06A6A"/>
              </w:rPr>
              <w:t>Fiscal Year</w:t>
            </w:r>
          </w:p>
        </w:tc>
        <w:tc>
          <w:tcPr>
            <w:tcW w:w="1780" w:type="dxa"/>
            <w:vAlign w:val="bottom"/>
            <w:shd w:val="clear" w:color="auto" w:fill="EEEBEA"/>
          </w:tcPr>
          <w:p>
            <w:pPr>
              <w:ind w:left="20"/>
              <w:spacing w:after="0"/>
              <w:rPr>
                <w:sz w:val="20"/>
                <w:szCs w:val="20"/>
                <w:color w:val="auto"/>
              </w:rPr>
            </w:pPr>
            <w:r>
              <w:rPr>
                <w:rFonts w:ascii="Arial" w:cs="Arial" w:eastAsia="Arial" w:hAnsi="Arial"/>
                <w:sz w:val="16"/>
                <w:szCs w:val="16"/>
                <w:b w:val="1"/>
                <w:bCs w:val="1"/>
                <w:color w:val="F06A6A"/>
              </w:rPr>
              <w:t>CEO</w:t>
            </w:r>
          </w:p>
        </w:tc>
        <w:tc>
          <w:tcPr>
            <w:tcW w:w="4620" w:type="dxa"/>
            <w:vAlign w:val="bottom"/>
            <w:shd w:val="clear" w:color="auto" w:fill="EEEBEA"/>
          </w:tcPr>
          <w:p>
            <w:pPr>
              <w:ind w:left="560"/>
              <w:spacing w:after="0"/>
              <w:rPr>
                <w:sz w:val="20"/>
                <w:szCs w:val="20"/>
                <w:color w:val="auto"/>
              </w:rPr>
            </w:pPr>
            <w:r>
              <w:rPr>
                <w:rFonts w:ascii="Arial" w:cs="Arial" w:eastAsia="Arial" w:hAnsi="Arial"/>
                <w:sz w:val="16"/>
                <w:szCs w:val="16"/>
                <w:b w:val="1"/>
                <w:bCs w:val="1"/>
                <w:color w:val="F06A6A"/>
              </w:rPr>
              <w:t>Non-CEO NEOs</w:t>
            </w:r>
          </w:p>
        </w:tc>
        <w:tc>
          <w:tcPr>
            <w:tcW w:w="1880" w:type="dxa"/>
            <w:vAlign w:val="bottom"/>
            <w:shd w:val="clear" w:color="auto" w:fill="EEEBEA"/>
          </w:tcPr>
          <w:p>
            <w:pPr>
              <w:spacing w:after="0"/>
              <w:rPr>
                <w:sz w:val="21"/>
                <w:szCs w:val="21"/>
                <w:color w:val="auto"/>
              </w:rPr>
            </w:pPr>
          </w:p>
        </w:tc>
        <w:tc>
          <w:tcPr>
            <w:tcW w:w="380" w:type="dxa"/>
            <w:vAlign w:val="bottom"/>
          </w:tcPr>
          <w:p>
            <w:pPr>
              <w:spacing w:after="0"/>
              <w:rPr>
                <w:sz w:val="21"/>
                <w:szCs w:val="21"/>
                <w:color w:val="auto"/>
              </w:rPr>
            </w:pPr>
          </w:p>
        </w:tc>
      </w:tr>
      <w:tr>
        <w:trPr>
          <w:trHeight w:val="122"/>
        </w:trPr>
        <w:tc>
          <w:tcPr>
            <w:tcW w:w="340" w:type="dxa"/>
            <w:vAlign w:val="bottom"/>
          </w:tcPr>
          <w:p>
            <w:pPr>
              <w:spacing w:after="0"/>
              <w:rPr>
                <w:sz w:val="10"/>
                <w:szCs w:val="10"/>
                <w:color w:val="auto"/>
              </w:rPr>
            </w:pPr>
          </w:p>
        </w:tc>
        <w:tc>
          <w:tcPr>
            <w:tcW w:w="2240" w:type="dxa"/>
            <w:vAlign w:val="bottom"/>
            <w:tcBorders>
              <w:bottom w:val="single" w:sz="8" w:color="A5A4A3"/>
            </w:tcBorders>
            <w:shd w:val="clear" w:color="auto" w:fill="EEEBEA"/>
          </w:tcPr>
          <w:p>
            <w:pPr>
              <w:spacing w:after="0"/>
              <w:rPr>
                <w:sz w:val="10"/>
                <w:szCs w:val="10"/>
                <w:color w:val="auto"/>
              </w:rPr>
            </w:pPr>
          </w:p>
        </w:tc>
        <w:tc>
          <w:tcPr>
            <w:tcW w:w="1780" w:type="dxa"/>
            <w:vAlign w:val="bottom"/>
            <w:tcBorders>
              <w:bottom w:val="single" w:sz="8" w:color="A5A4A3"/>
            </w:tcBorders>
            <w:shd w:val="clear" w:color="auto" w:fill="EEEBEA"/>
          </w:tcPr>
          <w:p>
            <w:pPr>
              <w:spacing w:after="0"/>
              <w:rPr>
                <w:sz w:val="10"/>
                <w:szCs w:val="10"/>
                <w:color w:val="auto"/>
              </w:rPr>
            </w:pPr>
          </w:p>
        </w:tc>
        <w:tc>
          <w:tcPr>
            <w:tcW w:w="4620" w:type="dxa"/>
            <w:vAlign w:val="bottom"/>
            <w:tcBorders>
              <w:bottom w:val="single" w:sz="8" w:color="A5A4A3"/>
            </w:tcBorders>
            <w:shd w:val="clear" w:color="auto" w:fill="EEEBEA"/>
          </w:tcPr>
          <w:p>
            <w:pPr>
              <w:spacing w:after="0"/>
              <w:rPr>
                <w:sz w:val="10"/>
                <w:szCs w:val="10"/>
                <w:color w:val="auto"/>
              </w:rPr>
            </w:pPr>
          </w:p>
        </w:tc>
        <w:tc>
          <w:tcPr>
            <w:tcW w:w="1880" w:type="dxa"/>
            <w:vAlign w:val="bottom"/>
            <w:tcBorders>
              <w:bottom w:val="single" w:sz="8" w:color="A5A4A3"/>
            </w:tcBorders>
            <w:shd w:val="clear" w:color="auto" w:fill="EEEBEA"/>
          </w:tcPr>
          <w:p>
            <w:pPr>
              <w:spacing w:after="0"/>
              <w:rPr>
                <w:sz w:val="10"/>
                <w:szCs w:val="10"/>
                <w:color w:val="auto"/>
              </w:rPr>
            </w:pPr>
          </w:p>
        </w:tc>
        <w:tc>
          <w:tcPr>
            <w:tcW w:w="380" w:type="dxa"/>
            <w:vAlign w:val="bottom"/>
          </w:tcPr>
          <w:p>
            <w:pPr>
              <w:spacing w:after="0"/>
              <w:rPr>
                <w:sz w:val="10"/>
                <w:szCs w:val="10"/>
                <w:color w:val="auto"/>
              </w:rPr>
            </w:pPr>
          </w:p>
        </w:tc>
      </w:tr>
      <w:tr>
        <w:trPr>
          <w:trHeight w:val="221"/>
        </w:trPr>
        <w:tc>
          <w:tcPr>
            <w:tcW w:w="2580" w:type="dxa"/>
            <w:vAlign w:val="bottom"/>
            <w:gridSpan w:val="2"/>
          </w:tcPr>
          <w:p>
            <w:pPr>
              <w:ind w:left="440"/>
              <w:spacing w:after="0"/>
              <w:rPr>
                <w:sz w:val="20"/>
                <w:szCs w:val="20"/>
                <w:color w:val="auto"/>
              </w:rPr>
            </w:pPr>
            <w:r>
              <w:rPr>
                <w:rFonts w:ascii="Arial" w:cs="Arial" w:eastAsia="Arial" w:hAnsi="Arial"/>
                <w:sz w:val="16"/>
                <w:szCs w:val="16"/>
                <w:color w:val="0D0E10"/>
              </w:rPr>
              <w:t>2024</w:t>
            </w:r>
          </w:p>
        </w:tc>
        <w:tc>
          <w:tcPr>
            <w:tcW w:w="1780" w:type="dxa"/>
            <w:vAlign w:val="bottom"/>
          </w:tcPr>
          <w:p>
            <w:pPr>
              <w:ind w:left="20"/>
              <w:spacing w:after="0"/>
              <w:rPr>
                <w:sz w:val="20"/>
                <w:szCs w:val="20"/>
                <w:color w:val="auto"/>
              </w:rPr>
            </w:pPr>
            <w:r>
              <w:rPr>
                <w:rFonts w:ascii="Arial" w:cs="Arial" w:eastAsia="Arial" w:hAnsi="Arial"/>
                <w:sz w:val="16"/>
                <w:szCs w:val="16"/>
                <w:color w:val="0D0E10"/>
              </w:rPr>
              <w:t>Dustin Moskovitz</w:t>
            </w:r>
          </w:p>
        </w:tc>
        <w:tc>
          <w:tcPr>
            <w:tcW w:w="4620" w:type="dxa"/>
            <w:vAlign w:val="bottom"/>
          </w:tcPr>
          <w:p>
            <w:pPr>
              <w:ind w:left="560"/>
              <w:spacing w:after="0"/>
              <w:rPr>
                <w:sz w:val="20"/>
                <w:szCs w:val="20"/>
                <w:color w:val="auto"/>
              </w:rPr>
            </w:pPr>
            <w:r>
              <w:rPr>
                <w:rFonts w:ascii="Arial" w:cs="Arial" w:eastAsia="Arial" w:hAnsi="Arial"/>
                <w:sz w:val="16"/>
                <w:szCs w:val="16"/>
                <w:color w:val="0D0E10"/>
              </w:rPr>
              <w:t>Tim Wan, Eleanor Lacey and Anne Raimondi</w:t>
            </w: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9"/>
        </w:trPr>
        <w:tc>
          <w:tcPr>
            <w:tcW w:w="340" w:type="dxa"/>
            <w:vAlign w:val="bottom"/>
          </w:tcPr>
          <w:p>
            <w:pPr>
              <w:spacing w:after="0"/>
              <w:rPr>
                <w:sz w:val="2"/>
                <w:szCs w:val="2"/>
                <w:color w:val="auto"/>
              </w:rPr>
            </w:pPr>
          </w:p>
        </w:tc>
        <w:tc>
          <w:tcPr>
            <w:tcW w:w="224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4620" w:type="dxa"/>
            <w:vAlign w:val="bottom"/>
            <w:tcBorders>
              <w:bottom w:val="single" w:sz="8" w:color="A5A4A3"/>
            </w:tcBorders>
          </w:tcPr>
          <w:p>
            <w:pPr>
              <w:spacing w:after="0"/>
              <w:rPr>
                <w:sz w:val="2"/>
                <w:szCs w:val="2"/>
                <w:color w:val="auto"/>
              </w:rPr>
            </w:pPr>
          </w:p>
        </w:tc>
        <w:tc>
          <w:tcPr>
            <w:tcW w:w="1880" w:type="dxa"/>
            <w:vAlign w:val="bottom"/>
            <w:tcBorders>
              <w:bottom w:val="single" w:sz="8" w:color="A5A4A3"/>
            </w:tcBorders>
          </w:tcPr>
          <w:p>
            <w:pPr>
              <w:spacing w:after="0"/>
              <w:rPr>
                <w:sz w:val="2"/>
                <w:szCs w:val="2"/>
                <w:color w:val="auto"/>
              </w:rPr>
            </w:pPr>
          </w:p>
        </w:tc>
        <w:tc>
          <w:tcPr>
            <w:tcW w:w="380" w:type="dxa"/>
            <w:vAlign w:val="bottom"/>
          </w:tcPr>
          <w:p>
            <w:pPr>
              <w:spacing w:after="0"/>
              <w:rPr>
                <w:sz w:val="2"/>
                <w:szCs w:val="2"/>
                <w:color w:val="auto"/>
              </w:rPr>
            </w:pPr>
          </w:p>
        </w:tc>
      </w:tr>
      <w:tr>
        <w:trPr>
          <w:trHeight w:val="221"/>
        </w:trPr>
        <w:tc>
          <w:tcPr>
            <w:tcW w:w="2580" w:type="dxa"/>
            <w:vAlign w:val="bottom"/>
            <w:gridSpan w:val="2"/>
          </w:tcPr>
          <w:p>
            <w:pPr>
              <w:ind w:left="440"/>
              <w:spacing w:after="0"/>
              <w:rPr>
                <w:sz w:val="20"/>
                <w:szCs w:val="20"/>
                <w:color w:val="auto"/>
              </w:rPr>
            </w:pPr>
            <w:r>
              <w:rPr>
                <w:rFonts w:ascii="Arial" w:cs="Arial" w:eastAsia="Arial" w:hAnsi="Arial"/>
                <w:sz w:val="16"/>
                <w:szCs w:val="16"/>
                <w:color w:val="0D0E10"/>
              </w:rPr>
              <w:t>2023</w:t>
            </w:r>
          </w:p>
        </w:tc>
        <w:tc>
          <w:tcPr>
            <w:tcW w:w="1780" w:type="dxa"/>
            <w:vAlign w:val="bottom"/>
          </w:tcPr>
          <w:p>
            <w:pPr>
              <w:ind w:left="20"/>
              <w:spacing w:after="0"/>
              <w:rPr>
                <w:sz w:val="20"/>
                <w:szCs w:val="20"/>
                <w:color w:val="auto"/>
              </w:rPr>
            </w:pPr>
            <w:r>
              <w:rPr>
                <w:rFonts w:ascii="Arial" w:cs="Arial" w:eastAsia="Arial" w:hAnsi="Arial"/>
                <w:sz w:val="16"/>
                <w:szCs w:val="16"/>
                <w:color w:val="0D0E10"/>
              </w:rPr>
              <w:t>Dustin Moskovitz</w:t>
            </w:r>
          </w:p>
        </w:tc>
        <w:tc>
          <w:tcPr>
            <w:tcW w:w="4620" w:type="dxa"/>
            <w:vAlign w:val="bottom"/>
          </w:tcPr>
          <w:p>
            <w:pPr>
              <w:ind w:left="560"/>
              <w:spacing w:after="0"/>
              <w:rPr>
                <w:sz w:val="20"/>
                <w:szCs w:val="20"/>
                <w:color w:val="auto"/>
              </w:rPr>
            </w:pPr>
            <w:r>
              <w:rPr>
                <w:rFonts w:ascii="Arial" w:cs="Arial" w:eastAsia="Arial" w:hAnsi="Arial"/>
                <w:sz w:val="16"/>
                <w:szCs w:val="16"/>
                <w:color w:val="0D0E10"/>
              </w:rPr>
              <w:t>Tim Wan, Eleanor Lacey and Anne Raimondi</w:t>
            </w:r>
          </w:p>
        </w:tc>
        <w:tc>
          <w:tcPr>
            <w:tcW w:w="18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9"/>
        </w:trPr>
        <w:tc>
          <w:tcPr>
            <w:tcW w:w="340" w:type="dxa"/>
            <w:vAlign w:val="bottom"/>
          </w:tcPr>
          <w:p>
            <w:pPr>
              <w:spacing w:after="0"/>
              <w:rPr>
                <w:sz w:val="2"/>
                <w:szCs w:val="2"/>
                <w:color w:val="auto"/>
              </w:rPr>
            </w:pPr>
          </w:p>
        </w:tc>
        <w:tc>
          <w:tcPr>
            <w:tcW w:w="224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6500" w:type="dxa"/>
            <w:vAlign w:val="bottom"/>
            <w:tcBorders>
              <w:bottom w:val="single" w:sz="8" w:color="A5A4A3"/>
            </w:tcBorders>
            <w:gridSpan w:val="2"/>
          </w:tcPr>
          <w:p>
            <w:pPr>
              <w:spacing w:after="0"/>
              <w:rPr>
                <w:sz w:val="2"/>
                <w:szCs w:val="2"/>
                <w:color w:val="auto"/>
              </w:rPr>
            </w:pPr>
          </w:p>
        </w:tc>
        <w:tc>
          <w:tcPr>
            <w:tcW w:w="380" w:type="dxa"/>
            <w:vAlign w:val="bottom"/>
          </w:tcPr>
          <w:p>
            <w:pPr>
              <w:spacing w:after="0"/>
              <w:rPr>
                <w:sz w:val="2"/>
                <w:szCs w:val="2"/>
                <w:color w:val="auto"/>
              </w:rPr>
            </w:pPr>
          </w:p>
        </w:tc>
      </w:tr>
      <w:tr>
        <w:trPr>
          <w:trHeight w:val="221"/>
        </w:trPr>
        <w:tc>
          <w:tcPr>
            <w:tcW w:w="2580" w:type="dxa"/>
            <w:vAlign w:val="bottom"/>
            <w:gridSpan w:val="2"/>
          </w:tcPr>
          <w:p>
            <w:pPr>
              <w:ind w:left="440"/>
              <w:spacing w:after="0"/>
              <w:rPr>
                <w:sz w:val="20"/>
                <w:szCs w:val="20"/>
                <w:color w:val="auto"/>
              </w:rPr>
            </w:pPr>
            <w:r>
              <w:rPr>
                <w:rFonts w:ascii="Arial" w:cs="Arial" w:eastAsia="Arial" w:hAnsi="Arial"/>
                <w:sz w:val="16"/>
                <w:szCs w:val="16"/>
                <w:color w:val="0D0E10"/>
              </w:rPr>
              <w:t>2022</w:t>
            </w:r>
          </w:p>
        </w:tc>
        <w:tc>
          <w:tcPr>
            <w:tcW w:w="1780" w:type="dxa"/>
            <w:vAlign w:val="bottom"/>
          </w:tcPr>
          <w:p>
            <w:pPr>
              <w:ind w:left="20"/>
              <w:spacing w:after="0"/>
              <w:rPr>
                <w:sz w:val="20"/>
                <w:szCs w:val="20"/>
                <w:color w:val="auto"/>
              </w:rPr>
            </w:pPr>
            <w:r>
              <w:rPr>
                <w:rFonts w:ascii="Arial" w:cs="Arial" w:eastAsia="Arial" w:hAnsi="Arial"/>
                <w:sz w:val="16"/>
                <w:szCs w:val="16"/>
                <w:color w:val="0D0E10"/>
              </w:rPr>
              <w:t>Dustin Moskovitz</w:t>
            </w:r>
          </w:p>
        </w:tc>
        <w:tc>
          <w:tcPr>
            <w:tcW w:w="6880" w:type="dxa"/>
            <w:vAlign w:val="bottom"/>
            <w:gridSpan w:val="3"/>
          </w:tcPr>
          <w:p>
            <w:pPr>
              <w:ind w:left="560"/>
              <w:spacing w:after="0"/>
              <w:rPr>
                <w:sz w:val="20"/>
                <w:szCs w:val="20"/>
                <w:color w:val="auto"/>
              </w:rPr>
            </w:pPr>
            <w:r>
              <w:rPr>
                <w:rFonts w:ascii="Arial" w:cs="Arial" w:eastAsia="Arial" w:hAnsi="Arial"/>
                <w:sz w:val="16"/>
                <w:szCs w:val="16"/>
                <w:color w:val="0D0E10"/>
              </w:rPr>
              <w:t>Tim Wan, Christopher Farinacci, Eleanor Lacey, and Anne Raimondi</w:t>
            </w:r>
          </w:p>
        </w:tc>
      </w:tr>
      <w:tr>
        <w:trPr>
          <w:trHeight w:val="29"/>
        </w:trPr>
        <w:tc>
          <w:tcPr>
            <w:tcW w:w="340" w:type="dxa"/>
            <w:vAlign w:val="bottom"/>
          </w:tcPr>
          <w:p>
            <w:pPr>
              <w:spacing w:after="0"/>
              <w:rPr>
                <w:sz w:val="2"/>
                <w:szCs w:val="2"/>
                <w:color w:val="auto"/>
              </w:rPr>
            </w:pPr>
          </w:p>
        </w:tc>
        <w:tc>
          <w:tcPr>
            <w:tcW w:w="224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4620" w:type="dxa"/>
            <w:vAlign w:val="bottom"/>
            <w:tcBorders>
              <w:bottom w:val="single" w:sz="8" w:color="A5A4A3"/>
            </w:tcBorders>
          </w:tcPr>
          <w:p>
            <w:pPr>
              <w:spacing w:after="0"/>
              <w:rPr>
                <w:sz w:val="2"/>
                <w:szCs w:val="2"/>
                <w:color w:val="auto"/>
              </w:rPr>
            </w:pPr>
          </w:p>
        </w:tc>
        <w:tc>
          <w:tcPr>
            <w:tcW w:w="1880" w:type="dxa"/>
            <w:vAlign w:val="bottom"/>
            <w:tcBorders>
              <w:bottom w:val="single" w:sz="8" w:color="A5A4A3"/>
            </w:tcBorders>
          </w:tcPr>
          <w:p>
            <w:pPr>
              <w:spacing w:after="0"/>
              <w:rPr>
                <w:sz w:val="2"/>
                <w:szCs w:val="2"/>
                <w:color w:val="auto"/>
              </w:rPr>
            </w:pPr>
          </w:p>
        </w:tc>
        <w:tc>
          <w:tcPr>
            <w:tcW w:w="380" w:type="dxa"/>
            <w:vAlign w:val="bottom"/>
          </w:tcPr>
          <w:p>
            <w:pPr>
              <w:spacing w:after="0"/>
              <w:rPr>
                <w:sz w:val="2"/>
                <w:szCs w:val="2"/>
                <w:color w:val="auto"/>
              </w:rPr>
            </w:pPr>
          </w:p>
        </w:tc>
      </w:tr>
      <w:tr>
        <w:trPr>
          <w:trHeight w:val="877"/>
        </w:trPr>
        <w:tc>
          <w:tcPr>
            <w:tcW w:w="2580" w:type="dxa"/>
            <w:vAlign w:val="bottom"/>
            <w:gridSpan w:val="2"/>
          </w:tcPr>
          <w:p>
            <w:pPr>
              <w:ind w:left="20"/>
              <w:spacing w:after="0"/>
              <w:rPr>
                <w:sz w:val="20"/>
                <w:szCs w:val="20"/>
                <w:color w:val="auto"/>
              </w:rPr>
            </w:pPr>
            <w:r>
              <w:rPr>
                <w:rFonts w:ascii="Arial" w:cs="Arial" w:eastAsia="Arial" w:hAnsi="Arial"/>
                <w:sz w:val="14"/>
                <w:szCs w:val="14"/>
                <w:color w:val="0D0E10"/>
              </w:rPr>
              <w:t>Asana</w:t>
            </w:r>
          </w:p>
        </w:tc>
        <w:tc>
          <w:tcPr>
            <w:tcW w:w="1780" w:type="dxa"/>
            <w:vAlign w:val="bottom"/>
          </w:tcPr>
          <w:p>
            <w:pPr>
              <w:spacing w:after="0"/>
              <w:rPr>
                <w:sz w:val="24"/>
                <w:szCs w:val="24"/>
                <w:color w:val="auto"/>
              </w:rPr>
            </w:pPr>
          </w:p>
        </w:tc>
        <w:tc>
          <w:tcPr>
            <w:tcW w:w="4620" w:type="dxa"/>
            <w:vAlign w:val="bottom"/>
          </w:tcPr>
          <w:p>
            <w:pPr>
              <w:ind w:left="1160"/>
              <w:spacing w:after="0"/>
              <w:rPr>
                <w:sz w:val="20"/>
                <w:szCs w:val="20"/>
                <w:color w:val="auto"/>
              </w:rPr>
            </w:pPr>
            <w:r>
              <w:rPr>
                <w:rFonts w:ascii="Arial" w:cs="Arial" w:eastAsia="Arial" w:hAnsi="Arial"/>
                <w:sz w:val="16"/>
                <w:szCs w:val="16"/>
                <w:b w:val="1"/>
                <w:bCs w:val="1"/>
                <w:color w:val="F06A6A"/>
              </w:rPr>
              <w:t>66</w:t>
            </w:r>
          </w:p>
        </w:tc>
        <w:tc>
          <w:tcPr>
            <w:tcW w:w="2260" w:type="dxa"/>
            <w:vAlign w:val="bottom"/>
            <w:gridSpan w:val="2"/>
          </w:tcPr>
          <w:p>
            <w:pPr>
              <w:ind w:left="820"/>
              <w:spacing w:after="0"/>
              <w:rPr>
                <w:sz w:val="20"/>
                <w:szCs w:val="20"/>
                <w:color w:val="auto"/>
              </w:rPr>
            </w:pPr>
            <w:r>
              <w:rPr>
                <w:rFonts w:ascii="Arial" w:cs="Arial" w:eastAsia="Arial" w:hAnsi="Arial"/>
                <w:sz w:val="14"/>
                <w:szCs w:val="14"/>
                <w:color w:val="0D0E10"/>
              </w:rPr>
              <w:t>2024 Proxy Statement</w:t>
            </w:r>
          </w:p>
        </w:tc>
      </w:tr>
      <w:tr>
        <w:trPr>
          <w:trHeight w:val="217"/>
        </w:trPr>
        <w:tc>
          <w:tcPr>
            <w:tcW w:w="34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4620" w:type="dxa"/>
            <w:vAlign w:val="bottom"/>
            <w:tcBorders>
              <w:bottom w:val="single" w:sz="8" w:color="9A9A9A"/>
            </w:tcBorders>
          </w:tcPr>
          <w:p>
            <w:pPr>
              <w:spacing w:after="0"/>
              <w:rPr>
                <w:sz w:val="18"/>
                <w:szCs w:val="18"/>
                <w:color w:val="auto"/>
              </w:rPr>
            </w:pPr>
          </w:p>
        </w:tc>
        <w:tc>
          <w:tcPr>
            <w:tcW w:w="18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71" w:name="page72"/>
    <w:bookmarkEnd w:id="71"/>
    <w:p>
      <w:pPr>
        <w:ind w:left="840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7091680</wp:posOffset>
            </wp:positionH>
            <wp:positionV relativeFrom="page">
              <wp:posOffset>106045</wp:posOffset>
            </wp:positionV>
            <wp:extent cx="24003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80"/>
        <w:spacing w:after="0" w:line="334" w:lineRule="auto"/>
        <w:rPr>
          <w:sz w:val="20"/>
          <w:szCs w:val="20"/>
          <w:color w:val="auto"/>
        </w:rPr>
      </w:pPr>
      <w:r>
        <w:rPr>
          <w:rFonts w:ascii="Arial" w:cs="Arial" w:eastAsia="Arial" w:hAnsi="Arial"/>
          <w:sz w:val="18"/>
          <w:szCs w:val="18"/>
          <w:color w:val="0D0E10"/>
        </w:rPr>
        <w:t>The table below provides the adjustments to the Summary Compensation Table total compensation made to arrive at the compensation actually paid for the CEO and the average for the Non-CEO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74930</wp:posOffset>
            </wp:positionV>
            <wp:extent cx="825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74930</wp:posOffset>
            </wp:positionV>
            <wp:extent cx="889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74930</wp:posOffset>
            </wp:positionV>
            <wp:extent cx="889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440" w:type="dxa"/>
            <w:vAlign w:val="bottom"/>
          </w:tcPr>
          <w:p>
            <w:pPr>
              <w:spacing w:after="0"/>
              <w:rPr>
                <w:sz w:val="21"/>
                <w:szCs w:val="21"/>
                <w:color w:val="auto"/>
              </w:rPr>
            </w:pPr>
          </w:p>
        </w:tc>
        <w:tc>
          <w:tcPr>
            <w:tcW w:w="620" w:type="dxa"/>
            <w:vAlign w:val="bottom"/>
            <w:tcBorders>
              <w:bottom w:val="single" w:sz="8" w:color="A5A4A3"/>
            </w:tcBorders>
            <w:shd w:val="clear" w:color="auto" w:fill="A5A4A3"/>
          </w:tcPr>
          <w:p>
            <w:pPr>
              <w:spacing w:after="0"/>
              <w:rPr>
                <w:sz w:val="21"/>
                <w:szCs w:val="21"/>
                <w:color w:val="auto"/>
              </w:rPr>
            </w:pPr>
          </w:p>
        </w:tc>
        <w:tc>
          <w:tcPr>
            <w:tcW w:w="1640" w:type="dxa"/>
            <w:vAlign w:val="bottom"/>
            <w:tcBorders>
              <w:bottom w:val="single" w:sz="8" w:color="A5A4A3"/>
            </w:tcBorders>
            <w:shd w:val="clear" w:color="auto" w:fill="A5A4A3"/>
          </w:tcPr>
          <w:p>
            <w:pPr>
              <w:jc w:val="right"/>
              <w:ind w:right="659"/>
              <w:spacing w:after="0"/>
              <w:rPr>
                <w:sz w:val="20"/>
                <w:szCs w:val="20"/>
                <w:color w:val="auto"/>
              </w:rPr>
            </w:pPr>
            <w:r>
              <w:rPr>
                <w:rFonts w:ascii="Arial" w:cs="Arial" w:eastAsia="Arial" w:hAnsi="Arial"/>
                <w:sz w:val="16"/>
                <w:szCs w:val="16"/>
                <w:b w:val="1"/>
                <w:bCs w:val="1"/>
                <w:color w:val="FFFFFF"/>
              </w:rPr>
              <w:t>Fiscal 2022</w:t>
            </w:r>
          </w:p>
        </w:tc>
        <w:tc>
          <w:tcPr>
            <w:tcW w:w="520" w:type="dxa"/>
            <w:vAlign w:val="bottom"/>
            <w:tcBorders>
              <w:bottom w:val="single" w:sz="8" w:color="A5A4A3"/>
            </w:tcBorders>
            <w:shd w:val="clear" w:color="auto" w:fill="A5A4A3"/>
          </w:tcPr>
          <w:p>
            <w:pPr>
              <w:spacing w:after="0"/>
              <w:rPr>
                <w:sz w:val="21"/>
                <w:szCs w:val="21"/>
                <w:color w:val="auto"/>
              </w:rPr>
            </w:pPr>
          </w:p>
        </w:tc>
        <w:tc>
          <w:tcPr>
            <w:tcW w:w="1640" w:type="dxa"/>
            <w:vAlign w:val="bottom"/>
            <w:tcBorders>
              <w:bottom w:val="single" w:sz="8" w:color="A5A4A3"/>
            </w:tcBorders>
            <w:shd w:val="clear" w:color="auto" w:fill="A5A4A3"/>
          </w:tcPr>
          <w:p>
            <w:pPr>
              <w:ind w:left="40"/>
              <w:spacing w:after="0"/>
              <w:rPr>
                <w:sz w:val="20"/>
                <w:szCs w:val="20"/>
                <w:color w:val="auto"/>
              </w:rPr>
            </w:pPr>
            <w:r>
              <w:rPr>
                <w:rFonts w:ascii="Arial" w:cs="Arial" w:eastAsia="Arial" w:hAnsi="Arial"/>
                <w:sz w:val="16"/>
                <w:szCs w:val="16"/>
                <w:b w:val="1"/>
                <w:bCs w:val="1"/>
                <w:color w:val="FFFFFF"/>
              </w:rPr>
              <w:t>Fiscal 2023</w:t>
            </w:r>
          </w:p>
        </w:tc>
        <w:tc>
          <w:tcPr>
            <w:tcW w:w="600" w:type="dxa"/>
            <w:vAlign w:val="bottom"/>
            <w:tcBorders>
              <w:bottom w:val="single" w:sz="8" w:color="A5A4A3"/>
            </w:tcBorders>
            <w:shd w:val="clear" w:color="auto" w:fill="A5A4A3"/>
          </w:tcPr>
          <w:p>
            <w:pPr>
              <w:spacing w:after="0"/>
              <w:rPr>
                <w:sz w:val="21"/>
                <w:szCs w:val="21"/>
                <w:color w:val="auto"/>
              </w:rPr>
            </w:pPr>
          </w:p>
        </w:tc>
        <w:tc>
          <w:tcPr>
            <w:tcW w:w="1780" w:type="dxa"/>
            <w:vAlign w:val="bottom"/>
            <w:tcBorders>
              <w:bottom w:val="single" w:sz="8" w:color="A5A4A3"/>
            </w:tcBorders>
            <w:shd w:val="clear" w:color="auto" w:fill="A5A4A3"/>
          </w:tcPr>
          <w:p>
            <w:pPr>
              <w:ind w:left="120"/>
              <w:spacing w:after="0"/>
              <w:rPr>
                <w:sz w:val="20"/>
                <w:szCs w:val="20"/>
                <w:color w:val="auto"/>
              </w:rPr>
            </w:pPr>
            <w:r>
              <w:rPr>
                <w:rFonts w:ascii="Arial" w:cs="Arial" w:eastAsia="Arial" w:hAnsi="Arial"/>
                <w:sz w:val="16"/>
                <w:szCs w:val="16"/>
                <w:b w:val="1"/>
                <w:bCs w:val="1"/>
                <w:color w:val="FFFFFF"/>
              </w:rPr>
              <w:t>Fiscal 2024</w:t>
            </w:r>
          </w:p>
        </w:tc>
        <w:tc>
          <w:tcPr>
            <w:tcW w:w="0" w:type="dxa"/>
            <w:vAlign w:val="bottom"/>
          </w:tcPr>
          <w:p>
            <w:pPr>
              <w:spacing w:after="0"/>
              <w:rPr>
                <w:sz w:val="1"/>
                <w:szCs w:val="1"/>
                <w:color w:val="auto"/>
              </w:rPr>
            </w:pPr>
          </w:p>
        </w:tc>
      </w:tr>
      <w:tr>
        <w:trPr>
          <w:trHeight w:val="229"/>
        </w:trPr>
        <w:tc>
          <w:tcPr>
            <w:tcW w:w="4440" w:type="dxa"/>
            <w:vAlign w:val="bottom"/>
            <w:shd w:val="clear" w:color="auto" w:fill="EEEBEA"/>
          </w:tcPr>
          <w:p>
            <w:pPr>
              <w:spacing w:after="0"/>
              <w:rPr>
                <w:sz w:val="19"/>
                <w:szCs w:val="19"/>
                <w:color w:val="auto"/>
              </w:rPr>
            </w:pPr>
          </w:p>
        </w:tc>
        <w:tc>
          <w:tcPr>
            <w:tcW w:w="620" w:type="dxa"/>
            <w:vAlign w:val="bottom"/>
            <w:vMerge w:val="restart"/>
            <w:shd w:val="clear" w:color="auto" w:fill="EEEBEA"/>
          </w:tcPr>
          <w:p>
            <w:pPr>
              <w:jc w:val="center"/>
              <w:ind w:left="159"/>
              <w:spacing w:after="0"/>
              <w:rPr>
                <w:sz w:val="20"/>
                <w:szCs w:val="20"/>
                <w:color w:val="auto"/>
              </w:rPr>
            </w:pPr>
            <w:r>
              <w:rPr>
                <w:rFonts w:ascii="Arial" w:cs="Arial" w:eastAsia="Arial" w:hAnsi="Arial"/>
                <w:sz w:val="16"/>
                <w:szCs w:val="16"/>
                <w:b w:val="1"/>
                <w:bCs w:val="1"/>
                <w:color w:val="F06A6A"/>
                <w:w w:val="97"/>
              </w:rPr>
              <w:t>CEO</w:t>
            </w:r>
          </w:p>
        </w:tc>
        <w:tc>
          <w:tcPr>
            <w:tcW w:w="1640" w:type="dxa"/>
            <w:vAlign w:val="bottom"/>
            <w:shd w:val="clear" w:color="auto" w:fill="EEEBEA"/>
          </w:tcPr>
          <w:p>
            <w:pPr>
              <w:jc w:val="center"/>
              <w:ind w:left="59"/>
              <w:spacing w:after="0"/>
              <w:rPr>
                <w:sz w:val="20"/>
                <w:szCs w:val="20"/>
                <w:color w:val="auto"/>
              </w:rPr>
            </w:pPr>
            <w:r>
              <w:rPr>
                <w:rFonts w:ascii="Arial" w:cs="Arial" w:eastAsia="Arial" w:hAnsi="Arial"/>
                <w:sz w:val="16"/>
                <w:szCs w:val="16"/>
                <w:b w:val="1"/>
                <w:bCs w:val="1"/>
                <w:color w:val="F06A6A"/>
              </w:rPr>
              <w:t>Average for</w:t>
            </w:r>
          </w:p>
        </w:tc>
        <w:tc>
          <w:tcPr>
            <w:tcW w:w="520" w:type="dxa"/>
            <w:vAlign w:val="bottom"/>
            <w:vMerge w:val="restart"/>
            <w:shd w:val="clear" w:color="auto" w:fill="EEEBEA"/>
          </w:tcPr>
          <w:p>
            <w:pPr>
              <w:jc w:val="center"/>
              <w:ind w:left="59"/>
              <w:spacing w:after="0"/>
              <w:rPr>
                <w:sz w:val="20"/>
                <w:szCs w:val="20"/>
                <w:color w:val="auto"/>
              </w:rPr>
            </w:pPr>
            <w:r>
              <w:rPr>
                <w:rFonts w:ascii="Arial" w:cs="Arial" w:eastAsia="Arial" w:hAnsi="Arial"/>
                <w:sz w:val="16"/>
                <w:szCs w:val="16"/>
                <w:b w:val="1"/>
                <w:bCs w:val="1"/>
                <w:color w:val="F06A6A"/>
                <w:w w:val="97"/>
              </w:rPr>
              <w:t>CEO</w:t>
            </w:r>
          </w:p>
        </w:tc>
        <w:tc>
          <w:tcPr>
            <w:tcW w:w="1640" w:type="dxa"/>
            <w:vAlign w:val="bottom"/>
            <w:shd w:val="clear" w:color="auto" w:fill="EEEBEA"/>
          </w:tcPr>
          <w:p>
            <w:pPr>
              <w:jc w:val="center"/>
              <w:ind w:left="59"/>
              <w:spacing w:after="0"/>
              <w:rPr>
                <w:sz w:val="20"/>
                <w:szCs w:val="20"/>
                <w:color w:val="auto"/>
              </w:rPr>
            </w:pPr>
            <w:r>
              <w:rPr>
                <w:rFonts w:ascii="Arial" w:cs="Arial" w:eastAsia="Arial" w:hAnsi="Arial"/>
                <w:sz w:val="16"/>
                <w:szCs w:val="16"/>
                <w:b w:val="1"/>
                <w:bCs w:val="1"/>
                <w:color w:val="F06A6A"/>
              </w:rPr>
              <w:t>Average for</w:t>
            </w:r>
          </w:p>
        </w:tc>
        <w:tc>
          <w:tcPr>
            <w:tcW w:w="600" w:type="dxa"/>
            <w:vAlign w:val="bottom"/>
            <w:vMerge w:val="restart"/>
            <w:shd w:val="clear" w:color="auto" w:fill="EEEBEA"/>
          </w:tcPr>
          <w:p>
            <w:pPr>
              <w:jc w:val="center"/>
              <w:spacing w:after="0"/>
              <w:rPr>
                <w:sz w:val="20"/>
                <w:szCs w:val="20"/>
                <w:color w:val="auto"/>
              </w:rPr>
            </w:pPr>
            <w:r>
              <w:rPr>
                <w:rFonts w:ascii="Arial" w:cs="Arial" w:eastAsia="Arial" w:hAnsi="Arial"/>
                <w:sz w:val="16"/>
                <w:szCs w:val="16"/>
                <w:b w:val="1"/>
                <w:bCs w:val="1"/>
                <w:color w:val="F06A6A"/>
                <w:w w:val="97"/>
              </w:rPr>
              <w:t>CEO</w:t>
            </w:r>
          </w:p>
        </w:tc>
        <w:tc>
          <w:tcPr>
            <w:tcW w:w="1780" w:type="dxa"/>
            <w:vAlign w:val="bottom"/>
            <w:shd w:val="clear" w:color="auto" w:fill="EEEBEA"/>
          </w:tcPr>
          <w:p>
            <w:pPr>
              <w:jc w:val="center"/>
              <w:ind w:left="80"/>
              <w:spacing w:after="0"/>
              <w:rPr>
                <w:sz w:val="20"/>
                <w:szCs w:val="20"/>
                <w:color w:val="auto"/>
              </w:rPr>
            </w:pPr>
            <w:r>
              <w:rPr>
                <w:rFonts w:ascii="Arial" w:cs="Arial" w:eastAsia="Arial" w:hAnsi="Arial"/>
                <w:sz w:val="16"/>
                <w:szCs w:val="16"/>
                <w:b w:val="1"/>
                <w:bCs w:val="1"/>
                <w:color w:val="F06A6A"/>
              </w:rPr>
              <w:t>Average for</w:t>
            </w:r>
          </w:p>
        </w:tc>
        <w:tc>
          <w:tcPr>
            <w:tcW w:w="0" w:type="dxa"/>
            <w:vAlign w:val="bottom"/>
          </w:tcPr>
          <w:p>
            <w:pPr>
              <w:spacing w:after="0"/>
              <w:rPr>
                <w:sz w:val="1"/>
                <w:szCs w:val="1"/>
                <w:color w:val="auto"/>
              </w:rPr>
            </w:pPr>
          </w:p>
        </w:tc>
      </w:tr>
      <w:tr>
        <w:trPr>
          <w:trHeight w:val="223"/>
        </w:trPr>
        <w:tc>
          <w:tcPr>
            <w:tcW w:w="4440" w:type="dxa"/>
            <w:vAlign w:val="bottom"/>
            <w:shd w:val="clear" w:color="auto" w:fill="EEEBEA"/>
          </w:tcPr>
          <w:p>
            <w:pPr>
              <w:spacing w:after="0"/>
              <w:rPr>
                <w:sz w:val="19"/>
                <w:szCs w:val="19"/>
                <w:color w:val="auto"/>
              </w:rPr>
            </w:pPr>
          </w:p>
        </w:tc>
        <w:tc>
          <w:tcPr>
            <w:tcW w:w="620" w:type="dxa"/>
            <w:vAlign w:val="bottom"/>
            <w:vMerge w:val="continue"/>
            <w:shd w:val="clear" w:color="auto" w:fill="EEEBEA"/>
          </w:tcPr>
          <w:p>
            <w:pPr>
              <w:spacing w:after="0"/>
              <w:rPr>
                <w:sz w:val="19"/>
                <w:szCs w:val="19"/>
                <w:color w:val="auto"/>
              </w:rPr>
            </w:pPr>
          </w:p>
        </w:tc>
        <w:tc>
          <w:tcPr>
            <w:tcW w:w="1640" w:type="dxa"/>
            <w:vAlign w:val="bottom"/>
            <w:shd w:val="clear" w:color="auto" w:fill="EEEBEA"/>
          </w:tcPr>
          <w:p>
            <w:pPr>
              <w:jc w:val="center"/>
              <w:ind w:left="59"/>
              <w:spacing w:after="0"/>
              <w:rPr>
                <w:sz w:val="20"/>
                <w:szCs w:val="20"/>
                <w:color w:val="auto"/>
              </w:rPr>
            </w:pPr>
            <w:r>
              <w:rPr>
                <w:rFonts w:ascii="Arial" w:cs="Arial" w:eastAsia="Arial" w:hAnsi="Arial"/>
                <w:sz w:val="16"/>
                <w:szCs w:val="16"/>
                <w:b w:val="1"/>
                <w:bCs w:val="1"/>
                <w:color w:val="F06A6A"/>
              </w:rPr>
              <w:t>Non-CEO NEOs</w:t>
            </w:r>
          </w:p>
        </w:tc>
        <w:tc>
          <w:tcPr>
            <w:tcW w:w="520" w:type="dxa"/>
            <w:vAlign w:val="bottom"/>
            <w:vMerge w:val="continue"/>
            <w:shd w:val="clear" w:color="auto" w:fill="EEEBEA"/>
          </w:tcPr>
          <w:p>
            <w:pPr>
              <w:spacing w:after="0"/>
              <w:rPr>
                <w:sz w:val="19"/>
                <w:szCs w:val="19"/>
                <w:color w:val="auto"/>
              </w:rPr>
            </w:pPr>
          </w:p>
        </w:tc>
        <w:tc>
          <w:tcPr>
            <w:tcW w:w="1640" w:type="dxa"/>
            <w:vAlign w:val="bottom"/>
            <w:shd w:val="clear" w:color="auto" w:fill="EEEBEA"/>
          </w:tcPr>
          <w:p>
            <w:pPr>
              <w:jc w:val="center"/>
              <w:ind w:left="59"/>
              <w:spacing w:after="0"/>
              <w:rPr>
                <w:sz w:val="20"/>
                <w:szCs w:val="20"/>
                <w:color w:val="auto"/>
              </w:rPr>
            </w:pPr>
            <w:r>
              <w:rPr>
                <w:rFonts w:ascii="Arial" w:cs="Arial" w:eastAsia="Arial" w:hAnsi="Arial"/>
                <w:sz w:val="16"/>
                <w:szCs w:val="16"/>
                <w:b w:val="1"/>
                <w:bCs w:val="1"/>
                <w:color w:val="F06A6A"/>
              </w:rPr>
              <w:t>Non-CEO NEOs</w:t>
            </w:r>
          </w:p>
        </w:tc>
        <w:tc>
          <w:tcPr>
            <w:tcW w:w="600" w:type="dxa"/>
            <w:vAlign w:val="bottom"/>
            <w:vMerge w:val="continue"/>
            <w:shd w:val="clear" w:color="auto" w:fill="EEEBEA"/>
          </w:tcPr>
          <w:p>
            <w:pPr>
              <w:spacing w:after="0"/>
              <w:rPr>
                <w:sz w:val="19"/>
                <w:szCs w:val="19"/>
                <w:color w:val="auto"/>
              </w:rPr>
            </w:pPr>
          </w:p>
        </w:tc>
        <w:tc>
          <w:tcPr>
            <w:tcW w:w="1780" w:type="dxa"/>
            <w:vAlign w:val="bottom"/>
            <w:shd w:val="clear" w:color="auto" w:fill="EEEBEA"/>
          </w:tcPr>
          <w:p>
            <w:pPr>
              <w:jc w:val="center"/>
              <w:ind w:left="80"/>
              <w:spacing w:after="0"/>
              <w:rPr>
                <w:sz w:val="20"/>
                <w:szCs w:val="20"/>
                <w:color w:val="auto"/>
              </w:rPr>
            </w:pPr>
            <w:r>
              <w:rPr>
                <w:rFonts w:ascii="Arial" w:cs="Arial" w:eastAsia="Arial" w:hAnsi="Arial"/>
                <w:sz w:val="16"/>
                <w:szCs w:val="16"/>
                <w:b w:val="1"/>
                <w:bCs w:val="1"/>
                <w:color w:val="F06A6A"/>
              </w:rPr>
              <w:t>Non-CEO NEOs</w:t>
            </w:r>
          </w:p>
        </w:tc>
        <w:tc>
          <w:tcPr>
            <w:tcW w:w="0" w:type="dxa"/>
            <w:vAlign w:val="bottom"/>
          </w:tcPr>
          <w:p>
            <w:pPr>
              <w:spacing w:after="0"/>
              <w:rPr>
                <w:sz w:val="1"/>
                <w:szCs w:val="1"/>
                <w:color w:val="auto"/>
              </w:rPr>
            </w:pPr>
          </w:p>
        </w:tc>
      </w:tr>
      <w:tr>
        <w:trPr>
          <w:trHeight w:val="116"/>
        </w:trPr>
        <w:tc>
          <w:tcPr>
            <w:tcW w:w="4440" w:type="dxa"/>
            <w:vAlign w:val="bottom"/>
            <w:tcBorders>
              <w:bottom w:val="single" w:sz="8" w:color="A5A4A3"/>
            </w:tcBorders>
            <w:shd w:val="clear" w:color="auto" w:fill="EEEBEA"/>
          </w:tcPr>
          <w:p>
            <w:pPr>
              <w:spacing w:after="0"/>
              <w:rPr>
                <w:sz w:val="10"/>
                <w:szCs w:val="10"/>
                <w:color w:val="auto"/>
              </w:rPr>
            </w:pPr>
          </w:p>
        </w:tc>
        <w:tc>
          <w:tcPr>
            <w:tcW w:w="620" w:type="dxa"/>
            <w:vAlign w:val="bottom"/>
            <w:tcBorders>
              <w:bottom w:val="single" w:sz="8" w:color="A5A4A3"/>
            </w:tcBorders>
            <w:shd w:val="clear" w:color="auto" w:fill="EEEBEA"/>
          </w:tcPr>
          <w:p>
            <w:pPr>
              <w:spacing w:after="0"/>
              <w:rPr>
                <w:sz w:val="10"/>
                <w:szCs w:val="10"/>
                <w:color w:val="auto"/>
              </w:rPr>
            </w:pPr>
          </w:p>
        </w:tc>
        <w:tc>
          <w:tcPr>
            <w:tcW w:w="1640" w:type="dxa"/>
            <w:vAlign w:val="bottom"/>
            <w:tcBorders>
              <w:bottom w:val="single" w:sz="8" w:color="A5A4A3"/>
            </w:tcBorders>
            <w:shd w:val="clear" w:color="auto" w:fill="EEEBEA"/>
          </w:tcPr>
          <w:p>
            <w:pPr>
              <w:spacing w:after="0"/>
              <w:rPr>
                <w:sz w:val="10"/>
                <w:szCs w:val="10"/>
                <w:color w:val="auto"/>
              </w:rPr>
            </w:pPr>
          </w:p>
        </w:tc>
        <w:tc>
          <w:tcPr>
            <w:tcW w:w="520" w:type="dxa"/>
            <w:vAlign w:val="bottom"/>
            <w:tcBorders>
              <w:bottom w:val="single" w:sz="8" w:color="A5A4A3"/>
            </w:tcBorders>
            <w:shd w:val="clear" w:color="auto" w:fill="EEEBEA"/>
          </w:tcPr>
          <w:p>
            <w:pPr>
              <w:spacing w:after="0"/>
              <w:rPr>
                <w:sz w:val="10"/>
                <w:szCs w:val="10"/>
                <w:color w:val="auto"/>
              </w:rPr>
            </w:pPr>
          </w:p>
        </w:tc>
        <w:tc>
          <w:tcPr>
            <w:tcW w:w="1640" w:type="dxa"/>
            <w:vAlign w:val="bottom"/>
            <w:tcBorders>
              <w:bottom w:val="single" w:sz="8" w:color="A5A4A3"/>
            </w:tcBorders>
            <w:shd w:val="clear" w:color="auto" w:fill="EEEBEA"/>
          </w:tcPr>
          <w:p>
            <w:pPr>
              <w:spacing w:after="0"/>
              <w:rPr>
                <w:sz w:val="10"/>
                <w:szCs w:val="10"/>
                <w:color w:val="auto"/>
              </w:rPr>
            </w:pPr>
          </w:p>
        </w:tc>
        <w:tc>
          <w:tcPr>
            <w:tcW w:w="600" w:type="dxa"/>
            <w:vAlign w:val="bottom"/>
            <w:tcBorders>
              <w:bottom w:val="single" w:sz="8" w:color="A5A4A3"/>
            </w:tcBorders>
            <w:shd w:val="clear" w:color="auto" w:fill="EEEBEA"/>
          </w:tcPr>
          <w:p>
            <w:pPr>
              <w:spacing w:after="0"/>
              <w:rPr>
                <w:sz w:val="10"/>
                <w:szCs w:val="10"/>
                <w:color w:val="auto"/>
              </w:rPr>
            </w:pPr>
          </w:p>
        </w:tc>
        <w:tc>
          <w:tcPr>
            <w:tcW w:w="1780" w:type="dxa"/>
            <w:vAlign w:val="bottom"/>
            <w:tcBorders>
              <w:bottom w:val="single" w:sz="8" w:color="A5A4A3"/>
            </w:tcBorders>
            <w:shd w:val="clear" w:color="auto" w:fill="EEEBEA"/>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Deduction for Awards Reported in the Summary</w:t>
            </w:r>
          </w:p>
        </w:tc>
        <w:tc>
          <w:tcPr>
            <w:tcW w:w="620" w:type="dxa"/>
            <w:vAlign w:val="bottom"/>
            <w:vMerge w:val="restart"/>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59"/>
              <w:spacing w:after="0"/>
              <w:rPr>
                <w:sz w:val="20"/>
                <w:szCs w:val="20"/>
                <w:color w:val="auto"/>
              </w:rPr>
            </w:pPr>
            <w:r>
              <w:rPr>
                <w:rFonts w:ascii="Arial" w:cs="Arial" w:eastAsia="Arial" w:hAnsi="Arial"/>
                <w:sz w:val="16"/>
                <w:szCs w:val="16"/>
                <w:color w:val="0D0E10"/>
              </w:rPr>
              <w:t>(8,288,721)</w:t>
            </w:r>
          </w:p>
        </w:tc>
        <w:tc>
          <w:tcPr>
            <w:tcW w:w="52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59"/>
              <w:spacing w:after="0"/>
              <w:rPr>
                <w:sz w:val="20"/>
                <w:szCs w:val="20"/>
                <w:color w:val="auto"/>
              </w:rPr>
            </w:pPr>
            <w:r>
              <w:rPr>
                <w:rFonts w:ascii="Arial" w:cs="Arial" w:eastAsia="Arial" w:hAnsi="Arial"/>
                <w:sz w:val="16"/>
                <w:szCs w:val="16"/>
                <w:color w:val="0D0E10"/>
              </w:rPr>
              <w:t>(2,843,827)</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vMerge w:val="restart"/>
          </w:tcPr>
          <w:p>
            <w:pPr>
              <w:jc w:val="center"/>
              <w:ind w:left="80"/>
              <w:spacing w:after="0"/>
              <w:rPr>
                <w:sz w:val="20"/>
                <w:szCs w:val="20"/>
                <w:color w:val="auto"/>
              </w:rPr>
            </w:pPr>
            <w:r>
              <w:rPr>
                <w:rFonts w:ascii="Arial" w:cs="Arial" w:eastAsia="Arial" w:hAnsi="Arial"/>
                <w:sz w:val="16"/>
                <w:szCs w:val="16"/>
                <w:color w:val="0D0E10"/>
              </w:rPr>
              <w:t>(3,324,395)</w:t>
            </w:r>
          </w:p>
        </w:tc>
        <w:tc>
          <w:tcPr>
            <w:tcW w:w="0" w:type="dxa"/>
            <w:vAlign w:val="bottom"/>
          </w:tcPr>
          <w:p>
            <w:pPr>
              <w:spacing w:after="0"/>
              <w:rPr>
                <w:sz w:val="1"/>
                <w:szCs w:val="1"/>
                <w:color w:val="auto"/>
              </w:rPr>
            </w:pPr>
          </w:p>
        </w:tc>
      </w:tr>
      <w:tr>
        <w:trPr>
          <w:trHeight w:val="107"/>
        </w:trPr>
        <w:tc>
          <w:tcPr>
            <w:tcW w:w="4440" w:type="dxa"/>
            <w:vAlign w:val="bottom"/>
            <w:vMerge w:val="restart"/>
          </w:tcPr>
          <w:p>
            <w:pPr>
              <w:ind w:left="100"/>
              <w:spacing w:after="0"/>
              <w:rPr>
                <w:sz w:val="20"/>
                <w:szCs w:val="20"/>
                <w:color w:val="auto"/>
              </w:rPr>
            </w:pPr>
            <w:r>
              <w:rPr>
                <w:rFonts w:ascii="Arial" w:cs="Arial" w:eastAsia="Arial" w:hAnsi="Arial"/>
                <w:sz w:val="16"/>
                <w:szCs w:val="16"/>
                <w:color w:val="0D0E10"/>
              </w:rPr>
              <w:t>Compensation Table ($)</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Increase based on Fair Value of Awards Granted during</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00"/>
              <w:spacing w:after="0"/>
              <w:rPr>
                <w:sz w:val="20"/>
                <w:szCs w:val="20"/>
                <w:color w:val="auto"/>
              </w:rPr>
            </w:pPr>
            <w:r>
              <w:rPr>
                <w:rFonts w:ascii="Arial" w:cs="Arial" w:eastAsia="Arial" w:hAnsi="Arial"/>
                <w:sz w:val="16"/>
                <w:szCs w:val="16"/>
                <w:color w:val="0D0E10"/>
              </w:rPr>
              <w:t>Applicable FY that Vested during Applicable FY, determined</w:t>
            </w:r>
          </w:p>
        </w:tc>
        <w:tc>
          <w:tcPr>
            <w:tcW w:w="620" w:type="dxa"/>
            <w:vAlign w:val="bottom"/>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39"/>
              <w:spacing w:after="0"/>
              <w:rPr>
                <w:sz w:val="20"/>
                <w:szCs w:val="20"/>
                <w:color w:val="auto"/>
              </w:rPr>
            </w:pPr>
            <w:r>
              <w:rPr>
                <w:rFonts w:ascii="Arial" w:cs="Arial" w:eastAsia="Arial" w:hAnsi="Arial"/>
                <w:sz w:val="16"/>
                <w:szCs w:val="16"/>
                <w:color w:val="0D0E10"/>
              </w:rPr>
              <w:t>1,063,787</w:t>
            </w:r>
          </w:p>
        </w:tc>
        <w:tc>
          <w:tcPr>
            <w:tcW w:w="52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440,564</w:t>
            </w:r>
          </w:p>
        </w:tc>
        <w:tc>
          <w:tcPr>
            <w:tcW w:w="600" w:type="dxa"/>
            <w:vAlign w:val="bottom"/>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tcPr>
          <w:p>
            <w:pPr>
              <w:jc w:val="center"/>
              <w:ind w:left="80"/>
              <w:spacing w:after="0"/>
              <w:rPr>
                <w:sz w:val="20"/>
                <w:szCs w:val="20"/>
                <w:color w:val="auto"/>
              </w:rPr>
            </w:pPr>
            <w:r>
              <w:rPr>
                <w:rFonts w:ascii="Arial" w:cs="Arial" w:eastAsia="Arial" w:hAnsi="Arial"/>
                <w:sz w:val="16"/>
                <w:szCs w:val="16"/>
                <w:color w:val="0D0E10"/>
              </w:rPr>
              <w:t>616,057</w:t>
            </w:r>
          </w:p>
        </w:tc>
        <w:tc>
          <w:tcPr>
            <w:tcW w:w="0" w:type="dxa"/>
            <w:vAlign w:val="bottom"/>
          </w:tcPr>
          <w:p>
            <w:pPr>
              <w:spacing w:after="0"/>
              <w:rPr>
                <w:sz w:val="1"/>
                <w:szCs w:val="1"/>
                <w:color w:val="auto"/>
              </w:rPr>
            </w:pPr>
          </w:p>
        </w:tc>
      </w:tr>
      <w:tr>
        <w:trPr>
          <w:trHeight w:val="215"/>
        </w:trPr>
        <w:tc>
          <w:tcPr>
            <w:tcW w:w="4440" w:type="dxa"/>
            <w:vAlign w:val="bottom"/>
          </w:tcPr>
          <w:p>
            <w:pPr>
              <w:ind w:left="100"/>
              <w:spacing w:after="0"/>
              <w:rPr>
                <w:sz w:val="20"/>
                <w:szCs w:val="20"/>
                <w:color w:val="auto"/>
              </w:rPr>
            </w:pPr>
            <w:r>
              <w:rPr>
                <w:rFonts w:ascii="Arial" w:cs="Arial" w:eastAsia="Arial" w:hAnsi="Arial"/>
                <w:sz w:val="16"/>
                <w:szCs w:val="16"/>
                <w:color w:val="0D0E10"/>
              </w:rPr>
              <w:t>as of Vesting Date ($)</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Increase based on Fair Value of Awards Granted during</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00"/>
              <w:spacing w:after="0"/>
              <w:rPr>
                <w:sz w:val="20"/>
                <w:szCs w:val="20"/>
                <w:color w:val="auto"/>
              </w:rPr>
            </w:pPr>
            <w:r>
              <w:rPr>
                <w:rFonts w:ascii="Arial" w:cs="Arial" w:eastAsia="Arial" w:hAnsi="Arial"/>
                <w:sz w:val="16"/>
                <w:szCs w:val="16"/>
                <w:color w:val="0D0E10"/>
              </w:rPr>
              <w:t>Applicable FY that Remain Unvested as of Applicable FY</w:t>
            </w:r>
          </w:p>
        </w:tc>
        <w:tc>
          <w:tcPr>
            <w:tcW w:w="620" w:type="dxa"/>
            <w:vAlign w:val="bottom"/>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39"/>
              <w:spacing w:after="0"/>
              <w:rPr>
                <w:sz w:val="20"/>
                <w:szCs w:val="20"/>
                <w:color w:val="auto"/>
              </w:rPr>
            </w:pPr>
            <w:r>
              <w:rPr>
                <w:rFonts w:ascii="Arial" w:cs="Arial" w:eastAsia="Arial" w:hAnsi="Arial"/>
                <w:sz w:val="16"/>
                <w:szCs w:val="16"/>
                <w:color w:val="0D0E10"/>
              </w:rPr>
              <w:t>5,159,361</w:t>
            </w:r>
          </w:p>
        </w:tc>
        <w:tc>
          <w:tcPr>
            <w:tcW w:w="52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39"/>
              <w:spacing w:after="0"/>
              <w:rPr>
                <w:sz w:val="20"/>
                <w:szCs w:val="20"/>
                <w:color w:val="auto"/>
              </w:rPr>
            </w:pPr>
            <w:r>
              <w:rPr>
                <w:rFonts w:ascii="Arial" w:cs="Arial" w:eastAsia="Arial" w:hAnsi="Arial"/>
                <w:sz w:val="16"/>
                <w:szCs w:val="16"/>
                <w:color w:val="0D0E10"/>
              </w:rPr>
              <w:t>1,063,956</w:t>
            </w:r>
          </w:p>
        </w:tc>
        <w:tc>
          <w:tcPr>
            <w:tcW w:w="600" w:type="dxa"/>
            <w:vAlign w:val="bottom"/>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tcPr>
          <w:p>
            <w:pPr>
              <w:jc w:val="center"/>
              <w:ind w:left="80"/>
              <w:spacing w:after="0"/>
              <w:rPr>
                <w:sz w:val="20"/>
                <w:szCs w:val="20"/>
                <w:color w:val="auto"/>
              </w:rPr>
            </w:pPr>
            <w:r>
              <w:rPr>
                <w:rFonts w:ascii="Arial" w:cs="Arial" w:eastAsia="Arial" w:hAnsi="Arial"/>
                <w:sz w:val="16"/>
                <w:szCs w:val="16"/>
                <w:color w:val="0D0E10"/>
              </w:rPr>
              <w:t>2,253,480</w:t>
            </w:r>
          </w:p>
        </w:tc>
        <w:tc>
          <w:tcPr>
            <w:tcW w:w="0" w:type="dxa"/>
            <w:vAlign w:val="bottom"/>
          </w:tcPr>
          <w:p>
            <w:pPr>
              <w:spacing w:after="0"/>
              <w:rPr>
                <w:sz w:val="1"/>
                <w:szCs w:val="1"/>
                <w:color w:val="auto"/>
              </w:rPr>
            </w:pPr>
          </w:p>
        </w:tc>
      </w:tr>
      <w:tr>
        <w:trPr>
          <w:trHeight w:val="215"/>
        </w:trPr>
        <w:tc>
          <w:tcPr>
            <w:tcW w:w="4440" w:type="dxa"/>
            <w:vAlign w:val="bottom"/>
          </w:tcPr>
          <w:p>
            <w:pPr>
              <w:ind w:left="100"/>
              <w:spacing w:after="0"/>
              <w:rPr>
                <w:sz w:val="20"/>
                <w:szCs w:val="20"/>
                <w:color w:val="auto"/>
              </w:rPr>
            </w:pPr>
            <w:r>
              <w:rPr>
                <w:rFonts w:ascii="Arial" w:cs="Arial" w:eastAsia="Arial" w:hAnsi="Arial"/>
                <w:sz w:val="16"/>
                <w:szCs w:val="16"/>
                <w:color w:val="0D0E10"/>
              </w:rPr>
              <w:t>End, determined as of Applicable FY End ($)</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Deduction for Awards Granted during a Prior FY that were</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00"/>
              <w:spacing w:after="0"/>
              <w:rPr>
                <w:sz w:val="20"/>
                <w:szCs w:val="20"/>
                <w:color w:val="auto"/>
              </w:rPr>
            </w:pPr>
            <w:r>
              <w:rPr>
                <w:rFonts w:ascii="Arial" w:cs="Arial" w:eastAsia="Arial" w:hAnsi="Arial"/>
                <w:sz w:val="16"/>
                <w:szCs w:val="16"/>
                <w:color w:val="0D0E10"/>
              </w:rPr>
              <w:t>Outstanding and Unvested as of Applicable FY End,</w:t>
            </w:r>
          </w:p>
        </w:tc>
        <w:tc>
          <w:tcPr>
            <w:tcW w:w="620" w:type="dxa"/>
            <w:vAlign w:val="bottom"/>
            <w:vMerge w:val="restart"/>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39"/>
              <w:spacing w:after="0"/>
              <w:rPr>
                <w:sz w:val="20"/>
                <w:szCs w:val="20"/>
                <w:color w:val="auto"/>
              </w:rPr>
            </w:pPr>
            <w:r>
              <w:rPr>
                <w:rFonts w:ascii="Arial" w:cs="Arial" w:eastAsia="Arial" w:hAnsi="Arial"/>
                <w:sz w:val="16"/>
                <w:szCs w:val="16"/>
                <w:color w:val="0D0E10"/>
              </w:rPr>
              <w:t>2,474,667</w:t>
            </w:r>
          </w:p>
        </w:tc>
        <w:tc>
          <w:tcPr>
            <w:tcW w:w="52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59"/>
              <w:spacing w:after="0"/>
              <w:rPr>
                <w:sz w:val="20"/>
                <w:szCs w:val="20"/>
                <w:color w:val="auto"/>
              </w:rPr>
            </w:pPr>
            <w:r>
              <w:rPr>
                <w:rFonts w:ascii="Arial" w:cs="Arial" w:eastAsia="Arial" w:hAnsi="Arial"/>
                <w:sz w:val="16"/>
                <w:szCs w:val="16"/>
                <w:color w:val="0D0E10"/>
              </w:rPr>
              <w:t>(3,843,813)</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vMerge w:val="restart"/>
          </w:tcPr>
          <w:p>
            <w:pPr>
              <w:jc w:val="center"/>
              <w:ind w:left="80"/>
              <w:spacing w:after="0"/>
              <w:rPr>
                <w:sz w:val="20"/>
                <w:szCs w:val="20"/>
                <w:color w:val="auto"/>
              </w:rPr>
            </w:pPr>
            <w:r>
              <w:rPr>
                <w:rFonts w:ascii="Arial" w:cs="Arial" w:eastAsia="Arial" w:hAnsi="Arial"/>
                <w:sz w:val="16"/>
                <w:szCs w:val="16"/>
                <w:color w:val="0D0E10"/>
              </w:rPr>
              <w:t>143,412</w:t>
            </w:r>
          </w:p>
        </w:tc>
        <w:tc>
          <w:tcPr>
            <w:tcW w:w="0" w:type="dxa"/>
            <w:vAlign w:val="bottom"/>
          </w:tcPr>
          <w:p>
            <w:pPr>
              <w:spacing w:after="0"/>
              <w:rPr>
                <w:sz w:val="1"/>
                <w:szCs w:val="1"/>
                <w:color w:val="auto"/>
              </w:rPr>
            </w:pPr>
          </w:p>
        </w:tc>
      </w:tr>
      <w:tr>
        <w:trPr>
          <w:trHeight w:val="107"/>
        </w:trPr>
        <w:tc>
          <w:tcPr>
            <w:tcW w:w="4440" w:type="dxa"/>
            <w:vAlign w:val="bottom"/>
            <w:vMerge w:val="restart"/>
          </w:tcPr>
          <w:p>
            <w:pPr>
              <w:ind w:left="100"/>
              <w:spacing w:after="0"/>
              <w:rPr>
                <w:sz w:val="20"/>
                <w:szCs w:val="20"/>
                <w:color w:val="auto"/>
              </w:rPr>
            </w:pPr>
            <w:r>
              <w:rPr>
                <w:rFonts w:ascii="Arial" w:cs="Arial" w:eastAsia="Arial" w:hAnsi="Arial"/>
                <w:sz w:val="16"/>
                <w:szCs w:val="16"/>
                <w:color w:val="0D0E10"/>
              </w:rPr>
              <w:t>determined based on change in Fair Value from Prior FY</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4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100"/>
              <w:spacing w:after="0"/>
              <w:rPr>
                <w:sz w:val="20"/>
                <w:szCs w:val="20"/>
                <w:color w:val="auto"/>
              </w:rPr>
            </w:pPr>
            <w:r>
              <w:rPr>
                <w:rFonts w:ascii="Arial" w:cs="Arial" w:eastAsia="Arial" w:hAnsi="Arial"/>
                <w:sz w:val="16"/>
                <w:szCs w:val="16"/>
                <w:color w:val="0D0E10"/>
              </w:rPr>
              <w:t>End to Applicable FY End ($)</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Increase / deduction for Awards Granted during a Prior FY</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00"/>
              <w:spacing w:after="0"/>
              <w:rPr>
                <w:sz w:val="20"/>
                <w:szCs w:val="20"/>
                <w:color w:val="auto"/>
              </w:rPr>
            </w:pPr>
            <w:r>
              <w:rPr>
                <w:rFonts w:ascii="Arial" w:cs="Arial" w:eastAsia="Arial" w:hAnsi="Arial"/>
                <w:sz w:val="16"/>
                <w:szCs w:val="16"/>
                <w:color w:val="0D0E10"/>
              </w:rPr>
              <w:t>that Vested during Applicable FY, determined based on</w:t>
            </w:r>
          </w:p>
        </w:tc>
        <w:tc>
          <w:tcPr>
            <w:tcW w:w="620" w:type="dxa"/>
            <w:vAlign w:val="bottom"/>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w w:val="98"/>
              </w:rPr>
              <w:t>4,460,117</w:t>
            </w:r>
          </w:p>
        </w:tc>
        <w:tc>
          <w:tcPr>
            <w:tcW w:w="52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(3,477,334)</w:t>
            </w:r>
          </w:p>
        </w:tc>
        <w:tc>
          <w:tcPr>
            <w:tcW w:w="600" w:type="dxa"/>
            <w:vAlign w:val="bottom"/>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tcPr>
          <w:p>
            <w:pPr>
              <w:jc w:val="center"/>
              <w:ind w:left="80"/>
              <w:spacing w:after="0"/>
              <w:rPr>
                <w:sz w:val="20"/>
                <w:szCs w:val="20"/>
                <w:color w:val="auto"/>
              </w:rPr>
            </w:pPr>
            <w:r>
              <w:rPr>
                <w:rFonts w:ascii="Arial" w:cs="Arial" w:eastAsia="Arial" w:hAnsi="Arial"/>
                <w:sz w:val="16"/>
                <w:szCs w:val="16"/>
                <w:color w:val="0D0E10"/>
              </w:rPr>
              <w:t>(1,369,717)</w:t>
            </w:r>
          </w:p>
        </w:tc>
        <w:tc>
          <w:tcPr>
            <w:tcW w:w="0" w:type="dxa"/>
            <w:vAlign w:val="bottom"/>
          </w:tcPr>
          <w:p>
            <w:pPr>
              <w:spacing w:after="0"/>
              <w:rPr>
                <w:sz w:val="1"/>
                <w:szCs w:val="1"/>
                <w:color w:val="auto"/>
              </w:rPr>
            </w:pPr>
          </w:p>
        </w:tc>
      </w:tr>
      <w:tr>
        <w:trPr>
          <w:trHeight w:val="215"/>
        </w:trPr>
        <w:tc>
          <w:tcPr>
            <w:tcW w:w="4440" w:type="dxa"/>
            <w:vAlign w:val="bottom"/>
          </w:tcPr>
          <w:p>
            <w:pPr>
              <w:ind w:left="100"/>
              <w:spacing w:after="0"/>
              <w:rPr>
                <w:sz w:val="20"/>
                <w:szCs w:val="20"/>
                <w:color w:val="auto"/>
              </w:rPr>
            </w:pPr>
            <w:r>
              <w:rPr>
                <w:rFonts w:ascii="Arial" w:cs="Arial" w:eastAsia="Arial" w:hAnsi="Arial"/>
                <w:sz w:val="16"/>
                <w:szCs w:val="16"/>
                <w:color w:val="0D0E10"/>
              </w:rPr>
              <w:t>change in Fair Value from Prior FY End to Vesting Date ($)</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Deduction of Fair Value of Awards Granted during Prior FY</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00"/>
              <w:spacing w:after="0"/>
              <w:rPr>
                <w:sz w:val="20"/>
                <w:szCs w:val="20"/>
                <w:color w:val="auto"/>
              </w:rPr>
            </w:pPr>
            <w:r>
              <w:rPr>
                <w:rFonts w:ascii="Arial" w:cs="Arial" w:eastAsia="Arial" w:hAnsi="Arial"/>
                <w:sz w:val="16"/>
                <w:szCs w:val="16"/>
                <w:color w:val="0D0E10"/>
              </w:rPr>
              <w:t>that were Forfeited during Applicable FY, determined as of</w:t>
            </w:r>
          </w:p>
        </w:tc>
        <w:tc>
          <w:tcPr>
            <w:tcW w:w="620" w:type="dxa"/>
            <w:vAlign w:val="bottom"/>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(5,193,824)</w:t>
            </w:r>
          </w:p>
        </w:tc>
        <w:tc>
          <w:tcPr>
            <w:tcW w:w="52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600" w:type="dxa"/>
            <w:vAlign w:val="bottom"/>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tcPr>
          <w:p>
            <w:pPr>
              <w:jc w:val="center"/>
              <w:ind w:left="80"/>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215"/>
        </w:trPr>
        <w:tc>
          <w:tcPr>
            <w:tcW w:w="4440" w:type="dxa"/>
            <w:vAlign w:val="bottom"/>
          </w:tcPr>
          <w:p>
            <w:pPr>
              <w:ind w:left="100"/>
              <w:spacing w:after="0"/>
              <w:rPr>
                <w:sz w:val="20"/>
                <w:szCs w:val="20"/>
                <w:color w:val="auto"/>
              </w:rPr>
            </w:pPr>
            <w:r>
              <w:rPr>
                <w:rFonts w:ascii="Arial" w:cs="Arial" w:eastAsia="Arial" w:hAnsi="Arial"/>
                <w:sz w:val="16"/>
                <w:szCs w:val="16"/>
                <w:color w:val="0D0E10"/>
              </w:rPr>
              <w:t>Prior FY End ($)</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Deduction for Change in Pension Value Reported in the</w:t>
            </w:r>
          </w:p>
        </w:tc>
        <w:tc>
          <w:tcPr>
            <w:tcW w:w="620" w:type="dxa"/>
            <w:vAlign w:val="bottom"/>
            <w:vMerge w:val="restart"/>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52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vMerge w:val="restart"/>
          </w:tcPr>
          <w:p>
            <w:pPr>
              <w:jc w:val="center"/>
              <w:ind w:left="80"/>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107"/>
        </w:trPr>
        <w:tc>
          <w:tcPr>
            <w:tcW w:w="4440" w:type="dxa"/>
            <w:vAlign w:val="bottom"/>
            <w:vMerge w:val="restart"/>
          </w:tcPr>
          <w:p>
            <w:pPr>
              <w:ind w:left="100"/>
              <w:spacing w:after="0"/>
              <w:rPr>
                <w:sz w:val="20"/>
                <w:szCs w:val="20"/>
                <w:color w:val="auto"/>
              </w:rPr>
            </w:pPr>
            <w:r>
              <w:rPr>
                <w:rFonts w:ascii="Arial" w:cs="Arial" w:eastAsia="Arial" w:hAnsi="Arial"/>
                <w:sz w:val="16"/>
                <w:szCs w:val="16"/>
                <w:color w:val="0D0E10"/>
              </w:rPr>
              <w:t>Summary Compensation Table ($)</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440" w:type="dxa"/>
            <w:vAlign w:val="bottom"/>
          </w:tcPr>
          <w:p>
            <w:pPr>
              <w:ind w:left="100"/>
              <w:spacing w:after="0"/>
              <w:rPr>
                <w:sz w:val="20"/>
                <w:szCs w:val="20"/>
                <w:color w:val="auto"/>
              </w:rPr>
            </w:pPr>
            <w:r>
              <w:rPr>
                <w:rFonts w:ascii="Arial" w:cs="Arial" w:eastAsia="Arial" w:hAnsi="Arial"/>
                <w:sz w:val="16"/>
                <w:szCs w:val="16"/>
                <w:color w:val="0D0E10"/>
              </w:rPr>
              <w:t>Increase for Service Cost for Pension Plans ($)</w:t>
            </w:r>
          </w:p>
        </w:tc>
        <w:tc>
          <w:tcPr>
            <w:tcW w:w="620" w:type="dxa"/>
            <w:vAlign w:val="bottom"/>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52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600" w:type="dxa"/>
            <w:vAlign w:val="bottom"/>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tcPr>
          <w:p>
            <w:pPr>
              <w:jc w:val="center"/>
              <w:ind w:left="80"/>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100"/>
              <w:spacing w:after="0"/>
              <w:rPr>
                <w:sz w:val="20"/>
                <w:szCs w:val="20"/>
                <w:color w:val="auto"/>
              </w:rPr>
            </w:pPr>
            <w:r>
              <w:rPr>
                <w:rFonts w:ascii="Arial" w:cs="Arial" w:eastAsia="Arial" w:hAnsi="Arial"/>
                <w:sz w:val="16"/>
                <w:szCs w:val="16"/>
                <w:color w:val="0D0E10"/>
              </w:rPr>
              <w:t>Increase based on Dividends or Other Earnings Paid during</w:t>
            </w:r>
          </w:p>
        </w:tc>
        <w:tc>
          <w:tcPr>
            <w:tcW w:w="620" w:type="dxa"/>
            <w:vAlign w:val="bottom"/>
            <w:vMerge w:val="restart"/>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52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vMerge w:val="restart"/>
          </w:tcPr>
          <w:p>
            <w:pPr>
              <w:jc w:val="center"/>
              <w:ind w:left="59"/>
              <w:spacing w:after="0"/>
              <w:rPr>
                <w:sz w:val="20"/>
                <w:szCs w:val="20"/>
                <w:color w:val="auto"/>
              </w:rPr>
            </w:pPr>
            <w:r>
              <w:rPr>
                <w:rFonts w:ascii="Arial" w:cs="Arial" w:eastAsia="Arial" w:hAnsi="Arial"/>
                <w:sz w:val="16"/>
                <w:szCs w:val="16"/>
                <w:color w:val="0D0E10"/>
              </w:rPr>
              <w:t>0</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vMerge w:val="restart"/>
          </w:tcPr>
          <w:p>
            <w:pPr>
              <w:jc w:val="center"/>
              <w:ind w:left="80"/>
              <w:spacing w:after="0"/>
              <w:rPr>
                <w:sz w:val="20"/>
                <w:szCs w:val="20"/>
                <w:color w:val="auto"/>
              </w:rPr>
            </w:pPr>
            <w:r>
              <w:rPr>
                <w:rFonts w:ascii="Arial" w:cs="Arial" w:eastAsia="Arial" w:hAnsi="Arial"/>
                <w:sz w:val="16"/>
                <w:szCs w:val="16"/>
                <w:color w:val="0D0E10"/>
              </w:rPr>
              <w:t>0</w:t>
            </w:r>
          </w:p>
        </w:tc>
        <w:tc>
          <w:tcPr>
            <w:tcW w:w="0" w:type="dxa"/>
            <w:vAlign w:val="bottom"/>
          </w:tcPr>
          <w:p>
            <w:pPr>
              <w:spacing w:after="0"/>
              <w:rPr>
                <w:sz w:val="1"/>
                <w:szCs w:val="1"/>
                <w:color w:val="auto"/>
              </w:rPr>
            </w:pPr>
          </w:p>
        </w:tc>
      </w:tr>
      <w:tr>
        <w:trPr>
          <w:trHeight w:val="107"/>
        </w:trPr>
        <w:tc>
          <w:tcPr>
            <w:tcW w:w="4440" w:type="dxa"/>
            <w:vAlign w:val="bottom"/>
            <w:vMerge w:val="restart"/>
          </w:tcPr>
          <w:p>
            <w:pPr>
              <w:ind w:left="100"/>
              <w:spacing w:after="0"/>
              <w:rPr>
                <w:sz w:val="20"/>
                <w:szCs w:val="20"/>
                <w:color w:val="auto"/>
              </w:rPr>
            </w:pPr>
            <w:r>
              <w:rPr>
                <w:rFonts w:ascii="Arial" w:cs="Arial" w:eastAsia="Arial" w:hAnsi="Arial"/>
                <w:sz w:val="16"/>
                <w:szCs w:val="16"/>
                <w:color w:val="0D0E10"/>
              </w:rPr>
              <w:t>Applicable FY prior to Vesting Date ($)</w:t>
            </w:r>
          </w:p>
        </w:tc>
        <w:tc>
          <w:tcPr>
            <w:tcW w:w="6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440" w:type="dxa"/>
            <w:vAlign w:val="bottom"/>
          </w:tcPr>
          <w:p>
            <w:pPr>
              <w:ind w:left="100"/>
              <w:spacing w:after="0"/>
              <w:rPr>
                <w:sz w:val="20"/>
                <w:szCs w:val="20"/>
                <w:color w:val="auto"/>
              </w:rPr>
            </w:pPr>
            <w:r>
              <w:rPr>
                <w:rFonts w:ascii="Arial" w:cs="Arial" w:eastAsia="Arial" w:hAnsi="Arial"/>
                <w:sz w:val="16"/>
                <w:szCs w:val="16"/>
                <w:color w:val="0D0E10"/>
              </w:rPr>
              <w:t>Total Adjustments ($)</w:t>
            </w:r>
          </w:p>
        </w:tc>
        <w:tc>
          <w:tcPr>
            <w:tcW w:w="620" w:type="dxa"/>
            <w:vAlign w:val="bottom"/>
          </w:tcPr>
          <w:p>
            <w:pPr>
              <w:jc w:val="center"/>
              <w:ind w:left="1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(324,613)</w:t>
            </w:r>
          </w:p>
        </w:tc>
        <w:tc>
          <w:tcPr>
            <w:tcW w:w="520" w:type="dxa"/>
            <w:vAlign w:val="bottom"/>
          </w:tcPr>
          <w:p>
            <w:pPr>
              <w:jc w:val="center"/>
              <w:ind w:left="59"/>
              <w:spacing w:after="0"/>
              <w:rPr>
                <w:sz w:val="20"/>
                <w:szCs w:val="20"/>
                <w:color w:val="auto"/>
              </w:rPr>
            </w:pPr>
            <w:r>
              <w:rPr>
                <w:rFonts w:ascii="Arial" w:cs="Arial" w:eastAsia="Arial" w:hAnsi="Arial"/>
                <w:sz w:val="16"/>
                <w:szCs w:val="16"/>
                <w:color w:val="0D0E10"/>
              </w:rPr>
              <w:t>0</w:t>
            </w:r>
          </w:p>
        </w:tc>
        <w:tc>
          <w:tcPr>
            <w:tcW w:w="1640" w:type="dxa"/>
            <w:vAlign w:val="bottom"/>
          </w:tcPr>
          <w:p>
            <w:pPr>
              <w:jc w:val="center"/>
              <w:ind w:left="59"/>
              <w:spacing w:after="0"/>
              <w:rPr>
                <w:sz w:val="20"/>
                <w:szCs w:val="20"/>
                <w:color w:val="auto"/>
              </w:rPr>
            </w:pPr>
            <w:r>
              <w:rPr>
                <w:rFonts w:ascii="Arial" w:cs="Arial" w:eastAsia="Arial" w:hAnsi="Arial"/>
                <w:sz w:val="16"/>
                <w:szCs w:val="16"/>
                <w:color w:val="0D0E10"/>
              </w:rPr>
              <w:t>(8,660,453)</w:t>
            </w:r>
          </w:p>
        </w:tc>
        <w:tc>
          <w:tcPr>
            <w:tcW w:w="600" w:type="dxa"/>
            <w:vAlign w:val="bottom"/>
          </w:tcPr>
          <w:p>
            <w:pPr>
              <w:jc w:val="center"/>
              <w:spacing w:after="0"/>
              <w:rPr>
                <w:sz w:val="20"/>
                <w:szCs w:val="20"/>
                <w:color w:val="auto"/>
              </w:rPr>
            </w:pPr>
            <w:r>
              <w:rPr>
                <w:rFonts w:ascii="Arial" w:cs="Arial" w:eastAsia="Arial" w:hAnsi="Arial"/>
                <w:sz w:val="16"/>
                <w:szCs w:val="16"/>
                <w:color w:val="0D0E10"/>
              </w:rPr>
              <w:t>0</w:t>
            </w:r>
          </w:p>
        </w:tc>
        <w:tc>
          <w:tcPr>
            <w:tcW w:w="1780" w:type="dxa"/>
            <w:vAlign w:val="bottom"/>
          </w:tcPr>
          <w:p>
            <w:pPr>
              <w:jc w:val="center"/>
              <w:ind w:left="80"/>
              <w:spacing w:after="0"/>
              <w:rPr>
                <w:sz w:val="20"/>
                <w:szCs w:val="20"/>
                <w:color w:val="auto"/>
              </w:rPr>
            </w:pPr>
            <w:r>
              <w:rPr>
                <w:rFonts w:ascii="Arial" w:cs="Arial" w:eastAsia="Arial" w:hAnsi="Arial"/>
                <w:sz w:val="16"/>
                <w:szCs w:val="16"/>
                <w:color w:val="0D0E10"/>
              </w:rPr>
              <w:t>(1,681,163)</w:t>
            </w:r>
          </w:p>
        </w:tc>
        <w:tc>
          <w:tcPr>
            <w:tcW w:w="0" w:type="dxa"/>
            <w:vAlign w:val="bottom"/>
          </w:tcPr>
          <w:p>
            <w:pPr>
              <w:spacing w:after="0"/>
              <w:rPr>
                <w:sz w:val="1"/>
                <w:szCs w:val="1"/>
                <w:color w:val="auto"/>
              </w:rPr>
            </w:pPr>
          </w:p>
        </w:tc>
      </w:tr>
      <w:tr>
        <w:trPr>
          <w:trHeight w:val="29"/>
        </w:trPr>
        <w:tc>
          <w:tcPr>
            <w:tcW w:w="4440" w:type="dxa"/>
            <w:vAlign w:val="bottom"/>
            <w:tcBorders>
              <w:bottom w:val="single" w:sz="8" w:color="A5A4A3"/>
            </w:tcBorders>
          </w:tcPr>
          <w:p>
            <w:pPr>
              <w:spacing w:after="0"/>
              <w:rPr>
                <w:sz w:val="2"/>
                <w:szCs w:val="2"/>
                <w:color w:val="auto"/>
              </w:rPr>
            </w:pPr>
          </w:p>
        </w:tc>
        <w:tc>
          <w:tcPr>
            <w:tcW w:w="6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520" w:type="dxa"/>
            <w:vAlign w:val="bottom"/>
            <w:tcBorders>
              <w:bottom w:val="single" w:sz="8" w:color="A5A4A3"/>
            </w:tcBorders>
          </w:tcPr>
          <w:p>
            <w:pPr>
              <w:spacing w:after="0"/>
              <w:rPr>
                <w:sz w:val="2"/>
                <w:szCs w:val="2"/>
                <w:color w:val="auto"/>
              </w:rPr>
            </w:pPr>
          </w:p>
        </w:tc>
        <w:tc>
          <w:tcPr>
            <w:tcW w:w="1640" w:type="dxa"/>
            <w:vAlign w:val="bottom"/>
            <w:tcBorders>
              <w:bottom w:val="single" w:sz="8" w:color="A5A4A3"/>
            </w:tcBorders>
          </w:tcPr>
          <w:p>
            <w:pPr>
              <w:spacing w:after="0"/>
              <w:rPr>
                <w:sz w:val="2"/>
                <w:szCs w:val="2"/>
                <w:color w:val="auto"/>
              </w:rPr>
            </w:pPr>
          </w:p>
        </w:tc>
        <w:tc>
          <w:tcPr>
            <w:tcW w:w="600" w:type="dxa"/>
            <w:vAlign w:val="bottom"/>
            <w:tcBorders>
              <w:bottom w:val="single" w:sz="8" w:color="A5A4A3"/>
            </w:tcBorders>
          </w:tcPr>
          <w:p>
            <w:pPr>
              <w:spacing w:after="0"/>
              <w:rPr>
                <w:sz w:val="2"/>
                <w:szCs w:val="2"/>
                <w:color w:val="auto"/>
              </w:rPr>
            </w:pPr>
          </w:p>
        </w:tc>
        <w:tc>
          <w:tcPr>
            <w:tcW w:w="1780" w:type="dxa"/>
            <w:vAlign w:val="bottom"/>
            <w:tcBorders>
              <w:bottom w:val="single" w:sz="8" w:color="A5A4A3"/>
            </w:tcBorders>
          </w:tcPr>
          <w:p>
            <w:pPr>
              <w:spacing w:after="0"/>
              <w:rPr>
                <w:sz w:val="2"/>
                <w:szCs w:val="2"/>
                <w:color w:val="auto"/>
              </w:rPr>
            </w:pPr>
          </w:p>
        </w:tc>
        <w:tc>
          <w:tcPr>
            <w:tcW w:w="0" w:type="dxa"/>
            <w:vAlign w:val="bottom"/>
          </w:tcPr>
          <w:p>
            <w:pPr>
              <w:spacing w:after="0"/>
              <w:rPr>
                <w:sz w:val="1"/>
                <w:szCs w:val="1"/>
                <w:color w:val="auto"/>
              </w:rPr>
            </w:pPr>
          </w:p>
        </w:tc>
      </w:tr>
      <w:tr>
        <w:trPr>
          <w:trHeight w:val="769"/>
        </w:trPr>
        <w:tc>
          <w:tcPr>
            <w:tcW w:w="4440" w:type="dxa"/>
            <w:vAlign w:val="bottom"/>
          </w:tcPr>
          <w:p>
            <w:pPr>
              <w:ind w:left="20"/>
              <w:spacing w:after="0"/>
              <w:rPr>
                <w:sz w:val="20"/>
                <w:szCs w:val="20"/>
                <w:color w:val="auto"/>
              </w:rPr>
            </w:pPr>
            <w:r>
              <w:rPr>
                <w:rFonts w:ascii="Arial" w:cs="Arial" w:eastAsia="Arial" w:hAnsi="Arial"/>
                <w:sz w:val="14"/>
                <w:szCs w:val="14"/>
                <w:color w:val="0D0E10"/>
              </w:rPr>
              <w:t>2024 Proxy Statement</w:t>
            </w:r>
          </w:p>
        </w:tc>
        <w:tc>
          <w:tcPr>
            <w:tcW w:w="620" w:type="dxa"/>
            <w:vAlign w:val="bottom"/>
          </w:tcPr>
          <w:p>
            <w:pPr>
              <w:spacing w:after="0"/>
              <w:rPr>
                <w:sz w:val="24"/>
                <w:szCs w:val="24"/>
                <w:color w:val="auto"/>
              </w:rPr>
            </w:pPr>
          </w:p>
        </w:tc>
        <w:tc>
          <w:tcPr>
            <w:tcW w:w="1640" w:type="dxa"/>
            <w:vAlign w:val="bottom"/>
          </w:tcPr>
          <w:p>
            <w:pPr>
              <w:jc w:val="right"/>
              <w:ind w:right="919"/>
              <w:spacing w:after="0"/>
              <w:rPr>
                <w:sz w:val="20"/>
                <w:szCs w:val="20"/>
                <w:color w:val="auto"/>
              </w:rPr>
            </w:pPr>
            <w:r>
              <w:rPr>
                <w:rFonts w:ascii="Arial" w:cs="Arial" w:eastAsia="Arial" w:hAnsi="Arial"/>
                <w:sz w:val="16"/>
                <w:szCs w:val="16"/>
                <w:b w:val="1"/>
                <w:bCs w:val="1"/>
                <w:color w:val="F06A6A"/>
              </w:rPr>
              <w:t>67</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ind w:left="1360"/>
              <w:spacing w:after="0"/>
              <w:rPr>
                <w:sz w:val="20"/>
                <w:szCs w:val="20"/>
                <w:color w:val="auto"/>
              </w:rPr>
            </w:pPr>
            <w:r>
              <w:rPr>
                <w:rFonts w:ascii="Arial" w:cs="Arial" w:eastAsia="Arial" w:hAnsi="Arial"/>
                <w:sz w:val="14"/>
                <w:szCs w:val="14"/>
                <w:color w:val="0D0E10"/>
              </w:rPr>
              <w:t>Asana</w:t>
            </w:r>
          </w:p>
        </w:tc>
        <w:tc>
          <w:tcPr>
            <w:tcW w:w="0" w:type="dxa"/>
            <w:vAlign w:val="bottom"/>
          </w:tcPr>
          <w:p>
            <w:pPr>
              <w:spacing w:after="0"/>
              <w:rPr>
                <w:sz w:val="1"/>
                <w:szCs w:val="1"/>
                <w:color w:val="auto"/>
              </w:rPr>
            </w:pPr>
          </w:p>
        </w:tc>
      </w:tr>
      <w:tr>
        <w:trPr>
          <w:trHeight w:val="217"/>
        </w:trPr>
        <w:tc>
          <w:tcPr>
            <w:tcW w:w="44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color w:val="0D0E10"/>
        </w:rPr>
        <w:t>Most Important Financial Measures</w:t>
      </w:r>
    </w:p>
    <w:p>
      <w:pPr>
        <w:spacing w:after="0" w:line="195" w:lineRule="exact"/>
        <w:rPr>
          <w:sz w:val="20"/>
          <w:szCs w:val="20"/>
          <w:color w:val="auto"/>
        </w:rPr>
      </w:pPr>
    </w:p>
    <w:p>
      <w:pPr>
        <w:ind w:right="360"/>
        <w:spacing w:after="0" w:line="304" w:lineRule="auto"/>
        <w:rPr>
          <w:sz w:val="20"/>
          <w:szCs w:val="20"/>
          <w:color w:val="auto"/>
        </w:rPr>
      </w:pPr>
      <w:r>
        <w:rPr>
          <w:rFonts w:ascii="Arial" w:cs="Arial" w:eastAsia="Arial" w:hAnsi="Arial"/>
          <w:sz w:val="18"/>
          <w:szCs w:val="18"/>
          <w:color w:val="0D0E10"/>
        </w:rPr>
        <w:t>As discussed above, the variable portion of our executive compensation program is tied to long-term stockholder returns through equity awards, and changes in the value of awards during a particular fiscal year are driven by stockholder returns in that fiscal year. We did not consider other financial or non-financial performance measures in determining the fiscal 2024 compensation for our named executive officers. As a result, we have not included a tabular list of the most important financial measures.</w:t>
      </w:r>
    </w:p>
    <w:p>
      <w:pPr>
        <w:spacing w:after="0" w:line="89" w:lineRule="exact"/>
        <w:rPr>
          <w:sz w:val="20"/>
          <w:szCs w:val="20"/>
          <w:color w:val="auto"/>
        </w:rPr>
      </w:pPr>
    </w:p>
    <w:p>
      <w:pPr>
        <w:spacing w:after="0"/>
        <w:rPr>
          <w:sz w:val="20"/>
          <w:szCs w:val="20"/>
          <w:color w:val="auto"/>
        </w:rPr>
      </w:pPr>
      <w:r>
        <w:rPr>
          <w:rFonts w:ascii="Arial" w:cs="Arial" w:eastAsia="Arial" w:hAnsi="Arial"/>
          <w:sz w:val="32"/>
          <w:szCs w:val="32"/>
          <w:color w:val="0D0E10"/>
        </w:rPr>
        <w:t>Relationship Between Pay and Performance</w:t>
      </w:r>
    </w:p>
    <w:p>
      <w:pPr>
        <w:spacing w:after="0" w:line="195" w:lineRule="exact"/>
        <w:rPr>
          <w:sz w:val="20"/>
          <w:szCs w:val="20"/>
          <w:color w:val="auto"/>
        </w:rPr>
      </w:pPr>
    </w:p>
    <w:p>
      <w:pPr>
        <w:ind w:right="280"/>
        <w:spacing w:after="0" w:line="318" w:lineRule="auto"/>
        <w:rPr>
          <w:sz w:val="20"/>
          <w:szCs w:val="20"/>
          <w:color w:val="auto"/>
        </w:rPr>
      </w:pPr>
      <w:r>
        <w:rPr>
          <w:rFonts w:ascii="Arial" w:cs="Arial" w:eastAsia="Arial" w:hAnsi="Arial"/>
          <w:sz w:val="18"/>
          <w:szCs w:val="18"/>
          <w:color w:val="0D0E10"/>
        </w:rPr>
        <w:t>As discussed in the Compensation Discussion and Analysis, we pay our CEO $1 per year. His compensation is not variable, and bears no relation to the cumulative total stockholder return or net income of the Company, as reported in the table above.</w:t>
      </w:r>
    </w:p>
    <w:p>
      <w:pPr>
        <w:spacing w:after="0" w:line="113" w:lineRule="exact"/>
        <w:rPr>
          <w:sz w:val="20"/>
          <w:szCs w:val="20"/>
          <w:color w:val="auto"/>
        </w:rPr>
      </w:pPr>
    </w:p>
    <w:p>
      <w:pPr>
        <w:spacing w:after="0" w:line="296" w:lineRule="auto"/>
        <w:rPr>
          <w:sz w:val="20"/>
          <w:szCs w:val="20"/>
          <w:color w:val="auto"/>
        </w:rPr>
      </w:pPr>
      <w:r>
        <w:rPr>
          <w:rFonts w:ascii="Arial" w:cs="Arial" w:eastAsia="Arial" w:hAnsi="Arial"/>
          <w:sz w:val="18"/>
          <w:szCs w:val="18"/>
          <w:color w:val="0D0E10"/>
        </w:rPr>
        <w:t>As discussed in the Compensation Discussion and Analysis, the majority of our executives’ compensation (other than the CEO) is delivered in the form of company shares delivered as long-term awards with vesting periods. The ultimate value of these awards changes with changes in stock price. In fiscal 2022, when stockholder returns were strongly positive (above the cumulative total stockholder return of the Company’s peer group), and net income was negative, executives earned positive compensation as measured by Compensation Actually Paid in the table above. In fiscal 2023, when stockholder returns were negative (below the cumulative total stockholder return of the Company’s peer group), and net income was negative, executives earned negative compensation as measured by Compensation Actually Paid in the table above. In fiscal 2024, when stockholder returns were positive when compared to fiscal 2023, but negative compared to fiscal 2022 (and below the cumulative total stockholder return of the Company’s peer group), and net income was negative, executives earned positive compensation as measured by Compensation Actually Paid in the table above that was less than the amounts reported in the Summary Compensation Table.</w:t>
      </w:r>
    </w:p>
    <w:p>
      <w:pPr>
        <w:spacing w:after="0" w:line="134"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0D0E10"/>
        </w:rPr>
        <w:t>As discussed above, we do not consider other financial or non-financial performance measures in determining the compensation actually paid to our CEO and other NEOs. As a result, we do not have a company selected measure and there is no relationship to disclose between the compensation actually paid to our NEOs and such measure.</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68</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3" w:name="page74"/>
    <w:bookmarkEnd w:id="73"/>
    <w:p>
      <w:pPr>
        <w:ind w:right="500"/>
        <w:spacing w:after="0" w:line="273" w:lineRule="auto"/>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Certain Relationships and Related Person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color w:val="0D0E10"/>
        </w:rPr>
        <w:t>Policies and Procedures for Related Person Transactions</w:t>
      </w:r>
    </w:p>
    <w:p>
      <w:pPr>
        <w:spacing w:after="0" w:line="195"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color w:val="0D0E10"/>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8"/>
          <w:szCs w:val="18"/>
          <w:color w:val="0D0E10"/>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09" w:lineRule="exact"/>
        <w:rPr>
          <w:sz w:val="20"/>
          <w:szCs w:val="20"/>
          <w:color w:val="auto"/>
        </w:rPr>
      </w:pPr>
    </w:p>
    <w:p>
      <w:pPr>
        <w:spacing w:after="0"/>
        <w:rPr>
          <w:sz w:val="20"/>
          <w:szCs w:val="20"/>
          <w:color w:val="auto"/>
        </w:rPr>
      </w:pPr>
      <w:r>
        <w:rPr>
          <w:rFonts w:ascii="Arial" w:cs="Arial" w:eastAsia="Arial" w:hAnsi="Arial"/>
          <w:sz w:val="32"/>
          <w:szCs w:val="32"/>
          <w:color w:val="0D0E10"/>
        </w:rPr>
        <w:t>Indemnification Agreements</w:t>
      </w:r>
    </w:p>
    <w:p>
      <w:pPr>
        <w:spacing w:after="0" w:line="181" w:lineRule="exact"/>
        <w:rPr>
          <w:sz w:val="20"/>
          <w:szCs w:val="20"/>
          <w:color w:val="auto"/>
        </w:rPr>
      </w:pPr>
    </w:p>
    <w:p>
      <w:pPr>
        <w:jc w:val="both"/>
        <w:ind w:right="260"/>
        <w:spacing w:after="0" w:line="308" w:lineRule="auto"/>
        <w:rPr>
          <w:sz w:val="20"/>
          <w:szCs w:val="20"/>
          <w:color w:val="auto"/>
        </w:rPr>
      </w:pPr>
      <w:r>
        <w:rPr>
          <w:rFonts w:ascii="Arial" w:cs="Arial" w:eastAsia="Arial" w:hAnsi="Arial"/>
          <w:sz w:val="18"/>
          <w:szCs w:val="18"/>
          <w:color w:val="0D0E10"/>
        </w:rPr>
        <w:t>We have entered into indemnification agreements with each of our directors, executive officers, and certain employees that will require us, among other things, to indemnify them against certain liabilities that may arise by reason of their status or service as directors, officers, or employees.</w:t>
      </w:r>
    </w:p>
    <w:p>
      <w:pPr>
        <w:spacing w:after="0" w:line="98" w:lineRule="exact"/>
        <w:rPr>
          <w:sz w:val="20"/>
          <w:szCs w:val="20"/>
          <w:color w:val="auto"/>
        </w:rPr>
      </w:pPr>
    </w:p>
    <w:p>
      <w:pPr>
        <w:spacing w:after="0"/>
        <w:rPr>
          <w:sz w:val="20"/>
          <w:szCs w:val="20"/>
          <w:color w:val="auto"/>
        </w:rPr>
      </w:pPr>
      <w:r>
        <w:rPr>
          <w:rFonts w:ascii="Arial" w:cs="Arial" w:eastAsia="Arial" w:hAnsi="Arial"/>
          <w:sz w:val="32"/>
          <w:szCs w:val="32"/>
          <w:color w:val="0D0E10"/>
        </w:rPr>
        <w:t>Certain Related Person Transactions</w:t>
      </w:r>
    </w:p>
    <w:p>
      <w:pPr>
        <w:spacing w:after="0" w:line="195" w:lineRule="exact"/>
        <w:rPr>
          <w:sz w:val="20"/>
          <w:szCs w:val="20"/>
          <w:color w:val="auto"/>
        </w:rPr>
      </w:pPr>
    </w:p>
    <w:p>
      <w:pPr>
        <w:ind w:right="320"/>
        <w:spacing w:after="0" w:line="298" w:lineRule="auto"/>
        <w:rPr>
          <w:sz w:val="20"/>
          <w:szCs w:val="20"/>
          <w:color w:val="auto"/>
        </w:rPr>
      </w:pPr>
      <w:r>
        <w:rPr>
          <w:rFonts w:ascii="Arial" w:cs="Arial" w:eastAsia="Arial" w:hAnsi="Arial"/>
          <w:sz w:val="18"/>
          <w:szCs w:val="18"/>
          <w:color w:val="0D0E10"/>
        </w:rPr>
        <w:t>The following is a summary of transactions since February 1, 2023,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“Non-Employee Director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0D0E10"/>
        </w:rPr>
        <w:t>Marketing Expenses</w:t>
      </w:r>
    </w:p>
    <w:p>
      <w:pPr>
        <w:spacing w:after="0" w:line="173"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0D0E10"/>
        </w:rPr>
        <w:t>As part of our marketing and digital user acquisition strategies, we routinely deploy advertisements on Quora.com, a question and answer website, via a self-serve platform. Adam D’Angelo, a member of our Board, is the Chief Executive Officer of Quora. Matthew Cohler, a member of our Board, is a member of Quora’s Board of Directors. We incurred approximately $1.1 million in marketing expenses with Quora for the year ended January 31, 2024.</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69</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74" w:name="page75"/>
    <w:bookmarkEnd w:id="74"/>
    <w:p>
      <w:pPr>
        <w:ind w:left="780"/>
        <w:spacing w:after="0"/>
        <w:rPr>
          <w:sz w:val="20"/>
          <w:szCs w:val="20"/>
          <w:color w:val="auto"/>
        </w:rPr>
      </w:pPr>
      <w:r>
        <w:rPr>
          <w:rFonts w:ascii="Arial" w:cs="Arial" w:eastAsia="Arial" w:hAnsi="Arial"/>
          <w:sz w:val="14"/>
          <w:szCs w:val="14"/>
          <w:color w:val="0D0E10"/>
        </w:rPr>
        <w:drawing>
          <wp:anchor simplePos="0" relativeHeight="251657728" behindDoc="1" locked="0" layoutInCell="0" allowOverlap="1">
            <wp:simplePos x="0" y="0"/>
            <wp:positionH relativeFrom="page">
              <wp:posOffset>216535</wp:posOffset>
            </wp:positionH>
            <wp:positionV relativeFrom="page">
              <wp:posOffset>106045</wp:posOffset>
            </wp:positionV>
            <wp:extent cx="24003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240030" cy="214630"/>
                    </a:xfrm>
                    <a:prstGeom prst="rect">
                      <a:avLst/>
                    </a:prstGeom>
                    <a:noFill/>
                  </pic:spPr>
                </pic:pic>
              </a:graphicData>
            </a:graphic>
          </wp:anchor>
        </w:drawing>
        <w:t>CERTAIN RELATIONSHIPS AND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spacing w:after="0" w:line="304" w:lineRule="auto"/>
        <w:rPr>
          <w:sz w:val="20"/>
          <w:szCs w:val="20"/>
          <w:color w:val="auto"/>
        </w:rPr>
      </w:pPr>
      <w:r>
        <w:rPr>
          <w:rFonts w:ascii="Arial" w:cs="Arial" w:eastAsia="Arial" w:hAnsi="Arial"/>
          <w:sz w:val="18"/>
          <w:szCs w:val="18"/>
          <w:color w:val="0D0E10"/>
        </w:rPr>
        <w:t>As part of our marketing and digital user acquisition strategies, we utilize search engine marketing and advertising services from Microsoft Corporation. Andrew Lindsay, a member of our Board, serves as Microsoft’s Corporate Vice President, AI, Data, Industry and Apps Business Development. We incurred approximately $2.0 million in marketing expenses with Microsoft for the year ended January 31, 2024. Transactions with Microsoft in fiscal year 2024 did not exceed the greater of $1 million or 2% of its annual revenues.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0D0E10"/>
        </w:rPr>
        <w:t>Lease Expenses</w:t>
      </w:r>
    </w:p>
    <w:p>
      <w:pPr>
        <w:spacing w:after="0" w:line="173" w:lineRule="exact"/>
        <w:rPr>
          <w:sz w:val="20"/>
          <w:szCs w:val="20"/>
          <w:color w:val="auto"/>
        </w:rPr>
      </w:pPr>
    </w:p>
    <w:p>
      <w:pPr>
        <w:ind w:right="80"/>
        <w:spacing w:after="0" w:line="308" w:lineRule="auto"/>
        <w:rPr>
          <w:sz w:val="20"/>
          <w:szCs w:val="20"/>
          <w:color w:val="auto"/>
        </w:rPr>
      </w:pPr>
      <w:r>
        <w:rPr>
          <w:rFonts w:ascii="Arial" w:cs="Arial" w:eastAsia="Arial" w:hAnsi="Arial"/>
          <w:sz w:val="18"/>
          <w:szCs w:val="18"/>
          <w:color w:val="0D0E10"/>
        </w:rPr>
        <w:t>During the fiscal year ended January 31, 2020, we began leasing certain office facilities from HubSpot, a customer relationship management platform. Lorrie Norrington, a member of our Board and our Lead Independent Director, is a member of HubSpot’s Board of Directors. Rent payments made under these leases totaled $1.6 million for the year ended January 31, 2024.</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0D0E10"/>
        </w:rPr>
        <w:t>Subscription Agreements</w:t>
      </w:r>
    </w:p>
    <w:p>
      <w:pPr>
        <w:spacing w:after="0" w:line="173"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color w:val="0D0E10"/>
        </w:rPr>
        <w:t>We have also entered into various recurring subscription agreements with HubSpot and recognized revenue under these subscription agreements of $0.9 million for the year ended January 31, 2024. Transactions with Hubspot in fiscal year 2024 did not exceed the greater of $1 million or 2% of its annual revenues.</w:t>
      </w:r>
    </w:p>
    <w:p>
      <w:pPr>
        <w:spacing w:after="0" w:line="121"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0D0E10"/>
        </w:rPr>
        <w:t>We have entered into various recurring subscription agreements with Autodesk, a software company. Lorrie Norrington, a member of our Board and our Lead Independent Director, is a member of Autodesk’s Board of Directors. We recognized revenue of $0.6 million under these subscription agreements for the year ended January 31, 2024, and had outstanding receivables of $0.6 million as of January 31, 2024. Transactions with Autodesk in fiscal year 2024 did not exceed the greater of $1 million or 2% of its annual revenues.</w:t>
      </w:r>
    </w:p>
    <w:p>
      <w:pPr>
        <w:spacing w:after="0" w:line="126" w:lineRule="exact"/>
        <w:rPr>
          <w:sz w:val="20"/>
          <w:szCs w:val="20"/>
          <w:color w:val="auto"/>
        </w:rPr>
      </w:pPr>
    </w:p>
    <w:p>
      <w:pPr>
        <w:ind w:right="140"/>
        <w:spacing w:after="0" w:line="333" w:lineRule="auto"/>
        <w:rPr>
          <w:sz w:val="20"/>
          <w:szCs w:val="20"/>
          <w:color w:val="auto"/>
        </w:rPr>
      </w:pPr>
      <w:r>
        <w:rPr>
          <w:rFonts w:ascii="Arial" w:cs="Arial" w:eastAsia="Arial" w:hAnsi="Arial"/>
          <w:sz w:val="17"/>
          <w:szCs w:val="17"/>
          <w:color w:val="0D0E10"/>
        </w:rPr>
        <w:t>We have entered into various recurring subscription agreements with Gusto, a software company. Anne Raimondi, our Chief Operating Officer, is a member of Gusto’s Board of Directors. We recognized revenue of $0.2 million under these subscription agreements for the year ended January 31, 2024. Transactions with Gusto in fiscal year 2024 did not exceed the greater of $1 million or 2% of its annual revenues.</w:t>
      </w:r>
    </w:p>
    <w:p>
      <w:pPr>
        <w:spacing w:after="0" w:line="104" w:lineRule="exact"/>
        <w:rPr>
          <w:sz w:val="20"/>
          <w:szCs w:val="20"/>
          <w:color w:val="auto"/>
        </w:rPr>
      </w:pPr>
    </w:p>
    <w:p>
      <w:pPr>
        <w:spacing w:after="0" w:line="304" w:lineRule="auto"/>
        <w:rPr>
          <w:sz w:val="20"/>
          <w:szCs w:val="20"/>
          <w:color w:val="auto"/>
        </w:rPr>
      </w:pPr>
      <w:r>
        <w:rPr>
          <w:rFonts w:ascii="Arial" w:cs="Arial" w:eastAsia="Arial" w:hAnsi="Arial"/>
          <w:sz w:val="18"/>
          <w:szCs w:val="18"/>
          <w:color w:val="0D0E10"/>
        </w:rPr>
        <w:t>We have entered into various recurring subscription agreements with Talkdesk, Inc., a cloud-based contact center software company. Sydney Carey, a member of our Board, serves as Talkdesk’s Chief Financial Officer. We recognized revenue of $0.1 million under these subscription agreements for the year ended January 31, 2024. Transactions with Talkdesk in fiscal year 2024 did not exceed the greater of $1 million or 2% of its annual revenues.</w:t>
      </w:r>
    </w:p>
    <w:p>
      <w:pPr>
        <w:spacing w:after="0" w:line="112" w:lineRule="exact"/>
        <w:rPr>
          <w:sz w:val="20"/>
          <w:szCs w:val="20"/>
          <w:color w:val="auto"/>
        </w:rPr>
      </w:pPr>
    </w:p>
    <w:p>
      <w:pPr>
        <w:ind w:right="380"/>
        <w:spacing w:after="0" w:line="308" w:lineRule="auto"/>
        <w:rPr>
          <w:sz w:val="20"/>
          <w:szCs w:val="20"/>
          <w:color w:val="auto"/>
        </w:rPr>
      </w:pPr>
      <w:r>
        <w:rPr>
          <w:rFonts w:ascii="Arial" w:cs="Arial" w:eastAsia="Arial" w:hAnsi="Arial"/>
          <w:sz w:val="18"/>
          <w:szCs w:val="18"/>
          <w:color w:val="0D0E10"/>
        </w:rPr>
        <w:t>We have entered into various recurring subscription agreements with Quora.com, a question and answer website. Adam D’Angelo, a member of our Board, is the Chief Executive Officer of Quora. Matthew Cohler, a member of our Board, is a member of Quora’s Board of Directors. We recognized revenue of $0.1 million under these subscription agreements for the year ended January 31, 2024.</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8"/>
          <w:szCs w:val="18"/>
          <w:color w:val="0D0E10"/>
        </w:rPr>
        <w:t>We have entered into various recurring subscription agreements with Palo Alto Networks, Inc., a cybersecurity company. Amit Singh, who served as a member of our Board until his resignation in December 2023, serves as Palo Alto Networks’ Chief Business Officer. We recognized revenue of $0.5 million under these subscription agreements for the year ended January 31, 2024 and had outstanding receivables of $0.2 million as of January 31, 2024. Transactions with Palo Alto Networks in fiscal year 2024 did not exceed the greater of $1 million or 2% of its annual revenues.</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0D0E10"/>
        </w:rPr>
        <w:t>Asana</w:t>
      </w:r>
      <w:r>
        <w:rPr>
          <w:sz w:val="20"/>
          <w:szCs w:val="20"/>
          <w:color w:val="auto"/>
        </w:rPr>
        <w:tab/>
      </w:r>
      <w:r>
        <w:rPr>
          <w:rFonts w:ascii="Arial" w:cs="Arial" w:eastAsia="Arial" w:hAnsi="Arial"/>
          <w:sz w:val="16"/>
          <w:szCs w:val="16"/>
          <w:b w:val="1"/>
          <w:bCs w:val="1"/>
          <w:color w:val="F06A6A"/>
        </w:rPr>
        <w:t>70</w:t>
      </w:r>
      <w:r>
        <w:rPr>
          <w:sz w:val="20"/>
          <w:szCs w:val="20"/>
          <w:color w:val="auto"/>
        </w:rPr>
        <w:tab/>
      </w:r>
      <w:r>
        <w:rPr>
          <w:rFonts w:ascii="Arial" w:cs="Arial" w:eastAsia="Arial" w:hAnsi="Arial"/>
          <w:sz w:val="14"/>
          <w:szCs w:val="14"/>
          <w:color w:val="0D0E10"/>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5" w:name="page76"/>
    <w:bookmarkEnd w:id="75"/>
    <w:p>
      <w:pPr>
        <w:spacing w:after="0"/>
        <w:rPr>
          <w:sz w:val="20"/>
          <w:szCs w:val="20"/>
          <w:color w:val="auto"/>
        </w:rPr>
      </w:pPr>
      <w:r>
        <w:rPr>
          <w:rFonts w:ascii="Arial" w:cs="Arial" w:eastAsia="Arial" w:hAnsi="Arial"/>
          <w:sz w:val="58"/>
          <w:szCs w:val="58"/>
          <w:color w:val="0D0E10"/>
        </w:rPr>
        <w:drawing>
          <wp:anchor simplePos="0" relativeHeight="251657728" behindDoc="1" locked="0" layoutInCell="0" allowOverlap="1">
            <wp:simplePos x="0" y="0"/>
            <wp:positionH relativeFrom="page">
              <wp:posOffset>6971665</wp:posOffset>
            </wp:positionH>
            <wp:positionV relativeFrom="page">
              <wp:posOffset>88900</wp:posOffset>
            </wp:positionV>
            <wp:extent cx="368300" cy="3429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368300" cy="342900"/>
                    </a:xfrm>
                    <a:prstGeom prst="rect">
                      <a:avLst/>
                    </a:prstGeom>
                    <a:noFill/>
                  </pic:spPr>
                </pic:pic>
              </a:graphicData>
            </a:graphic>
          </wp:anchor>
        </w:drawing>
        <w:t>Other Matters</w:t>
      </w:r>
    </w:p>
    <w:p>
      <w:pPr>
        <w:spacing w:after="0" w:line="343" w:lineRule="exact"/>
        <w:rPr>
          <w:sz w:val="20"/>
          <w:szCs w:val="20"/>
          <w:color w:val="auto"/>
        </w:rPr>
      </w:pPr>
    </w:p>
    <w:p>
      <w:pPr>
        <w:spacing w:after="0"/>
        <w:rPr>
          <w:sz w:val="20"/>
          <w:szCs w:val="20"/>
          <w:color w:val="auto"/>
        </w:rPr>
      </w:pPr>
      <w:r>
        <w:rPr>
          <w:rFonts w:ascii="Arial" w:cs="Arial" w:eastAsia="Arial" w:hAnsi="Arial"/>
          <w:sz w:val="32"/>
          <w:szCs w:val="32"/>
          <w:color w:val="0D0E10"/>
        </w:rPr>
        <w:t>Delinquent Section 16(a) Reports</w:t>
      </w:r>
    </w:p>
    <w:p>
      <w:pPr>
        <w:spacing w:after="0" w:line="195" w:lineRule="exact"/>
        <w:rPr>
          <w:sz w:val="20"/>
          <w:szCs w:val="20"/>
          <w:color w:val="auto"/>
        </w:rPr>
      </w:pPr>
    </w:p>
    <w:p>
      <w:pPr>
        <w:ind w:right="280"/>
        <w:spacing w:after="0" w:line="308" w:lineRule="auto"/>
        <w:rPr>
          <w:sz w:val="20"/>
          <w:szCs w:val="20"/>
          <w:color w:val="auto"/>
        </w:rPr>
      </w:pPr>
      <w:r>
        <w:rPr>
          <w:rFonts w:ascii="Arial" w:cs="Arial" w:eastAsia="Arial" w:hAnsi="Arial"/>
          <w:sz w:val="18"/>
          <w:szCs w:val="18"/>
          <w:color w:val="0D0E10"/>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21" w:lineRule="exact"/>
        <w:rPr>
          <w:sz w:val="20"/>
          <w:szCs w:val="20"/>
          <w:color w:val="auto"/>
        </w:rPr>
      </w:pPr>
    </w:p>
    <w:p>
      <w:pPr>
        <w:ind w:right="140"/>
        <w:spacing w:after="0" w:line="298" w:lineRule="auto"/>
        <w:rPr>
          <w:sz w:val="20"/>
          <w:szCs w:val="20"/>
          <w:color w:val="auto"/>
        </w:rPr>
      </w:pPr>
      <w:r>
        <w:rPr>
          <w:rFonts w:ascii="Arial" w:cs="Arial" w:eastAsia="Arial" w:hAnsi="Arial"/>
          <w:sz w:val="18"/>
          <w:szCs w:val="18"/>
          <w:color w:val="0D0E10"/>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year ended January 31, 2024, all Section 16(a) filing requirements were satisfied on a timely basis; except that (a) one report, covering a gift transaction, was filed late on behalf of Mr. Moskovitz and (b) one report, covering the same gift transaction, was filed late on behalf of Mr. Rosenstein.</w:t>
      </w:r>
    </w:p>
    <w:p>
      <w:pPr>
        <w:spacing w:after="0" w:line="110" w:lineRule="exact"/>
        <w:rPr>
          <w:sz w:val="20"/>
          <w:szCs w:val="20"/>
          <w:color w:val="auto"/>
        </w:rPr>
      </w:pPr>
    </w:p>
    <w:p>
      <w:pPr>
        <w:spacing w:after="0"/>
        <w:rPr>
          <w:sz w:val="20"/>
          <w:szCs w:val="20"/>
          <w:color w:val="auto"/>
        </w:rPr>
      </w:pPr>
      <w:r>
        <w:rPr>
          <w:rFonts w:ascii="Arial" w:cs="Arial" w:eastAsia="Arial" w:hAnsi="Arial"/>
          <w:sz w:val="32"/>
          <w:szCs w:val="32"/>
          <w:color w:val="0D0E10"/>
        </w:rPr>
        <w:t>Fiscal Year 2024 Annual Report and SEC Filings</w:t>
      </w:r>
    </w:p>
    <w:p>
      <w:pPr>
        <w:spacing w:after="0" w:line="195"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0D0E10"/>
        </w:rPr>
        <w:t>Our financial statements for our fiscal year ended January 31, 2024 are included in our Annual Report on Form 10-K, which we will make available to stockholders at the same time as this proxy statement. This proxy statement and our annual report are posted on our website at investors.asana.com and are available from the SEC at its website at www.sec.gov.</w:t>
      </w:r>
    </w:p>
    <w:p>
      <w:pPr>
        <w:spacing w:after="0" w:line="108" w:lineRule="exact"/>
        <w:rPr>
          <w:sz w:val="20"/>
          <w:szCs w:val="20"/>
          <w:color w:val="auto"/>
        </w:rPr>
      </w:pPr>
    </w:p>
    <w:p>
      <w:pPr>
        <w:ind w:right="80"/>
        <w:spacing w:after="0" w:line="315" w:lineRule="auto"/>
        <w:rPr>
          <w:sz w:val="20"/>
          <w:szCs w:val="20"/>
          <w:color w:val="auto"/>
        </w:rPr>
      </w:pPr>
      <w:r>
        <w:rPr>
          <w:rFonts w:ascii="Arial" w:cs="Arial" w:eastAsia="Arial" w:hAnsi="Arial"/>
          <w:sz w:val="18"/>
          <w:szCs w:val="18"/>
          <w:color w:val="0D0E10"/>
        </w:rPr>
        <w:t>A copy of our Annual Report to the Securities and Exchange Commission on Form 10-K for the fiscal year ended January 31, 2024 is available without charge upon written request to Asana, Inc., Attention: Investor Relations, 633 Folsom Street, Suite 100, San Francisco, CA 94107 or via email to ir@asana.com.</w:t>
      </w:r>
    </w:p>
    <w:p>
      <w:pPr>
        <w:spacing w:after="0" w:line="103" w:lineRule="exact"/>
        <w:rPr>
          <w:sz w:val="20"/>
          <w:szCs w:val="20"/>
          <w:color w:val="auto"/>
        </w:rPr>
      </w:pPr>
    </w:p>
    <w:p>
      <w:pPr>
        <w:ind w:right="60"/>
        <w:spacing w:after="0" w:line="315" w:lineRule="auto"/>
        <w:rPr>
          <w:sz w:val="20"/>
          <w:szCs w:val="20"/>
          <w:color w:val="auto"/>
        </w:rPr>
      </w:pPr>
      <w:r>
        <w:rPr>
          <w:rFonts w:ascii="Arial" w:cs="Arial" w:eastAsia="Arial" w:hAnsi="Arial"/>
          <w:sz w:val="18"/>
          <w:szCs w:val="18"/>
          <w:color w:val="0D0E10"/>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03" w:lineRule="exact"/>
        <w:rPr>
          <w:sz w:val="20"/>
          <w:szCs w:val="20"/>
          <w:color w:val="auto"/>
        </w:rPr>
      </w:pPr>
    </w:p>
    <w:p>
      <w:pPr>
        <w:spacing w:after="0" w:line="315" w:lineRule="auto"/>
        <w:rPr>
          <w:sz w:val="20"/>
          <w:szCs w:val="20"/>
          <w:color w:val="auto"/>
        </w:rPr>
      </w:pPr>
      <w:r>
        <w:rPr>
          <w:rFonts w:ascii="Arial" w:cs="Arial" w:eastAsia="Arial" w:hAnsi="Arial"/>
          <w:sz w:val="18"/>
          <w:szCs w:val="18"/>
          <w:color w:val="0D0E10"/>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0D0E10"/>
        </w:rPr>
        <w:t>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D0E10"/>
        </w:rPr>
        <w:t>San Francisco,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0D0E10"/>
        </w:rPr>
        <w:t>May 3,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500" w:val="left"/>
          <w:tab w:leader="none" w:pos="10800" w:val="left"/>
        </w:tabs>
        <w:rPr>
          <w:sz w:val="20"/>
          <w:szCs w:val="20"/>
          <w:color w:val="auto"/>
        </w:rPr>
      </w:pPr>
      <w:r>
        <w:rPr>
          <w:rFonts w:ascii="Arial" w:cs="Arial" w:eastAsia="Arial" w:hAnsi="Arial"/>
          <w:sz w:val="14"/>
          <w:szCs w:val="14"/>
          <w:color w:val="0D0E10"/>
        </w:rPr>
        <w:t>2024 Proxy Statement</w:t>
      </w:r>
      <w:r>
        <w:rPr>
          <w:sz w:val="20"/>
          <w:szCs w:val="20"/>
          <w:color w:val="auto"/>
        </w:rPr>
        <w:tab/>
      </w:r>
      <w:r>
        <w:rPr>
          <w:rFonts w:ascii="Arial" w:cs="Arial" w:eastAsia="Arial" w:hAnsi="Arial"/>
          <w:sz w:val="16"/>
          <w:szCs w:val="16"/>
          <w:b w:val="1"/>
          <w:bCs w:val="1"/>
          <w:color w:val="F06A6A"/>
        </w:rPr>
        <w:t>71</w:t>
      </w:r>
      <w:r>
        <w:rPr>
          <w:sz w:val="20"/>
          <w:szCs w:val="20"/>
          <w:color w:val="auto"/>
        </w:rPr>
        <w:tab/>
      </w:r>
      <w:r>
        <w:rPr>
          <w:rFonts w:ascii="Arial" w:cs="Arial" w:eastAsia="Arial" w:hAnsi="Arial"/>
          <w:sz w:val="14"/>
          <w:szCs w:val="14"/>
          <w:color w:val="0D0E10"/>
        </w:rPr>
        <w:t>Asana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3" w:right="35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x"/>
      <w:numFmt w:val="bullet"/>
      <w:start w:val="1"/>
    </w:lvl>
  </w:abstractNum>
  <w:abstractNum w:abstractNumId="2">
    <w:nsid w:val="1E7FF521"/>
    <w:multiLevelType w:val="hybridMultilevel"/>
    <w:lvl w:ilvl="0">
      <w:lvlJc w:val="left"/>
      <w:lvlText w:val="o"/>
      <w:numFmt w:val="bullet"/>
      <w:start w:val="1"/>
    </w:lvl>
  </w:abstractNum>
  <w:abstractNum w:abstractNumId="3">
    <w:nsid w:val="7C3DBD3D"/>
    <w:multiLevelType w:val="hybridMultilevel"/>
    <w:lvl w:ilvl="0">
      <w:lvlJc w:val="left"/>
      <w:lvlText w:val="1"/>
      <w:numFmt w:val="bullet"/>
      <w:start w:val="1"/>
    </w:lvl>
  </w:abstractNum>
  <w:abstractNum w:abstractNumId="4">
    <w:nsid w:val="737B8DDC"/>
    <w:multiLevelType w:val="hybridMultilevel"/>
    <w:lvl w:ilvl="0">
      <w:lvlJc w:val="left"/>
      <w:lvlText w:val="2"/>
      <w:numFmt w:val="bullet"/>
      <w:start w:val="1"/>
    </w:lvl>
  </w:abstractNum>
  <w:abstractNum w:abstractNumId="5">
    <w:nsid w:val="6CEAF087"/>
    <w:multiLevelType w:val="hybridMultilevel"/>
    <w:lvl w:ilvl="0">
      <w:lvlJc w:val="left"/>
      <w:lvlText w:val="3"/>
      <w:numFmt w:val="bullet"/>
      <w:start w:val="1"/>
    </w:lvl>
  </w:abstractNum>
  <w:abstractNum w:abstractNumId="6">
    <w:nsid w:val="22221A70"/>
    <w:multiLevelType w:val="hybridMultilevel"/>
    <w:lvl w:ilvl="0">
      <w:lvlJc w:val="left"/>
      <w:lvlText w:val="4"/>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lowerRoman"/>
      <w:start w:val="2"/>
    </w:lvl>
    <w:lvl w:ilvl="1">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8"/>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2"/>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2"/>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3"/>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2024-05-03T15:27:30Z</dcterms:created>
  <dcterms:modified xsi:type="dcterms:W3CDTF">2024-05-03T15:27:30Z</dcterms:modified>
</cp:coreProperties>
</file>