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420" w:right="40"/>
        <w:spacing w:after="0" w:line="233" w:lineRule="auto"/>
        <w:rPr>
          <w:sz w:val="20"/>
          <w:szCs w:val="20"/>
          <w:color w:val="auto"/>
        </w:rPr>
      </w:pPr>
      <w:r>
        <w:rPr>
          <w:rFonts w:ascii="Arial" w:cs="Arial" w:eastAsia="Arial" w:hAnsi="Arial"/>
          <w:sz w:val="14"/>
          <w:szCs w:val="14"/>
          <w:b w:val="1"/>
          <w:bCs w:val="1"/>
          <w:color w:val="auto"/>
        </w:rPr>
        <w:t>Confidential draft No. 3 as confidentially submitted to the Securities Exchange Commission on April 20, 2020. This draft registration statement has not been filed publicly with the Securities and Exchange Commission and all information herein remains strictly confidential.</w:t>
      </w:r>
    </w:p>
    <w:p>
      <w:pPr>
        <w:ind w:left="91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S-1</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ASANA, INC.</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Delaware</w:t>
            </w:r>
          </w:p>
        </w:tc>
        <w:tc>
          <w:tcPr>
            <w:tcW w:w="38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7372</w:t>
            </w:r>
          </w:p>
        </w:tc>
        <w:tc>
          <w:tcPr>
            <w:tcW w:w="218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26-3912448</w:t>
            </w:r>
          </w:p>
        </w:tc>
      </w:tr>
      <w:tr>
        <w:trPr>
          <w:trHeight w:val="148"/>
        </w:trPr>
        <w:tc>
          <w:tcPr>
            <w:tcW w:w="284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180" w:type="dxa"/>
            <w:vAlign w:val="bottom"/>
          </w:tcPr>
          <w:p>
            <w:pPr>
              <w:jc w:val="center"/>
              <w:ind w:left="10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code number)</w:t>
            </w:r>
          </w:p>
        </w:tc>
        <w:tc>
          <w:tcPr>
            <w:tcW w:w="2180" w:type="dxa"/>
            <w:vAlign w:val="bottom"/>
          </w:tcPr>
          <w:p>
            <w:pPr>
              <w:jc w:val="center"/>
              <w:ind w:left="100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1550 Bryant Street, Suite 200</w:t>
      </w:r>
    </w:p>
    <w:p>
      <w:pPr>
        <w:jc w:val="center"/>
        <w:ind w:right="-99"/>
        <w:spacing w:after="0" w:line="226" w:lineRule="auto"/>
        <w:rPr>
          <w:sz w:val="20"/>
          <w:szCs w:val="20"/>
          <w:color w:val="auto"/>
        </w:rPr>
      </w:pPr>
      <w:r>
        <w:rPr>
          <w:rFonts w:ascii="Arial" w:cs="Arial" w:eastAsia="Arial" w:hAnsi="Arial"/>
          <w:sz w:val="14"/>
          <w:szCs w:val="14"/>
          <w:b w:val="1"/>
          <w:bCs w:val="1"/>
          <w:color w:val="auto"/>
        </w:rPr>
        <w:t>San Francisco, CA 94103</w:t>
      </w:r>
    </w:p>
    <w:p>
      <w:pPr>
        <w:jc w:val="center"/>
        <w:ind w:right="-99"/>
        <w:spacing w:after="0" w:line="221" w:lineRule="auto"/>
        <w:rPr>
          <w:sz w:val="20"/>
          <w:szCs w:val="20"/>
          <w:color w:val="auto"/>
        </w:rPr>
      </w:pPr>
      <w:r>
        <w:rPr>
          <w:rFonts w:ascii="Arial" w:cs="Arial" w:eastAsia="Arial" w:hAnsi="Arial"/>
          <w:sz w:val="14"/>
          <w:szCs w:val="14"/>
          <w:b w:val="1"/>
          <w:bCs w:val="1"/>
          <w:color w:val="auto"/>
        </w:rPr>
        <w:t>(415) 525-3888</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Dustin Moskovitz</w:t>
      </w:r>
    </w:p>
    <w:p>
      <w:pPr>
        <w:jc w:val="center"/>
        <w:ind w:right="-99"/>
        <w:spacing w:after="0" w:line="226" w:lineRule="auto"/>
        <w:rPr>
          <w:sz w:val="20"/>
          <w:szCs w:val="20"/>
          <w:color w:val="auto"/>
        </w:rPr>
      </w:pPr>
      <w:r>
        <w:rPr>
          <w:rFonts w:ascii="Arial" w:cs="Arial" w:eastAsia="Arial" w:hAnsi="Arial"/>
          <w:sz w:val="14"/>
          <w:szCs w:val="14"/>
          <w:b w:val="1"/>
          <w:bCs w:val="1"/>
          <w:color w:val="auto"/>
        </w:rPr>
        <w:t>President, Chief Executive Officer, and Chair</w:t>
      </w:r>
    </w:p>
    <w:p>
      <w:pPr>
        <w:jc w:val="center"/>
        <w:ind w:right="-99"/>
        <w:spacing w:after="0" w:line="221" w:lineRule="auto"/>
        <w:rPr>
          <w:sz w:val="20"/>
          <w:szCs w:val="20"/>
          <w:color w:val="auto"/>
        </w:rPr>
      </w:pPr>
      <w:r>
        <w:rPr>
          <w:rFonts w:ascii="Arial" w:cs="Arial" w:eastAsia="Arial" w:hAnsi="Arial"/>
          <w:sz w:val="14"/>
          <w:szCs w:val="14"/>
          <w:b w:val="1"/>
          <w:bCs w:val="1"/>
          <w:color w:val="auto"/>
        </w:rPr>
        <w:t>Asana, Inc.</w:t>
      </w:r>
    </w:p>
    <w:p>
      <w:pPr>
        <w:jc w:val="center"/>
        <w:ind w:right="-99"/>
        <w:spacing w:after="0" w:line="222" w:lineRule="auto"/>
        <w:rPr>
          <w:sz w:val="20"/>
          <w:szCs w:val="20"/>
          <w:color w:val="auto"/>
        </w:rPr>
      </w:pPr>
      <w:r>
        <w:rPr>
          <w:rFonts w:ascii="Arial" w:cs="Arial" w:eastAsia="Arial" w:hAnsi="Arial"/>
          <w:sz w:val="14"/>
          <w:szCs w:val="14"/>
          <w:b w:val="1"/>
          <w:bCs w:val="1"/>
          <w:color w:val="auto"/>
        </w:rPr>
        <w:t>1550 Bryant Street, Suite 200</w:t>
      </w:r>
    </w:p>
    <w:p>
      <w:pPr>
        <w:jc w:val="center"/>
        <w:ind w:right="-99"/>
        <w:spacing w:after="0" w:line="221" w:lineRule="auto"/>
        <w:rPr>
          <w:sz w:val="20"/>
          <w:szCs w:val="20"/>
          <w:color w:val="auto"/>
        </w:rPr>
      </w:pPr>
      <w:r>
        <w:rPr>
          <w:rFonts w:ascii="Arial" w:cs="Arial" w:eastAsia="Arial" w:hAnsi="Arial"/>
          <w:sz w:val="14"/>
          <w:szCs w:val="14"/>
          <w:b w:val="1"/>
          <w:bCs w:val="1"/>
          <w:color w:val="auto"/>
        </w:rPr>
        <w:t>San Francisco, CA 94103</w:t>
      </w:r>
    </w:p>
    <w:p>
      <w:pPr>
        <w:jc w:val="center"/>
        <w:ind w:right="-99"/>
        <w:spacing w:after="0" w:line="222" w:lineRule="auto"/>
        <w:rPr>
          <w:sz w:val="20"/>
          <w:szCs w:val="20"/>
          <w:color w:val="auto"/>
        </w:rPr>
      </w:pPr>
      <w:r>
        <w:rPr>
          <w:rFonts w:ascii="Arial" w:cs="Arial" w:eastAsia="Arial" w:hAnsi="Arial"/>
          <w:sz w:val="14"/>
          <w:szCs w:val="14"/>
          <w:b w:val="1"/>
          <w:bCs w:val="1"/>
          <w:color w:val="auto"/>
        </w:rPr>
        <w:t>(415) 525-3888</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tbl>
      <w:tblPr>
        <w:tblLayout w:type="fixed"/>
        <w:tblInd w:w="134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3820" w:type="dxa"/>
            <w:vAlign w:val="bottom"/>
          </w:tcPr>
          <w:p>
            <w:pPr>
              <w:ind w:left="1680"/>
              <w:spacing w:after="0"/>
              <w:rPr>
                <w:sz w:val="20"/>
                <w:szCs w:val="20"/>
                <w:color w:val="auto"/>
              </w:rPr>
            </w:pPr>
            <w:r>
              <w:rPr>
                <w:rFonts w:ascii="Arial" w:cs="Arial" w:eastAsia="Arial" w:hAnsi="Arial"/>
                <w:sz w:val="14"/>
                <w:szCs w:val="14"/>
                <w:b w:val="1"/>
                <w:bCs w:val="1"/>
                <w:i w:val="1"/>
                <w:iCs w:val="1"/>
                <w:color w:val="auto"/>
              </w:rPr>
              <w:t>Copies to:</w:t>
            </w:r>
          </w:p>
        </w:tc>
        <w:tc>
          <w:tcPr>
            <w:tcW w:w="3200" w:type="dxa"/>
            <w:vAlign w:val="bottom"/>
          </w:tcPr>
          <w:p>
            <w:pPr>
              <w:spacing w:after="0"/>
              <w:rPr>
                <w:sz w:val="15"/>
                <w:szCs w:val="15"/>
                <w:color w:val="auto"/>
              </w:rPr>
            </w:pPr>
          </w:p>
        </w:tc>
      </w:tr>
      <w:tr>
        <w:trPr>
          <w:trHeight w:val="151"/>
        </w:trPr>
        <w:tc>
          <w:tcPr>
            <w:tcW w:w="2300" w:type="dxa"/>
            <w:vAlign w:val="bottom"/>
          </w:tcPr>
          <w:p>
            <w:pPr>
              <w:jc w:val="center"/>
              <w:ind w:right="928"/>
              <w:spacing w:after="0" w:line="151" w:lineRule="exact"/>
              <w:rPr>
                <w:sz w:val="20"/>
                <w:szCs w:val="20"/>
                <w:color w:val="auto"/>
              </w:rPr>
            </w:pPr>
            <w:r>
              <w:rPr>
                <w:rFonts w:ascii="Arial" w:cs="Arial" w:eastAsia="Arial" w:hAnsi="Arial"/>
                <w:sz w:val="14"/>
                <w:szCs w:val="14"/>
                <w:b w:val="1"/>
                <w:bCs w:val="1"/>
                <w:color w:val="auto"/>
                <w:w w:val="91"/>
              </w:rPr>
              <w:t>David J. Segre, Esq.</w:t>
            </w:r>
          </w:p>
        </w:tc>
        <w:tc>
          <w:tcPr>
            <w:tcW w:w="3820" w:type="dxa"/>
            <w:vAlign w:val="bottom"/>
          </w:tcPr>
          <w:p>
            <w:pPr>
              <w:jc w:val="center"/>
              <w:ind w:left="308"/>
              <w:spacing w:after="0" w:line="151" w:lineRule="exact"/>
              <w:rPr>
                <w:sz w:val="20"/>
                <w:szCs w:val="20"/>
                <w:color w:val="auto"/>
              </w:rPr>
            </w:pPr>
            <w:r>
              <w:rPr>
                <w:rFonts w:ascii="Arial" w:cs="Arial" w:eastAsia="Arial" w:hAnsi="Arial"/>
                <w:sz w:val="14"/>
                <w:szCs w:val="14"/>
                <w:b w:val="1"/>
                <w:bCs w:val="1"/>
                <w:color w:val="auto"/>
                <w:w w:val="90"/>
              </w:rPr>
              <w:t>Stephen J. Venuto, Esq.</w:t>
            </w:r>
          </w:p>
        </w:tc>
        <w:tc>
          <w:tcPr>
            <w:tcW w:w="3200" w:type="dxa"/>
            <w:vAlign w:val="bottom"/>
          </w:tcPr>
          <w:p>
            <w:pPr>
              <w:jc w:val="center"/>
              <w:ind w:left="548"/>
              <w:spacing w:after="0" w:line="151" w:lineRule="exact"/>
              <w:rPr>
                <w:sz w:val="20"/>
                <w:szCs w:val="20"/>
                <w:color w:val="auto"/>
              </w:rPr>
            </w:pPr>
            <w:r>
              <w:rPr>
                <w:rFonts w:ascii="Arial" w:cs="Arial" w:eastAsia="Arial" w:hAnsi="Arial"/>
                <w:sz w:val="14"/>
                <w:szCs w:val="14"/>
                <w:b w:val="1"/>
                <w:bCs w:val="1"/>
                <w:color w:val="auto"/>
                <w:w w:val="92"/>
              </w:rPr>
              <w:t>Eleanor Lacey, Esq.,</w:t>
            </w:r>
          </w:p>
        </w:tc>
      </w:tr>
      <w:tr>
        <w:trPr>
          <w:trHeight w:val="148"/>
        </w:trPr>
        <w:tc>
          <w:tcPr>
            <w:tcW w:w="23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Jon C. Avina, Esq.</w:t>
            </w:r>
          </w:p>
        </w:tc>
        <w:tc>
          <w:tcPr>
            <w:tcW w:w="38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4"/>
              </w:rPr>
              <w:t>William L. Hughes, Esq.</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General Counsel and Corporate Secretary</w:t>
            </w:r>
          </w:p>
        </w:tc>
      </w:tr>
      <w:tr>
        <w:trPr>
          <w:trHeight w:val="148"/>
        </w:trPr>
        <w:tc>
          <w:tcPr>
            <w:tcW w:w="23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0"/>
              </w:rPr>
              <w:t>Calise Y. Cheng, Esq.</w:t>
            </w:r>
          </w:p>
        </w:tc>
        <w:tc>
          <w:tcPr>
            <w:tcW w:w="38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Niki Fang, Esq.</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4"/>
              </w:rPr>
              <w:t>Asana, Inc.</w:t>
            </w:r>
          </w:p>
        </w:tc>
      </w:tr>
      <w:tr>
        <w:trPr>
          <w:trHeight w:val="149"/>
        </w:trPr>
        <w:tc>
          <w:tcPr>
            <w:tcW w:w="23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8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8"/>
              </w:rPr>
              <w:t>Orrick, Herrington &amp; Sutcliffe LLP</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1550 Bryant Street, Suite 200</w:t>
            </w:r>
          </w:p>
        </w:tc>
      </w:tr>
      <w:tr>
        <w:trPr>
          <w:trHeight w:val="148"/>
        </w:trPr>
        <w:tc>
          <w:tcPr>
            <w:tcW w:w="23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8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1000 Marsh Road</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San Francisco, CA 94103</w:t>
            </w:r>
          </w:p>
        </w:tc>
      </w:tr>
      <w:tr>
        <w:trPr>
          <w:trHeight w:val="148"/>
        </w:trPr>
        <w:tc>
          <w:tcPr>
            <w:tcW w:w="23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4"/>
              </w:rPr>
              <w:t>Palo Alto, CA 94304</w:t>
            </w:r>
          </w:p>
        </w:tc>
        <w:tc>
          <w:tcPr>
            <w:tcW w:w="38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6"/>
              </w:rPr>
              <w:t>Menlo Park, CA 94025</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3"/>
              </w:rPr>
              <w:t>(415) 525-3888</w:t>
            </w:r>
          </w:p>
        </w:tc>
      </w:tr>
      <w:tr>
        <w:trPr>
          <w:trHeight w:val="186"/>
        </w:trPr>
        <w:tc>
          <w:tcPr>
            <w:tcW w:w="2300" w:type="dxa"/>
            <w:vAlign w:val="bottom"/>
          </w:tcPr>
          <w:p>
            <w:pPr>
              <w:jc w:val="center"/>
              <w:ind w:right="928"/>
              <w:spacing w:after="0"/>
              <w:rPr>
                <w:sz w:val="20"/>
                <w:szCs w:val="20"/>
                <w:color w:val="auto"/>
              </w:rPr>
            </w:pPr>
            <w:r>
              <w:rPr>
                <w:rFonts w:ascii="Arial" w:cs="Arial" w:eastAsia="Arial" w:hAnsi="Arial"/>
                <w:sz w:val="14"/>
                <w:szCs w:val="14"/>
                <w:b w:val="1"/>
                <w:bCs w:val="1"/>
                <w:color w:val="auto"/>
                <w:w w:val="93"/>
              </w:rPr>
              <w:t>(650) 843-5000</w:t>
            </w:r>
          </w:p>
        </w:tc>
        <w:tc>
          <w:tcPr>
            <w:tcW w:w="382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(650) 614-7400</w:t>
            </w:r>
          </w:p>
        </w:tc>
        <w:tc>
          <w:tcPr>
            <w:tcW w:w="3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74"/>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620" w:firstLine="440"/>
        <w:spacing w:after="0" w:line="174" w:lineRule="exact"/>
        <w:rPr>
          <w:sz w:val="20"/>
          <w:szCs w:val="20"/>
          <w:color w:val="auto"/>
        </w:rPr>
      </w:pPr>
      <w:r>
        <w:rPr>
          <w:rFonts w:ascii="Arial" w:cs="Arial" w:eastAsia="Arial" w:hAnsi="Arial"/>
          <w:sz w:val="14"/>
          <w:szCs w:val="14"/>
          <w:color w:val="auto"/>
        </w:rPr>
        <w:t xml:space="preserve">If an emerging growth company, indicate by checkmark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530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3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 Maximum</w:t>
            </w:r>
          </w:p>
        </w:tc>
        <w:tc>
          <w:tcPr>
            <w:tcW w:w="166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 Maximum</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300" w:type="dxa"/>
            <w:vAlign w:val="bottom"/>
            <w:tcBorders>
              <w:right w:val="single" w:sz="8" w:color="auto"/>
            </w:tcBorders>
            <w:vMerge w:val="restart"/>
          </w:tcPr>
          <w:p>
            <w:pPr>
              <w:ind w:left="1560"/>
              <w:spacing w:after="0"/>
              <w:rPr>
                <w:sz w:val="20"/>
                <w:szCs w:val="20"/>
                <w:color w:val="auto"/>
              </w:rPr>
            </w:pPr>
            <w:r>
              <w:rPr>
                <w:rFonts w:ascii="Arial" w:cs="Arial" w:eastAsia="Arial" w:hAnsi="Arial"/>
                <w:sz w:val="14"/>
                <w:szCs w:val="14"/>
                <w:b w:val="1"/>
                <w:bCs w:val="1"/>
                <w:color w:val="auto"/>
              </w:rPr>
              <w:t>Title of Securities To Be Registered</w:t>
            </w:r>
          </w:p>
        </w:tc>
        <w:tc>
          <w:tcPr>
            <w:tcW w:w="108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660" w:type="dxa"/>
            <w:vAlign w:val="bottom"/>
            <w:tcBorders>
              <w:right w:val="single" w:sz="8" w:color="auto"/>
            </w:tcBorders>
          </w:tcPr>
          <w:p>
            <w:pPr>
              <w:jc w:val="center"/>
              <w:ind w:left="31"/>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60" w:type="dxa"/>
            <w:vAlign w:val="bottom"/>
            <w:tcBorders>
              <w:right w:val="single" w:sz="8" w:color="auto"/>
            </w:tcBorders>
          </w:tcPr>
          <w:p>
            <w:pPr>
              <w:jc w:val="center"/>
              <w:ind w:left="31"/>
              <w:spacing w:after="0" w:line="158" w:lineRule="exact"/>
              <w:rPr>
                <w:sz w:val="20"/>
                <w:szCs w:val="20"/>
                <w:color w:val="auto"/>
              </w:rPr>
            </w:pPr>
            <w:r>
              <w:rPr>
                <w:rFonts w:ascii="Arial" w:cs="Arial" w:eastAsia="Arial" w:hAnsi="Arial"/>
                <w:sz w:val="14"/>
                <w:szCs w:val="14"/>
                <w:b w:val="1"/>
                <w:bCs w:val="1"/>
                <w:color w:val="auto"/>
                <w:w w:val="92"/>
              </w:rPr>
              <w:t>Aggregate</w:t>
            </w:r>
          </w:p>
        </w:tc>
        <w:tc>
          <w:tcPr>
            <w:tcW w:w="132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5300" w:type="dxa"/>
            <w:vAlign w:val="bottom"/>
            <w:tcBorders>
              <w:bottom w:val="single" w:sz="8" w:color="auto"/>
              <w:right w:val="single" w:sz="8" w:color="auto"/>
            </w:tcBorders>
            <w:vMerge w:val="continue"/>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6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1"/>
              </w:rPr>
              <w:t>Per Share</w:t>
            </w:r>
          </w:p>
        </w:tc>
        <w:tc>
          <w:tcPr>
            <w:tcW w:w="166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6"/>
              </w:rPr>
              <w:t>Offering Price</w:t>
            </w:r>
            <w:r>
              <w:rPr>
                <w:rFonts w:ascii="Arial" w:cs="Arial" w:eastAsia="Arial" w:hAnsi="Arial"/>
                <w:sz w:val="12"/>
                <w:szCs w:val="12"/>
                <w:b w:val="1"/>
                <w:bCs w:val="1"/>
                <w:color w:val="auto"/>
                <w:w w:val="96"/>
              </w:rPr>
              <w:t>(1)</w:t>
            </w:r>
          </w:p>
        </w:tc>
        <w:tc>
          <w:tcPr>
            <w:tcW w:w="13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$0.00001 per share</w:t>
            </w:r>
          </w:p>
        </w:tc>
        <w:tc>
          <w:tcPr>
            <w:tcW w:w="108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jc w:val="center"/>
              <w:ind w:left="31"/>
              <w:spacing w:after="0" w:line="142" w:lineRule="exact"/>
              <w:rPr>
                <w:sz w:val="20"/>
                <w:szCs w:val="20"/>
                <w:color w:val="auto"/>
              </w:rPr>
            </w:pPr>
            <w:r>
              <w:rPr>
                <w:rFonts w:ascii="Arial" w:cs="Arial" w:eastAsia="Arial" w:hAnsi="Arial"/>
                <w:sz w:val="14"/>
                <w:szCs w:val="14"/>
                <w:color w:val="auto"/>
                <w:w w:val="94"/>
              </w:rPr>
              <w:t>Not applicable</w:t>
            </w:r>
          </w:p>
        </w:tc>
        <w:tc>
          <w:tcPr>
            <w:tcW w:w="1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40" w:hanging="424"/>
        <w:spacing w:after="0" w:line="253"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pursuant to Rule 457(a) of the Securities Act of 1933, as amended. Given that there is no proposed maximum offering price per share of Class A common stock, the registrant calculates the proposed maximum aggregate offering price, by analogy to Rule 457(f)(2), based on the book value of the Class A common stock the registrant registers, which will be calculated from its unaudited pro forma balance sheet as of January 31, 2020. Given that the registrant’s shares of Class A common stock are not traded on an exchange or over-the-counter, the registrant did not use the market prices of its Class A common stock in accordance with Rule 457(c).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88265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7" w:lineRule="exact"/>
        <w:rPr>
          <w:sz w:val="24"/>
          <w:szCs w:val="24"/>
          <w:color w:val="auto"/>
        </w:rPr>
      </w:pPr>
    </w:p>
    <w:p>
      <w:pPr>
        <w:ind w:left="120" w:right="42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4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DE1A1E"/>
        </w:rPr>
        <w:t>PROSPECTUS (Subject to Completion)</w:t>
      </w:r>
    </w:p>
    <w:p>
      <w:pPr>
        <w:spacing w:after="0" w:line="23"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i w:val="1"/>
          <w:iCs w:val="1"/>
          <w:color w:val="DE1A1E"/>
        </w:rPr>
        <w:t>Issued</w:t>
      </w:r>
      <w:r>
        <w:rPr>
          <w:sz w:val="20"/>
          <w:szCs w:val="20"/>
          <w:color w:val="auto"/>
        </w:rPr>
        <w:tab/>
      </w:r>
      <w:r>
        <w:rPr>
          <w:rFonts w:ascii="Arial" w:cs="Arial" w:eastAsia="Arial" w:hAnsi="Arial"/>
          <w:sz w:val="18"/>
          <w:szCs w:val="18"/>
          <w:i w:val="1"/>
          <w:iCs w:val="1"/>
          <w:color w:val="DE1A1E"/>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57150</wp:posOffset>
            </wp:positionV>
            <wp:extent cx="275145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14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Arial" w:cs="Arial" w:eastAsia="Arial" w:hAnsi="Arial"/>
          <w:sz w:val="22"/>
          <w:szCs w:val="22"/>
          <w:i w:val="1"/>
          <w:i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0"/>
          <w:szCs w:val="20"/>
          <w:color w:val="auto"/>
        </w:rPr>
      </w:pPr>
    </w:p>
    <w:p>
      <w:pPr>
        <w:ind w:left="120" w:right="60"/>
        <w:spacing w:after="0" w:line="307" w:lineRule="auto"/>
        <w:rPr>
          <w:sz w:val="20"/>
          <w:szCs w:val="20"/>
          <w:color w:val="auto"/>
        </w:rPr>
      </w:pPr>
      <w:r>
        <w:rPr>
          <w:rFonts w:ascii="Arial" w:cs="Arial" w:eastAsia="Arial" w:hAnsi="Arial"/>
          <w:sz w:val="15"/>
          <w:szCs w:val="15"/>
          <w:b w:val="1"/>
          <w:bCs w:val="1"/>
          <w:i w:val="1"/>
          <w:iCs w:val="1"/>
          <w:color w:val="auto"/>
        </w:rPr>
        <w:t>This prospectus relates to the registration of the resale of up to shares of our Class A common stock by our stockholders identified in this prospectus, or the Registered Stockholders. Unlike an initial public offering, the resale by the Registered Stockholders is not being underwritten by any investment bank. The Registered Stockholders may, or may not, elect to sell their shares of Class A common stock covered by this prospectus, as</w:t>
      </w:r>
    </w:p>
    <w:p>
      <w:pPr>
        <w:ind w:left="120" w:right="160"/>
        <w:spacing w:after="0" w:line="323" w:lineRule="auto"/>
        <w:rPr>
          <w:sz w:val="20"/>
          <w:szCs w:val="20"/>
          <w:color w:val="auto"/>
        </w:rPr>
      </w:pPr>
      <w:r>
        <w:rPr>
          <w:rFonts w:ascii="Arial" w:cs="Arial" w:eastAsia="Arial" w:hAnsi="Arial"/>
          <w:sz w:val="16"/>
          <w:szCs w:val="16"/>
          <w:b w:val="1"/>
          <w:bCs w:val="1"/>
          <w:i w:val="1"/>
          <w:iCs w:val="1"/>
          <w:color w:val="auto"/>
        </w:rPr>
        <w:t>and to the extent they may determine. Such sales, if any, will be made through brokerage transactions on the . See the section titled “Plan of Distribution.” We will not receive any proceeds from the sale of shares of Class A common stock by the Registered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two classes of common stock, Class A common stock and Class B common stock. The rights of holders of Class A common stock and</w:t>
      </w:r>
    </w:p>
    <w:p>
      <w:pPr>
        <w:spacing w:after="0" w:line="46" w:lineRule="exact"/>
        <w:rPr>
          <w:sz w:val="20"/>
          <w:szCs w:val="20"/>
          <w:color w:val="auto"/>
        </w:rPr>
      </w:pPr>
    </w:p>
    <w:p>
      <w:pPr>
        <w:ind w:left="120" w:right="40"/>
        <w:spacing w:after="0" w:line="300" w:lineRule="auto"/>
        <w:rPr>
          <w:sz w:val="20"/>
          <w:szCs w:val="20"/>
          <w:color w:val="auto"/>
        </w:rPr>
      </w:pPr>
      <w:r>
        <w:rPr>
          <w:rFonts w:ascii="Arial" w:cs="Arial" w:eastAsia="Arial" w:hAnsi="Arial"/>
          <w:sz w:val="15"/>
          <w:szCs w:val="15"/>
          <w:b w:val="1"/>
          <w:bCs w:val="1"/>
          <w:i w:val="1"/>
          <w:iCs w:val="1"/>
          <w:color w:val="auto"/>
        </w:rPr>
        <w:t>Class B common stock are identical, except with respect to voting and conversion rights. Each share of Class A common stock is entitled to one vote. Each share of Class B common stock is entitled to 10 votes and is convertible at any time into one share of Class A common stock. As</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of 2020, the holders of our outstanding Class B common stock held approximately % of the voting power of our outstanding capital stock, with our directors and executive officers and their affiliates holding approximately %.</w:t>
      </w:r>
    </w:p>
    <w:p>
      <w:pPr>
        <w:spacing w:after="0" w:line="7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Prior to any sales of shares of Class A common stock, Registered Stockholders who hold Class B common stock must convert their shares of Class B common stock into shares Class A common stock.</w:t>
      </w:r>
    </w:p>
    <w:p>
      <w:pPr>
        <w:spacing w:after="0" w:line="62" w:lineRule="exact"/>
        <w:rPr>
          <w:sz w:val="20"/>
          <w:szCs w:val="20"/>
          <w:color w:val="auto"/>
        </w:rPr>
      </w:pPr>
    </w:p>
    <w:p>
      <w:pPr>
        <w:ind w:left="120" w:right="200"/>
        <w:spacing w:after="0" w:line="310" w:lineRule="auto"/>
        <w:rPr>
          <w:sz w:val="20"/>
          <w:szCs w:val="20"/>
          <w:color w:val="auto"/>
        </w:rPr>
      </w:pPr>
      <w:r>
        <w:rPr>
          <w:rFonts w:ascii="Arial" w:cs="Arial" w:eastAsia="Arial" w:hAnsi="Arial"/>
          <w:sz w:val="15"/>
          <w:szCs w:val="15"/>
          <w:b w:val="1"/>
          <w:bCs w:val="1"/>
          <w:i w:val="1"/>
          <w:iCs w:val="1"/>
          <w:color w:val="auto"/>
        </w:rPr>
        <w:t>No public market for our Class A common stock currently exists, and there is only a limited history of trading in our capital stock in private transactions. Based on information available to us, the low and high sales price per share of our capital stock for such private transactions during</w:t>
      </w:r>
    </w:p>
    <w:p>
      <w:pPr>
        <w:spacing w:after="0" w:line="1"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b w:val="1"/>
          <w:bCs w:val="1"/>
          <w:i w:val="1"/>
          <w:iCs w:val="1"/>
          <w:color w:val="auto"/>
        </w:rPr>
        <w:t>the period from February 1, 2020 through , 2020 was $ and $ , respectively. For more information, see the section titled “Sale Price History of our Capital Stock.” Any recent trading prices in private transactions may have little or no relation to the opening trading</w:t>
      </w:r>
    </w:p>
    <w:p>
      <w:pPr>
        <w:ind w:left="120"/>
        <w:spacing w:after="0"/>
        <w:tabs>
          <w:tab w:leader="none" w:pos="4680" w:val="left"/>
        </w:tabs>
        <w:rPr>
          <w:sz w:val="20"/>
          <w:szCs w:val="20"/>
          <w:color w:val="auto"/>
        </w:rPr>
      </w:pPr>
      <w:r>
        <w:rPr>
          <w:rFonts w:ascii="Arial" w:cs="Arial" w:eastAsia="Arial" w:hAnsi="Arial"/>
          <w:sz w:val="18"/>
          <w:szCs w:val="18"/>
          <w:b w:val="1"/>
          <w:bCs w:val="1"/>
          <w:i w:val="1"/>
          <w:iCs w:val="1"/>
          <w:color w:val="auto"/>
        </w:rPr>
        <w:t>price of our shares of Class A common stock on the</w:t>
      </w:r>
      <w:r>
        <w:rPr>
          <w:sz w:val="20"/>
          <w:szCs w:val="20"/>
          <w:color w:val="auto"/>
        </w:rPr>
        <w:tab/>
      </w:r>
      <w:r>
        <w:rPr>
          <w:rFonts w:ascii="Arial" w:cs="Arial" w:eastAsia="Arial" w:hAnsi="Arial"/>
          <w:sz w:val="15"/>
          <w:szCs w:val="15"/>
          <w:b w:val="1"/>
          <w:bCs w:val="1"/>
          <w:i w:val="1"/>
          <w:iCs w:val="1"/>
          <w:color w:val="auto"/>
        </w:rPr>
        <w:t>or the subsequent trading price of our shares of Class A common stock on</w:t>
      </w:r>
    </w:p>
    <w:p>
      <w:pPr>
        <w:spacing w:after="0" w:line="9" w:lineRule="exact"/>
        <w:rPr>
          <w:sz w:val="20"/>
          <w:szCs w:val="20"/>
          <w:color w:val="auto"/>
        </w:rPr>
      </w:pPr>
    </w:p>
    <w:p>
      <w:pPr>
        <w:ind w:left="120"/>
        <w:spacing w:after="0"/>
        <w:tabs>
          <w:tab w:leader="none" w:pos="1040" w:val="left"/>
          <w:tab w:leader="none" w:pos="6020" w:val="left"/>
        </w:tabs>
        <w:rPr>
          <w:sz w:val="20"/>
          <w:szCs w:val="20"/>
          <w:color w:val="auto"/>
        </w:rPr>
      </w:pPr>
      <w:r>
        <w:rPr>
          <w:rFonts w:ascii="Arial" w:cs="Arial" w:eastAsia="Arial" w:hAnsi="Arial"/>
          <w:sz w:val="18"/>
          <w:szCs w:val="18"/>
          <w:b w:val="1"/>
          <w:bCs w:val="1"/>
          <w:i w:val="1"/>
          <w:iCs w:val="1"/>
          <w:color w:val="auto"/>
        </w:rPr>
        <w:t>the</w:t>
      </w:r>
      <w:r>
        <w:rPr>
          <w:sz w:val="20"/>
          <w:szCs w:val="20"/>
          <w:color w:val="auto"/>
        </w:rPr>
        <w:tab/>
      </w:r>
      <w:r>
        <w:rPr>
          <w:rFonts w:ascii="Arial" w:cs="Arial" w:eastAsia="Arial" w:hAnsi="Arial"/>
          <w:sz w:val="18"/>
          <w:szCs w:val="18"/>
          <w:b w:val="1"/>
          <w:bCs w:val="1"/>
          <w:i w:val="1"/>
          <w:iCs w:val="1"/>
          <w:color w:val="auto"/>
        </w:rPr>
        <w:t>. Further, the listing of our Class A common stock on the</w:t>
      </w:r>
      <w:r>
        <w:rPr>
          <w:sz w:val="20"/>
          <w:szCs w:val="20"/>
          <w:color w:val="auto"/>
        </w:rPr>
        <w:tab/>
      </w:r>
      <w:r>
        <w:rPr>
          <w:rFonts w:ascii="Arial" w:cs="Arial" w:eastAsia="Arial" w:hAnsi="Arial"/>
          <w:sz w:val="15"/>
          <w:szCs w:val="15"/>
          <w:b w:val="1"/>
          <w:bCs w:val="1"/>
          <w:i w:val="1"/>
          <w:iCs w:val="1"/>
          <w:color w:val="auto"/>
        </w:rPr>
        <w:t>without underwriters is a novel method for commencing public</w:t>
      </w:r>
    </w:p>
    <w:p>
      <w:pPr>
        <w:spacing w:after="0" w:line="9"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b w:val="1"/>
          <w:bCs w:val="1"/>
          <w:i w:val="1"/>
          <w:iCs w:val="1"/>
          <w:color w:val="auto"/>
        </w:rPr>
        <w:t>trading in shares of our Class A common stock, and consequently, the trading volume and price of shares of our Class A common stock may be more volatile than if shares of our Class A common stock were initially listed in connection with an underwritten initial public offering.</w:t>
      </w:r>
    </w:p>
    <w:p>
      <w:pPr>
        <w:spacing w:after="0" w:line="3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Based on information provided by the , the opening trading price of our Class A common stock on the will be determined by buy and sell orders collected by the from broker-dealers. Based on such orders, will determine an opening price for our Class A common stock in consultation with a financial advisor pursuant to applicable rules. For more information, see the section titled “Plan of Distribution.”</w:t>
      </w:r>
    </w:p>
    <w:p>
      <w:pPr>
        <w:sectPr>
          <w:pgSz w:w="11900" w:h="16838" w:orient="portrait"/>
          <w:cols w:equalWidth="0" w:num="1">
            <w:col w:w="11120"/>
          </w:cols>
          <w:pgMar w:left="320" w:top="459" w:right="459" w:bottom="1440" w:gutter="0" w:footer="0" w:header="0"/>
        </w:sectPr>
      </w:pPr>
    </w:p>
    <w:p>
      <w:pPr>
        <w:spacing w:after="0" w:line="7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intend to apply to list our Class A common stock on the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under the symbol “</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We expect our Class A common stock to begin</w:t>
      </w:r>
    </w:p>
    <w:p>
      <w:pPr>
        <w:spacing w:after="0" w:line="58" w:lineRule="exact"/>
        <w:rPr>
          <w:sz w:val="20"/>
          <w:szCs w:val="20"/>
          <w:color w:val="auto"/>
        </w:rPr>
      </w:pPr>
    </w:p>
    <w:p>
      <w:pPr>
        <w:sectPr>
          <w:pgSz w:w="11900" w:h="16838" w:orient="portrait"/>
          <w:cols w:equalWidth="0" w:num="3">
            <w:col w:w="4460" w:space="720"/>
            <w:col w:w="1420" w:space="720"/>
            <w:col w:w="3800"/>
          </w:cols>
          <w:pgMar w:left="320" w:top="459" w:right="459" w:bottom="1440" w:gutter="0" w:footer="0" w:header="0"/>
          <w:type w:val="continuous"/>
        </w:sectPr>
      </w:pPr>
    </w:p>
    <w:p>
      <w:pPr>
        <w:ind w:left="120"/>
        <w:spacing w:after="0"/>
        <w:tabs>
          <w:tab w:leader="none" w:pos="1920" w:val="left"/>
          <w:tab w:leader="none" w:pos="3500" w:val="left"/>
        </w:tabs>
        <w:rPr>
          <w:sz w:val="20"/>
          <w:szCs w:val="20"/>
          <w:color w:val="auto"/>
        </w:rPr>
      </w:pPr>
      <w:r>
        <w:rPr>
          <w:rFonts w:ascii="Arial" w:cs="Arial" w:eastAsia="Arial" w:hAnsi="Arial"/>
          <w:sz w:val="18"/>
          <w:szCs w:val="18"/>
          <w:b w:val="1"/>
          <w:bCs w:val="1"/>
          <w:i w:val="1"/>
          <w:iCs w:val="1"/>
          <w:color w:val="auto"/>
        </w:rPr>
        <w:t>trading on the</w:t>
      </w:r>
      <w:r>
        <w:rPr>
          <w:sz w:val="20"/>
          <w:szCs w:val="20"/>
          <w:color w:val="auto"/>
        </w:rPr>
        <w:tab/>
      </w:r>
      <w:r>
        <w:rPr>
          <w:rFonts w:ascii="Arial" w:cs="Arial" w:eastAsia="Arial" w:hAnsi="Arial"/>
          <w:sz w:val="18"/>
          <w:szCs w:val="18"/>
          <w:b w:val="1"/>
          <w:bCs w:val="1"/>
          <w:i w:val="1"/>
          <w:iCs w:val="1"/>
          <w:color w:val="auto"/>
        </w:rPr>
        <w:t>on or about</w:t>
      </w:r>
      <w:r>
        <w:rPr>
          <w:sz w:val="20"/>
          <w:szCs w:val="20"/>
          <w:color w:val="auto"/>
        </w:rPr>
        <w:tab/>
      </w:r>
      <w:r>
        <w:rPr>
          <w:rFonts w:ascii="Arial" w:cs="Arial" w:eastAsia="Arial" w:hAnsi="Arial"/>
          <w:sz w:val="15"/>
          <w:szCs w:val="15"/>
          <w:b w:val="1"/>
          <w:bCs w:val="1"/>
          <w:i w:val="1"/>
          <w:i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343" w:lineRule="exact"/>
        <w:rPr>
          <w:sz w:val="20"/>
          <w:szCs w:val="20"/>
          <w:color w:val="auto"/>
        </w:rPr>
      </w:pPr>
    </w:p>
    <w:p>
      <w:pPr>
        <w:ind w:left="120" w:right="520"/>
        <w:spacing w:after="0" w:line="287" w:lineRule="auto"/>
        <w:rPr>
          <w:sz w:val="20"/>
          <w:szCs w:val="20"/>
          <w:color w:val="auto"/>
        </w:rPr>
      </w:pPr>
      <w:r>
        <w:rPr>
          <w:rFonts w:ascii="Arial" w:cs="Arial" w:eastAsia="Arial" w:hAnsi="Arial"/>
          <w:sz w:val="19"/>
          <w:szCs w:val="19"/>
          <w:b w:val="1"/>
          <w:bCs w:val="1"/>
          <w:i w:val="1"/>
          <w:iCs w:val="1"/>
          <w:color w:val="auto"/>
        </w:rPr>
        <w:t>We are an “emerging growth company” as defined under the federal securities laws, and as such, we have elected to comply with reduced reporting requirements for this prospectus and may elect to do so in future filings.</w:t>
      </w:r>
    </w:p>
    <w:p>
      <w:pPr>
        <w:spacing w:after="0" w:line="44" w:lineRule="exact"/>
        <w:rPr>
          <w:sz w:val="20"/>
          <w:szCs w:val="20"/>
          <w:color w:val="auto"/>
        </w:rPr>
      </w:pPr>
    </w:p>
    <w:p>
      <w:pPr>
        <w:ind w:left="120" w:right="52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See the section titled “</w:t>
      </w:r>
      <w:hyperlink w:anchor="page17">
        <w:r>
          <w:rPr>
            <w:rFonts w:ascii="Arial" w:cs="Arial" w:eastAsia="Arial" w:hAnsi="Arial"/>
            <w:sz w:val="20"/>
            <w:szCs w:val="20"/>
            <w:b w:val="1"/>
            <w:bCs w:val="1"/>
            <w:i w:val="1"/>
            <w:iCs w:val="1"/>
            <w:u w:val="single" w:color="auto"/>
            <w:color w:val="0000EE"/>
          </w:rPr>
          <w:t>Risk Factors</w:t>
        </w:r>
      </w:hyperlink>
      <w:r>
        <w:rPr>
          <w:rFonts w:ascii="Arial" w:cs="Arial" w:eastAsia="Arial" w:hAnsi="Arial"/>
          <w:sz w:val="20"/>
          <w:szCs w:val="20"/>
          <w:b w:val="1"/>
          <w:bCs w:val="1"/>
          <w:i w:val="1"/>
          <w:iCs w:val="1"/>
          <w:color w:val="auto"/>
        </w:rPr>
        <w:t>” beginning on page 14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140335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 2020</w:t>
      </w:r>
    </w:p>
    <w:p>
      <w:pPr>
        <w:sectPr>
          <w:pgSz w:w="11900" w:h="16838" w:orient="portrait"/>
          <w:cols w:equalWidth="0" w:num="1">
            <w:col w:w="11120"/>
          </w:cols>
          <w:pgMar w:left="320" w:top="459" w:right="4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gridSpan w:val="4"/>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Page</w:t>
            </w:r>
          </w:p>
        </w:tc>
        <w:tc>
          <w:tcPr>
            <w:tcW w:w="5000" w:type="dxa"/>
            <w:vAlign w:val="bottom"/>
            <w:gridSpan w:val="4"/>
            <w:vMerge w:val="restart"/>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88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6"/>
                <w:szCs w:val="16"/>
                <w:color w:val="auto"/>
              </w:rPr>
            </w:pPr>
          </w:p>
        </w:tc>
        <w:tc>
          <w:tcPr>
            <w:tcW w:w="500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5000" w:type="dxa"/>
            <w:vAlign w:val="bottom"/>
            <w:gridSpan w:val="4"/>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Certain Relationships and Related Party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5000" w:type="dxa"/>
            <w:vAlign w:val="bottom"/>
            <w:gridSpan w:val="4"/>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Principal and Registered Stockholders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Special Note Regarding Forward-Looking Statements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5000" w:type="dxa"/>
            <w:vAlign w:val="bottom"/>
            <w:gridSpan w:val="4"/>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Market, Industry and Other Data</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5000" w:type="dxa"/>
            <w:vAlign w:val="bottom"/>
            <w:gridSpan w:val="4"/>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Shares Eligible For Future Sale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Use of Proceeds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5000" w:type="dxa"/>
            <w:vAlign w:val="bottom"/>
            <w:gridSpan w:val="4"/>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Sale Price History of our Capital Stock</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0"/>
        </w:trPr>
        <w:tc>
          <w:tcPr>
            <w:tcW w:w="4880" w:type="dxa"/>
            <w:vAlign w:val="bottom"/>
            <w:gridSpan w:val="4"/>
          </w:tcPr>
          <w:p>
            <w:pPr>
              <w:spacing w:after="0" w:line="190"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Dividend Policy</w:t>
              </w:r>
            </w:hyperlink>
          </w:p>
        </w:tc>
        <w:tc>
          <w:tcPr>
            <w:tcW w:w="740" w:type="dxa"/>
            <w:vAlign w:val="bottom"/>
            <w:gridSpan w:val="2"/>
          </w:tcPr>
          <w:p>
            <w:pPr>
              <w:jc w:val="right"/>
              <w:ind w:right="400"/>
              <w:spacing w:after="0" w:line="190" w:lineRule="exact"/>
              <w:rPr>
                <w:sz w:val="20"/>
                <w:szCs w:val="20"/>
                <w:color w:val="auto"/>
              </w:rPr>
            </w:pPr>
            <w:r>
              <w:rPr>
                <w:rFonts w:ascii="Arial" w:cs="Arial" w:eastAsia="Arial" w:hAnsi="Arial"/>
                <w:sz w:val="18"/>
                <w:szCs w:val="18"/>
                <w:color w:val="auto"/>
              </w:rPr>
              <w:t>51</w:t>
            </w:r>
          </w:p>
        </w:tc>
        <w:tc>
          <w:tcPr>
            <w:tcW w:w="5000" w:type="dxa"/>
            <w:vAlign w:val="bottom"/>
            <w:gridSpan w:val="4"/>
          </w:tcPr>
          <w:p>
            <w:pPr>
              <w:spacing w:after="0" w:line="190" w:lineRule="exact"/>
              <w:rPr>
                <w:rFonts w:ascii="Arial" w:cs="Arial" w:eastAsia="Arial" w:hAnsi="Arial"/>
                <w:sz w:val="18"/>
                <w:szCs w:val="18"/>
                <w:color w:val="0000EE"/>
                <w:w w:val="98"/>
              </w:rPr>
            </w:pPr>
            <w:hyperlink w:anchor="page137">
              <w:r>
                <w:rPr>
                  <w:rFonts w:ascii="Arial" w:cs="Arial" w:eastAsia="Arial" w:hAnsi="Arial"/>
                  <w:sz w:val="18"/>
                  <w:szCs w:val="18"/>
                  <w:color w:val="0000EE"/>
                  <w:w w:val="98"/>
                </w:rPr>
                <w:t>Material U.S. Federal Income Tax Considerations For Non-U.S.</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gridSpan w:val="4"/>
          </w:tcPr>
          <w:p>
            <w:pPr>
              <w:spacing w:after="0" w:line="196"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Capitalization</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52</w:t>
            </w:r>
          </w:p>
        </w:tc>
        <w:tc>
          <w:tcPr>
            <w:tcW w:w="18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37">
              <w:r>
                <w:rPr>
                  <w:rFonts w:ascii="Arial" w:cs="Arial" w:eastAsia="Arial" w:hAnsi="Arial"/>
                  <w:sz w:val="18"/>
                  <w:szCs w:val="18"/>
                  <w:color w:val="0000EE"/>
                  <w:w w:val="91"/>
                </w:rPr>
                <w:t>Holders of Common Stock</w:t>
              </w:r>
            </w:hyperlink>
          </w:p>
        </w:tc>
        <w:tc>
          <w:tcPr>
            <w:tcW w:w="24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22"/>
        </w:trPr>
        <w:tc>
          <w:tcPr>
            <w:tcW w:w="4880" w:type="dxa"/>
            <w:vAlign w:val="bottom"/>
            <w:gridSpan w:val="4"/>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Selected Consolidated Financial Data</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54</w:t>
            </w:r>
          </w:p>
        </w:tc>
        <w:tc>
          <w:tcPr>
            <w:tcW w:w="5000" w:type="dxa"/>
            <w:vAlign w:val="bottom"/>
            <w:gridSpan w:val="4"/>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Plan of Distribution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0"/>
        </w:trPr>
        <w:tc>
          <w:tcPr>
            <w:tcW w:w="4880" w:type="dxa"/>
            <w:vAlign w:val="bottom"/>
            <w:gridSpan w:val="4"/>
          </w:tcPr>
          <w:p>
            <w:pPr>
              <w:spacing w:after="0" w:line="190" w:lineRule="exact"/>
              <w:rPr>
                <w:rFonts w:ascii="Arial" w:cs="Arial" w:eastAsia="Arial" w:hAnsi="Arial"/>
                <w:sz w:val="18"/>
                <w:szCs w:val="18"/>
                <w:color w:val="0000EE"/>
                <w:w w:val="98"/>
              </w:rPr>
            </w:pPr>
            <w:hyperlink w:anchor="page59">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0" w:type="dxa"/>
            <w:vAlign w:val="bottom"/>
            <w:gridSpan w:val="4"/>
          </w:tcPr>
          <w:p>
            <w:pPr>
              <w:spacing w:after="0" w:line="190" w:lineRule="exact"/>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Legal Matters</w:t>
              </w:r>
            </w:hyperlink>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and Results of Operations</w:t>
              </w:r>
            </w:hyperlink>
          </w:p>
        </w:tc>
        <w:tc>
          <w:tcPr>
            <w:tcW w:w="340" w:type="dxa"/>
            <w:vAlign w:val="bottom"/>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56</w:t>
            </w:r>
          </w:p>
        </w:tc>
        <w:tc>
          <w:tcPr>
            <w:tcW w:w="5000" w:type="dxa"/>
            <w:vAlign w:val="bottom"/>
            <w:gridSpan w:val="4"/>
          </w:tcPr>
          <w:p>
            <w:pPr>
              <w:spacing w:after="0" w:line="196" w:lineRule="exact"/>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gridSpan w:val="4"/>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Business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000" w:type="dxa"/>
            <w:vAlign w:val="bottom"/>
            <w:gridSpan w:val="4"/>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Where You Can Find Additional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30"/>
        </w:trPr>
        <w:tc>
          <w:tcPr>
            <w:tcW w:w="4880" w:type="dxa"/>
            <w:vAlign w:val="bottom"/>
            <w:gridSpan w:val="4"/>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Management</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5000" w:type="dxa"/>
            <w:vAlign w:val="bottom"/>
            <w:gridSpan w:val="4"/>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Index to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317500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or the SEC. Neither we nor any of the Registered Stockholders have authorized anyone to provide any information or make any representations other than those contained in this prospectus or in any free writing prospectus we have prepared. We take no responsibility for, and can provide no assurance as to the reliability of, any other information that others may give you. The Registered Stockholders are offering to sell, and seeking offers to buy, shares of their Class A common stock only in jurisdictions where offers and sales are permitted. The information contained in this prospectus is accurate only as of the date of this prospectus, regardless of the time of delivery of this prospectus or of any sale of the Class A common stock. Our business, financial condition, results of operations, and prospects may have changed since such date.</w:t>
      </w:r>
    </w:p>
    <w:p>
      <w:pPr>
        <w:spacing w:after="0" w:line="162"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Through and including , 2020 (the 25th day after the listing date of our Class A common stock), all dealers effecting transactions in these securities, whether or not participating in this offering, may be required to deliver a prospectus.</w:t>
      </w:r>
    </w:p>
    <w:p>
      <w:pPr>
        <w:spacing w:after="0" w:line="16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For investors outside of the United States, neither we nor any of the Registered Stockholders have done anything that would permit the use of or possession or distribution of this prospectus in any jurisdiction where action for that purpose is required, other than in the United States. You are required to inform yourselves about, and to observe any restrictions relating to, the offering of Class A common stock by the Registered Stockholders and the distribution of this prospectus outside of the United States.</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is a part of a registration statement on Form S-1 that we filed with the SEC using a “shelf” registration or continuous offering process. Under this shelf process, the Registered Stockholders may, from time to time, sell the Class A common stock covered by this prospectus in the manner described in the section titled “Plan of Distribution.” Additionally, we may provide a prospectus supplement to add information to, or update or change information contained in, this prospectus, including the section titled “Plan of Distribution.” You may obtain this information without charge by following the instructions under the section titled “Where You Can Find Additional Information” appearing elsewhere in this prospectus. You should read this prospectus and any prospectus supplement before deciding to invest in our Class A common stock</w:t>
      </w:r>
      <w:r>
        <w:rPr>
          <w:rFonts w:ascii="Arial" w:cs="Arial" w:eastAsia="Arial" w:hAnsi="Arial"/>
          <w:sz w:val="16"/>
          <w:szCs w:val="16"/>
          <w:i w:val="1"/>
          <w:iCs w:val="1"/>
          <w:color w:val="auto"/>
        </w:rPr>
        <w: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80" w:right="32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reclassification of our Class A common stock and Class B common stock into Class B common stock and Class A common stock, respectively, which was effected on March 23, 2020, or the Reclassification;</w:t>
      </w:r>
    </w:p>
    <w:p>
      <w:pPr>
        <w:spacing w:after="0" w:line="75" w:lineRule="exact"/>
        <w:rPr>
          <w:rFonts w:ascii="Arial" w:cs="Arial" w:eastAsia="Arial" w:hAnsi="Arial"/>
          <w:sz w:val="18"/>
          <w:szCs w:val="18"/>
          <w:color w:val="auto"/>
        </w:rPr>
      </w:pPr>
    </w:p>
    <w:p>
      <w:pPr>
        <w:jc w:val="both"/>
        <w:ind w:left="1080" w:right="100" w:hanging="532"/>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reduction of the voting power of the high-vote common stock (reclassified as Class B common stock) from 100 votes per share to 10 votes per share, which will occur in connection with the effectiveness of the registration statement of which this prospectus forms a part;</w:t>
      </w:r>
    </w:p>
    <w:p>
      <w:pPr>
        <w:spacing w:after="0" w:line="29" w:lineRule="exact"/>
        <w:rPr>
          <w:rFonts w:ascii="Arial" w:cs="Arial" w:eastAsia="Arial" w:hAnsi="Arial"/>
          <w:sz w:val="16"/>
          <w:szCs w:val="16"/>
          <w:color w:val="auto"/>
        </w:rPr>
      </w:pPr>
    </w:p>
    <w:p>
      <w:pPr>
        <w:ind w:left="1080" w:right="40" w:hanging="532"/>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filing and effectiveness of our restated certificate of incorporation in Delaware and the adoption of our restated bylaws, each of which will occur in connection with the effectiveness of the registration statement of which this prospectus forms a part;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automatic conversion of all outstanding shares of our redeemable convertible preferred stock, or preferred stock, into an aggregate of</w:t>
      </w:r>
    </w:p>
    <w:p>
      <w:pPr>
        <w:spacing w:after="0" w:line="46" w:lineRule="exact"/>
        <w:rPr>
          <w:sz w:val="20"/>
          <w:szCs w:val="20"/>
          <w:color w:val="auto"/>
        </w:rPr>
      </w:pPr>
    </w:p>
    <w:p>
      <w:pPr>
        <w:ind w:left="1080" w:right="220" w:firstLine="585"/>
        <w:spacing w:after="0" w:line="260" w:lineRule="auto"/>
        <w:rPr>
          <w:sz w:val="20"/>
          <w:szCs w:val="20"/>
          <w:color w:val="auto"/>
        </w:rPr>
      </w:pPr>
      <w:r>
        <w:rPr>
          <w:rFonts w:ascii="Arial" w:cs="Arial" w:eastAsia="Arial" w:hAnsi="Arial"/>
          <w:sz w:val="18"/>
          <w:szCs w:val="18"/>
          <w:color w:val="auto"/>
        </w:rPr>
        <w:t>shares of our Class B common stock, the conversion of which will occur upon the effectiveness of the registration statement of which this prospectus forms a part;</w:t>
      </w:r>
    </w:p>
    <w:p>
      <w:pPr>
        <w:spacing w:after="0" w:line="91"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conversion of our 3.5% senior mandatory convertible promissory note due 2025; and</w:t>
      </w:r>
    </w:p>
    <w:p>
      <w:pPr>
        <w:spacing w:after="0" w:line="130" w:lineRule="exact"/>
        <w:rPr>
          <w:rFonts w:ascii="Arial" w:cs="Arial" w:eastAsia="Arial" w:hAnsi="Arial"/>
          <w:sz w:val="18"/>
          <w:szCs w:val="18"/>
          <w:color w:val="auto"/>
        </w:rPr>
      </w:pPr>
    </w:p>
    <w:p>
      <w:pPr>
        <w:ind w:left="5580" w:right="1340" w:hanging="5032"/>
        <w:spacing w:after="0" w:line="449" w:lineRule="auto"/>
        <w:tabs>
          <w:tab w:leader="none" w:pos="1089"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exercise of the outstanding options or vesting and settlement of the restricted stock units, or RSUs, described herein. 1</w:t>
      </w:r>
    </w:p>
    <w:p>
      <w:pPr>
        <w:sectPr>
          <w:pgSz w:w="11900" w:h="16838" w:orient="portrait"/>
          <w:cols w:equalWidth="0" w:num="1">
            <w:col w:w="11020"/>
          </w:cols>
          <w:pgMar w:left="32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Class A common stock. You should carefully consider, among other things, our consolidated financial statements and the sections titled “Risk Factors” and “Management’s Discussion and Analysis of Financial Condition and Results of Operations” included elsewhere in this prospectus before making an investment decision. Unless the context otherwise requires, the terms “Asana,” “the company,” “we,” “us,” and “our” in this prospectus refers to Asana, Inc. and its consolidated subsidiaries. Our fiscal year ends January 31, and references throughout this prospectus to a given fiscal year are to the 12 months ended on that date.</w:t>
      </w: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225" w:lineRule="exact"/>
        <w:rPr>
          <w:sz w:val="20"/>
          <w:szCs w:val="20"/>
          <w:color w:val="auto"/>
        </w:rPr>
      </w:pPr>
    </w:p>
    <w:p>
      <w:pPr>
        <w:ind w:left="300" w:right="180" w:firstLine="426"/>
        <w:spacing w:after="0" w:line="279" w:lineRule="auto"/>
        <w:rPr>
          <w:sz w:val="20"/>
          <w:szCs w:val="20"/>
          <w:color w:val="auto"/>
        </w:rPr>
      </w:pPr>
      <w:r>
        <w:rPr>
          <w:rFonts w:ascii="Arial" w:cs="Arial" w:eastAsia="Arial" w:hAnsi="Arial"/>
          <w:sz w:val="17"/>
          <w:szCs w:val="17"/>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jc w:val="both"/>
        <w:ind w:left="300" w:right="40" w:firstLine="426"/>
        <w:spacing w:after="0" w:line="296" w:lineRule="auto"/>
        <w:rPr>
          <w:sz w:val="20"/>
          <w:szCs w:val="20"/>
          <w:color w:val="auto"/>
        </w:rPr>
      </w:pPr>
      <w:r>
        <w:rPr>
          <w:rFonts w:ascii="Arial" w:cs="Arial" w:eastAsia="Arial" w:hAnsi="Arial"/>
          <w:sz w:val="16"/>
          <w:szCs w:val="16"/>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61"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Since our inception, millions of teams in virtually every country around the world have used Asana. With Asana, users experience higher productivity, which has led to rapid adoption across teams, departments, and organizations. As of January 31, 2020, we had over 1.2 million paid users.</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Work continues to get harder to manage as organizations try to move faster to respond to changing market demands. Today, 60% of knowledge workers’ time is spent on work about work. At work, people face an overwhelming volume of communications from email and messaging applications, many of which are asking for status updates. These messages often go to multiple people, so there is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To minimize work about work, reduce chaos, and give individuals time back to focus on the work that matters, teams need a purpose-built solution for coordination.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How Asana Helps Teams</w:t>
      </w:r>
    </w:p>
    <w:p>
      <w:pPr>
        <w:spacing w:after="0" w:line="117" w:lineRule="exact"/>
        <w:rPr>
          <w:sz w:val="20"/>
          <w:szCs w:val="20"/>
          <w:color w:val="auto"/>
        </w:rPr>
      </w:pPr>
    </w:p>
    <w:p>
      <w:pPr>
        <w:jc w:val="both"/>
        <w:ind w:left="300" w:right="260" w:firstLine="426"/>
        <w:spacing w:after="0" w:line="263" w:lineRule="auto"/>
        <w:rPr>
          <w:sz w:val="20"/>
          <w:szCs w:val="20"/>
          <w:color w:val="auto"/>
        </w:rPr>
      </w:pPr>
      <w:r>
        <w:rPr>
          <w:rFonts w:ascii="Arial" w:cs="Arial" w:eastAsia="Arial" w:hAnsi="Arial"/>
          <w:sz w:val="18"/>
          <w:szCs w:val="18"/>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89" w:lineRule="exact"/>
        <w:rPr>
          <w:sz w:val="20"/>
          <w:szCs w:val="20"/>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units of work—tasks, projects, milestones, and portfolios;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processes in which work gets done—rules and templates;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about that work—files, comments, status, and metadata;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225"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left="300" w:right="40" w:firstLine="426"/>
        <w:spacing w:after="0" w:line="290"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2020, our dollar-based net retention rate within organizations spending $5,000 or more with us on an annualized basis was over 125%. Our dollar-based net retention rate within organizations spending $50,000 or more with us on an annualized basis was over 140%. Our overall dollar-based net retention rate as of January 31, 2020 was over 120%.</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17" w:lineRule="exact"/>
        <w:rPr>
          <w:sz w:val="20"/>
          <w:szCs w:val="20"/>
          <w:color w:val="auto"/>
        </w:rPr>
      </w:pPr>
    </w:p>
    <w:p>
      <w:pPr>
        <w:ind w:left="300" w:right="260" w:firstLine="426"/>
        <w:spacing w:after="0" w:line="257" w:lineRule="auto"/>
        <w:rPr>
          <w:sz w:val="20"/>
          <w:szCs w:val="20"/>
          <w:color w:val="auto"/>
        </w:rPr>
      </w:pPr>
      <w:r>
        <w:rPr>
          <w:rFonts w:ascii="Arial" w:cs="Arial" w:eastAsia="Arial" w:hAnsi="Arial"/>
          <w:sz w:val="18"/>
          <w:szCs w:val="18"/>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product.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Rapid Growth</w:t>
      </w:r>
    </w:p>
    <w:p>
      <w:pPr>
        <w:spacing w:after="0" w:line="117" w:lineRule="exact"/>
        <w:rPr>
          <w:sz w:val="20"/>
          <w:szCs w:val="20"/>
          <w:color w:val="auto"/>
        </w:rPr>
      </w:pPr>
    </w:p>
    <w:p>
      <w:pPr>
        <w:ind w:left="300" w:right="280" w:firstLine="426"/>
        <w:spacing w:after="0" w:line="342" w:lineRule="auto"/>
        <w:rPr>
          <w:sz w:val="20"/>
          <w:szCs w:val="20"/>
          <w:color w:val="auto"/>
        </w:rPr>
      </w:pPr>
      <w:r>
        <w:rPr>
          <w:rFonts w:ascii="Arial" w:cs="Arial" w:eastAsia="Arial" w:hAnsi="Arial"/>
          <w:sz w:val="16"/>
          <w:szCs w:val="16"/>
          <w:color w:val="auto"/>
        </w:rPr>
        <w:t>We have experienced rapid growth in recent periods. Our revenues were $76.8 million and $142.6 million for fiscal 2019 and fiscal 2020, respectively, representing growth of 86%. We had a net loss of $50.9 million and $118.6 million for fiscal 2019 and fiscal 2020, respectively.</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must be coordinated and move quickly to be successful</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Teams today must navigate work that is increasingly cross-functional, matrixed, and distributed, while also moving quickly to meet the objectives of their organizations. Traditional hierarchical processes, where centralized managers make decisions and disseminate information down to team members, result in significant time passing before contributors have the clarity they need to execute. With product lifecycles now shorter than ever, organizations cannot afford slow, inefficient processes. Individuals and teams need to be empowered to make autonomous decisions aligned with organizational goals to ensure business agility.</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17"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Businesses have adopted a number of applications to improve communication such as Skype, WeChat, WhatsApp, Microsoft Teams, and Slack, among others. While these applications help teams communicate, they were not designed to provide a system of record to track and coordinate units of work or set up processes for rapid execution. The average knowledge worker receives 121 emails per day—70% of which are opened within six seconds. People have become prisoners to email and messaging applications, using their inboxes as makeshift to-do lists.</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spend more time coordinating work than actually doing work</w:t>
      </w:r>
    </w:p>
    <w:p>
      <w:pPr>
        <w:spacing w:after="0" w:line="117" w:lineRule="exact"/>
        <w:rPr>
          <w:sz w:val="20"/>
          <w:szCs w:val="20"/>
          <w:color w:val="auto"/>
        </w:rPr>
      </w:pPr>
    </w:p>
    <w:p>
      <w:pPr>
        <w:ind w:left="300" w:right="160" w:firstLine="426"/>
        <w:spacing w:after="0" w:line="342" w:lineRule="auto"/>
        <w:rPr>
          <w:sz w:val="20"/>
          <w:szCs w:val="20"/>
          <w:color w:val="auto"/>
        </w:rPr>
      </w:pPr>
      <w:r>
        <w:rPr>
          <w:rFonts w:ascii="Arial" w:cs="Arial" w:eastAsia="Arial" w:hAnsi="Arial"/>
          <w:sz w:val="16"/>
          <w:szCs w:val="16"/>
          <w:color w:val="auto"/>
        </w:rPr>
        <w:t>Productivity gains can occur when individuals and teams have the opportunity to focus uninterrupted. However, employees spend less than half of their day on critical work. According to a survey conducted by McKinsey Global Institute of a broad set of knowledge workers:</w:t>
      </w:r>
    </w:p>
    <w:p>
      <w:pPr>
        <w:spacing w:after="0" w:line="29" w:lineRule="exact"/>
        <w:rPr>
          <w:sz w:val="20"/>
          <w:szCs w:val="20"/>
          <w:color w:val="auto"/>
        </w:rPr>
      </w:pPr>
    </w:p>
    <w:p>
      <w:pPr>
        <w:ind w:left="1240" w:hanging="52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need more effective tools to orchestrate work</w:t>
      </w:r>
    </w:p>
    <w:p>
      <w:pPr>
        <w:spacing w:after="0" w:line="117" w:lineRule="exact"/>
        <w:rPr>
          <w:sz w:val="20"/>
          <w:szCs w:val="20"/>
          <w:color w:val="auto"/>
        </w:rPr>
      </w:pPr>
    </w:p>
    <w:p>
      <w:pPr>
        <w:ind w:left="300" w:right="20" w:firstLine="426"/>
        <w:spacing w:after="0" w:line="296" w:lineRule="auto"/>
        <w:rPr>
          <w:sz w:val="20"/>
          <w:szCs w:val="20"/>
          <w:color w:val="auto"/>
        </w:rPr>
      </w:pPr>
      <w:r>
        <w:rPr>
          <w:rFonts w:ascii="Arial" w:cs="Arial" w:eastAsia="Arial" w:hAnsi="Arial"/>
          <w:sz w:val="16"/>
          <w:szCs w:val="16"/>
          <w:color w:val="auto"/>
        </w:rPr>
        <w:t>The primary methods for managing work today 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quickly become outdated, lack automation capabilities, and cannot provide multi-dimensional views of multiple projects or real-time insight. Email cannot build workflows, assign tasks, or track progress.</w:t>
      </w:r>
    </w:p>
    <w:p>
      <w:pPr>
        <w:spacing w:after="0" w:line="26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Employee engagement—the extent to which employees are invested in their job and contribute the effort needed to do their job well—is critical to high-performing businesses. According to Gallup, organizations in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93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59" w:lineRule="auto"/>
        <w:rPr>
          <w:sz w:val="20"/>
          <w:szCs w:val="20"/>
          <w:color w:val="auto"/>
        </w:rPr>
      </w:pPr>
      <w:r>
        <w:rPr>
          <w:rFonts w:ascii="Arial" w:cs="Arial" w:eastAsia="Arial" w:hAnsi="Arial"/>
          <w:sz w:val="18"/>
          <w:szCs w:val="18"/>
          <w:color w:val="auto"/>
        </w:rPr>
        <w:t>top quartile of employee engagement realize substantially better customer engagement, higher productivity, better retention, fewer accidents, and 21% higher profitability than organizations with low engagement. Individuals are more engaged at work when they have clarity. Clarity helps individuals better understand how their work connects to the organization’s objectives so they know where to focus and find their work more rewarding and engaging.</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17"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Organizations need a work management solution that provides transparency, clarity, and accountability so that individuals and teams know— at any given time—what work needs to get done, by whom and by when. This solution needs to scale across people, projects, and portfolios of projects so individuals, team leads, and executives can understand and take action on opportunities and inefficiencies in real time.</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Existing offerings fall short of delivering on these imperatives:</w:t>
      </w:r>
    </w:p>
    <w:p>
      <w:pPr>
        <w:spacing w:after="0" w:line="225" w:lineRule="exact"/>
        <w:rPr>
          <w:sz w:val="20"/>
          <w:szCs w:val="20"/>
          <w:color w:val="auto"/>
        </w:rPr>
      </w:pPr>
    </w:p>
    <w:p>
      <w:pPr>
        <w:ind w:left="300" w:right="100" w:firstLine="426"/>
        <w:spacing w:after="0" w:line="342" w:lineRule="auto"/>
        <w:rPr>
          <w:sz w:val="20"/>
          <w:szCs w:val="20"/>
          <w:color w:val="auto"/>
        </w:rPr>
      </w:pPr>
      <w:r>
        <w:rPr>
          <w:rFonts w:ascii="Arial" w:cs="Arial" w:eastAsia="Arial" w:hAnsi="Arial"/>
          <w:sz w:val="16"/>
          <w:szCs w:val="16"/>
          <w:b w:val="1"/>
          <w:bCs w:val="1"/>
          <w:i w:val="1"/>
          <w:iCs w:val="1"/>
          <w:color w:val="auto"/>
        </w:rPr>
        <w:t>Spreadsheets and email</w:t>
      </w:r>
      <w:r>
        <w:rPr>
          <w:rFonts w:ascii="Arial" w:cs="Arial" w:eastAsia="Arial" w:hAnsi="Arial"/>
          <w:sz w:val="16"/>
          <w:szCs w:val="16"/>
          <w:color w:val="auto"/>
        </w:rPr>
        <w:t>. Spreadsheets and email lack the required capabilities to help teams effectively plan, manage, and orchestrate 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scale. Captured information quickly becomes out of date because it is not connected to the workstreams happening outside of these tools.</w:t>
      </w:r>
    </w:p>
    <w:p>
      <w:pPr>
        <w:spacing w:after="0" w:line="124"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b w:val="1"/>
          <w:bCs w:val="1"/>
          <w:i w:val="1"/>
          <w:iCs w:val="1"/>
          <w:color w:val="auto"/>
        </w:rPr>
        <w:t>Legacy project management tools</w:t>
      </w:r>
      <w:r>
        <w:rPr>
          <w:rFonts w:ascii="Arial" w:cs="Arial" w:eastAsia="Arial" w:hAnsi="Arial"/>
          <w:sz w:val="18"/>
          <w:szCs w:val="18"/>
          <w:color w:val="auto"/>
        </w:rPr>
        <w:t>. Legacy project management tools are difficult for many users to adopt. These tools were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for dedicated project managers, not everyday users who often lack the skills to design a project, make customizations, or integrate third-party applications. Additionally, they create information silos because they are not linked to the underlying work and communications about that work.</w:t>
      </w:r>
    </w:p>
    <w:p>
      <w:pPr>
        <w:spacing w:after="0" w:line="187" w:lineRule="exact"/>
        <w:rPr>
          <w:sz w:val="20"/>
          <w:szCs w:val="20"/>
          <w:color w:val="auto"/>
        </w:rPr>
      </w:pPr>
    </w:p>
    <w:p>
      <w:pPr>
        <w:ind w:left="300" w:right="240" w:firstLine="426"/>
        <w:spacing w:after="0" w:line="342" w:lineRule="auto"/>
        <w:rPr>
          <w:sz w:val="20"/>
          <w:szCs w:val="20"/>
          <w:color w:val="auto"/>
        </w:rPr>
      </w:pPr>
      <w:r>
        <w:rPr>
          <w:rFonts w:ascii="Arial" w:cs="Arial" w:eastAsia="Arial" w:hAnsi="Arial"/>
          <w:sz w:val="16"/>
          <w:szCs w:val="16"/>
          <w:b w:val="1"/>
          <w:bCs w:val="1"/>
          <w:i w:val="1"/>
          <w:iCs w:val="1"/>
          <w:color w:val="auto"/>
        </w:rPr>
        <w:t>Vertical applications</w:t>
      </w:r>
      <w:r>
        <w:rPr>
          <w:rFonts w:ascii="Arial" w:cs="Arial" w:eastAsia="Arial" w:hAnsi="Arial"/>
          <w:sz w:val="16"/>
          <w:szCs w:val="16"/>
          <w:color w:val="auto"/>
        </w:rPr>
        <w:t>. Vertical applications are purpose-built for specific use cases, such as software development, ticketing, and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planning. These generally operate in departmental silos and are difficult to adapt to other use cases, either at all or without coding.</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Asana:</w:t>
      </w:r>
    </w:p>
    <w:p>
      <w:pPr>
        <w:spacing w:after="0" w:line="131" w:lineRule="exact"/>
        <w:rPr>
          <w:sz w:val="20"/>
          <w:szCs w:val="20"/>
          <w:color w:val="auto"/>
        </w:rPr>
      </w:pPr>
    </w:p>
    <w:p>
      <w:pPr>
        <w:ind w:left="1240" w:hanging="523"/>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Individuals </w:t>
      </w:r>
      <w:r>
        <w:rPr>
          <w:rFonts w:ascii="Arial" w:cs="Arial" w:eastAsia="Arial" w:hAnsi="Arial"/>
          <w:sz w:val="18"/>
          <w:szCs w:val="18"/>
          <w:color w:val="auto"/>
        </w:rPr>
        <w:t>can manage and prioritize across each of their projects to maximize their effectiveness and reduce distractions. They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their own tasks, how their dependencies owned by teammates are tracking, and how their work contributes to the overall team and organization-wide goals.</w:t>
      </w:r>
    </w:p>
    <w:p>
      <w:pPr>
        <w:spacing w:after="0" w:line="89" w:lineRule="exact"/>
        <w:rPr>
          <w:rFonts w:ascii="Arial" w:cs="Arial" w:eastAsia="Arial" w:hAnsi="Arial"/>
          <w:sz w:val="18"/>
          <w:szCs w:val="18"/>
          <w:color w:val="auto"/>
        </w:rPr>
      </w:pPr>
    </w:p>
    <w:p>
      <w:pPr>
        <w:ind w:left="1240" w:right="40" w:hanging="523"/>
        <w:spacing w:after="0" w:line="311"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Teams </w:t>
      </w:r>
      <w:r>
        <w:rPr>
          <w:rFonts w:ascii="Arial" w:cs="Arial" w:eastAsia="Arial" w:hAnsi="Arial"/>
          <w:sz w:val="16"/>
          <w:szCs w:val="16"/>
          <w:color w:val="auto"/>
        </w:rPr>
        <w:t>can collaborate on a project with visibility into each team member’s responsibilities and progress. Team members can assign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tasks, map out steps to completion, define requirements and dependencies, and track progress against due dates. When teammates are operating off a single, real-time plan of record, they do not need to ping each other for updates or sit through status meetings.</w:t>
      </w:r>
    </w:p>
    <w:p>
      <w:pPr>
        <w:spacing w:after="0" w:line="54" w:lineRule="exact"/>
        <w:rPr>
          <w:rFonts w:ascii="Arial" w:cs="Arial" w:eastAsia="Arial" w:hAnsi="Arial"/>
          <w:sz w:val="16"/>
          <w:szCs w:val="16"/>
          <w:color w:val="auto"/>
        </w:rPr>
      </w:pPr>
    </w:p>
    <w:p>
      <w:pPr>
        <w:jc w:val="both"/>
        <w:ind w:left="1240" w:right="120" w:hanging="523"/>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Team leads </w:t>
      </w:r>
      <w:r>
        <w:rPr>
          <w:rFonts w:ascii="Arial" w:cs="Arial" w:eastAsia="Arial" w:hAnsi="Arial"/>
          <w:sz w:val="18"/>
          <w:szCs w:val="18"/>
          <w:color w:val="auto"/>
        </w:rPr>
        <w:t>can manage work across a portfolio of projects or processes. Team leads see progress, bottlenecks, resource constraints,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milestones without having to create work about work for teams to come up with this information in spreadsheets, email, or via a status meeting.</w:t>
      </w:r>
    </w:p>
    <w:p>
      <w:pPr>
        <w:spacing w:after="0" w:line="89" w:lineRule="exact"/>
        <w:rPr>
          <w:rFonts w:ascii="Arial" w:cs="Arial" w:eastAsia="Arial" w:hAnsi="Arial"/>
          <w:sz w:val="18"/>
          <w:szCs w:val="18"/>
          <w:color w:val="auto"/>
        </w:rPr>
      </w:pPr>
    </w:p>
    <w:p>
      <w:pPr>
        <w:ind w:left="1240" w:hanging="523"/>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Executives </w:t>
      </w:r>
      <w:r>
        <w:rPr>
          <w:rFonts w:ascii="Arial" w:cs="Arial" w:eastAsia="Arial" w:hAnsi="Arial"/>
          <w:sz w:val="18"/>
          <w:szCs w:val="18"/>
          <w:color w:val="auto"/>
        </w:rPr>
        <w:t>can oversee work across projects to gain real-time insights into which initiatives are on track or at risk. With this visibility,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can proactively address inefficiencies, manage team workload, and reallocate work among teams or departments so that the company can stay on track to achieve its objectives.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225"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by whom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when. Our multi-dimensional data model provides different views so individuals can not only see the tasks they are working on, but also understand how their individual work contributes to a broader project goal.</w:t>
      </w:r>
    </w:p>
    <w:p>
      <w:pPr>
        <w:spacing w:after="0" w:line="184" w:lineRule="exact"/>
        <w:rPr>
          <w:sz w:val="20"/>
          <w:szCs w:val="20"/>
          <w:color w:val="auto"/>
        </w:rPr>
      </w:pPr>
    </w:p>
    <w:p>
      <w:pPr>
        <w:ind w:left="300" w:right="380" w:firstLine="426"/>
        <w:spacing w:after="0" w:line="308" w:lineRule="auto"/>
        <w:rPr>
          <w:sz w:val="20"/>
          <w:szCs w:val="20"/>
          <w:color w:val="auto"/>
        </w:rPr>
      </w:pPr>
      <w:r>
        <w:rPr>
          <w:rFonts w:ascii="Arial" w:cs="Arial" w:eastAsia="Arial" w:hAnsi="Arial"/>
          <w:sz w:val="17"/>
          <w:szCs w:val="17"/>
          <w:b w:val="1"/>
          <w:bCs w:val="1"/>
          <w:i w:val="1"/>
          <w:iCs w:val="1"/>
          <w:color w:val="auto"/>
        </w:rPr>
        <w:t xml:space="preserve">Transparency. </w:t>
      </w:r>
      <w:r>
        <w:rPr>
          <w:rFonts w:ascii="Arial" w:cs="Arial" w:eastAsia="Arial" w:hAnsi="Arial"/>
          <w:sz w:val="17"/>
          <w:szCs w:val="17"/>
          <w:color w:val="auto"/>
        </w:rPr>
        <w:t>Our platform provides transparency into the work being done across a project or portfolio of projects so everyone can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progress to completion, manage deadlines, identify and resolve bottlenecks, and rebalance workloads in real time.</w:t>
      </w:r>
    </w:p>
    <w:p>
      <w:pPr>
        <w:spacing w:after="0" w:line="146" w:lineRule="exact"/>
        <w:rPr>
          <w:sz w:val="20"/>
          <w:szCs w:val="20"/>
          <w:color w:val="auto"/>
        </w:rPr>
      </w:pPr>
    </w:p>
    <w:p>
      <w:pPr>
        <w:ind w:left="300" w:right="320" w:firstLine="426"/>
        <w:spacing w:after="0" w:line="308" w:lineRule="auto"/>
        <w:rPr>
          <w:sz w:val="20"/>
          <w:szCs w:val="20"/>
          <w:color w:val="auto"/>
        </w:rPr>
      </w:pPr>
      <w:r>
        <w:rPr>
          <w:rFonts w:ascii="Arial" w:cs="Arial" w:eastAsia="Arial" w:hAnsi="Arial"/>
          <w:sz w:val="17"/>
          <w:szCs w:val="17"/>
          <w:b w:val="1"/>
          <w:bCs w:val="1"/>
          <w:i w:val="1"/>
          <w:iCs w:val="1"/>
          <w:color w:val="auto"/>
        </w:rPr>
        <w:t xml:space="preserve">Accountability. </w:t>
      </w:r>
      <w:r>
        <w:rPr>
          <w:rFonts w:ascii="Arial" w:cs="Arial" w:eastAsia="Arial" w:hAnsi="Arial"/>
          <w:sz w:val="17"/>
          <w:szCs w:val="17"/>
          <w:color w:val="auto"/>
        </w:rPr>
        <w:t>Our platform enables teams to assign work to individuals with completion dates and requirements, eliminating ambiguity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responsibilities. Individuals can track their action items across projects and manage their time more effectively.</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Our Solution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17"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Teams get work done faster using Asana. When structure is added to work, creating greater clarity, transparency, and accountability, teams are able to take action and be more efficient. According to a survey of over 3,000 customers that we conducted in the fourth quarter of fiscal 2020, by adopting our platform, our customers experience increased productivity and improved job performance, factors which generally reduce costs. Of the surveyed customers, 83% agreed that Asana improves their job performance, 77% agreed that Asana reduces wasted time at work, and 74% agreed that Asana helps them accomplish tasks more quickly.</w:t>
      </w:r>
    </w:p>
    <w:p>
      <w:pPr>
        <w:spacing w:after="0" w:line="28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which facilitates auto-assignment, triggers actions and notifications, and automatically populates due dates for templated projects. In the first 60 days of launching Rules, we automated over two million steps for our users.</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17"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Our users love Asana because they gain clarity into what they need to do and how their contribution is connected to broader organizational goals. By eliminating much of the work about work, we give them back valuable hours in their day leading to higher productivity, higher engagement, and improved retention.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17" w:lineRule="exact"/>
        <w:rPr>
          <w:sz w:val="20"/>
          <w:szCs w:val="20"/>
          <w:color w:val="auto"/>
        </w:rPr>
      </w:pPr>
    </w:p>
    <w:p>
      <w:pPr>
        <w:ind w:left="300" w:right="320" w:firstLine="426"/>
        <w:spacing w:after="0" w:line="259" w:lineRule="auto"/>
        <w:rPr>
          <w:sz w:val="20"/>
          <w:szCs w:val="20"/>
          <w:color w:val="auto"/>
        </w:rPr>
      </w:pPr>
      <w:r>
        <w:rPr>
          <w:rFonts w:ascii="Arial" w:cs="Arial" w:eastAsia="Arial" w:hAnsi="Arial"/>
          <w:sz w:val="18"/>
          <w:szCs w:val="18"/>
          <w:color w:val="auto"/>
        </w:rPr>
        <w:t>Using Asana, individuals reduce their anxiety about missing deadlines and having work fall through the cracks.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00" w:right="220" w:firstLine="426"/>
        <w:spacing w:after="0" w:line="279" w:lineRule="auto"/>
        <w:rPr>
          <w:sz w:val="20"/>
          <w:szCs w:val="20"/>
          <w:color w:val="auto"/>
        </w:rPr>
      </w:pPr>
      <w:r>
        <w:rPr>
          <w:rFonts w:ascii="Arial" w:cs="Arial" w:eastAsia="Arial" w:hAnsi="Arial"/>
          <w:sz w:val="17"/>
          <w:szCs w:val="17"/>
          <w:b w:val="1"/>
          <w:bCs w:val="1"/>
          <w:i w:val="1"/>
          <w:iCs w:val="1"/>
          <w:color w:val="auto"/>
        </w:rPr>
        <w:t xml:space="preserve">Easy for an entire team to adopt. </w:t>
      </w:r>
      <w:r>
        <w:rPr>
          <w:rFonts w:ascii="Arial" w:cs="Arial" w:eastAsia="Arial" w:hAnsi="Arial"/>
          <w:sz w:val="17"/>
          <w:szCs w:val="17"/>
          <w:color w:val="auto"/>
        </w:rPr>
        <w:t>We designed our platform to be easy to adopt and transition away from legacy project management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friction. For example, new users can import existing workflows from spreadsheets into Asana in a few clicks. We provide an intuitive interface—incorporating common language navigation, flexible views, and easy point-and-click and drag-and-drop functionalities—that allows users, across any role or level of technical proficiency, to easily set up and navigate a process or project.</w:t>
      </w:r>
    </w:p>
    <w:p>
      <w:pPr>
        <w:spacing w:after="0" w:line="171" w:lineRule="exact"/>
        <w:rPr>
          <w:sz w:val="20"/>
          <w:szCs w:val="20"/>
          <w:color w:val="auto"/>
        </w:rPr>
      </w:pPr>
    </w:p>
    <w:p>
      <w:pPr>
        <w:ind w:left="300" w:right="40" w:firstLine="426"/>
        <w:spacing w:after="0" w:line="342" w:lineRule="auto"/>
        <w:rPr>
          <w:sz w:val="20"/>
          <w:szCs w:val="20"/>
          <w:color w:val="auto"/>
        </w:rPr>
      </w:pPr>
      <w:r>
        <w:rPr>
          <w:rFonts w:ascii="Arial" w:cs="Arial" w:eastAsia="Arial" w:hAnsi="Arial"/>
          <w:sz w:val="16"/>
          <w:szCs w:val="16"/>
          <w:b w:val="1"/>
          <w:bCs w:val="1"/>
          <w:i w:val="1"/>
          <w:iCs w:val="1"/>
          <w:color w:val="auto"/>
        </w:rPr>
        <w:t xml:space="preserve">Applicable to individuals, team leads, and executives. </w:t>
      </w:r>
      <w:r>
        <w:rPr>
          <w:rFonts w:ascii="Arial" w:cs="Arial" w:eastAsia="Arial" w:hAnsi="Arial"/>
          <w:sz w:val="16"/>
          <w:szCs w:val="16"/>
          <w:color w:val="auto"/>
        </w:rPr>
        <w:t>Our multi-dimensional data model allows individuals, team leads, and executives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 the way they want, in the interface that is most applicable to them. Users realize different benefits from our platform, depending on their role:</w:t>
      </w:r>
    </w:p>
    <w:p>
      <w:pPr>
        <w:spacing w:after="0" w:line="29" w:lineRule="exact"/>
        <w:rPr>
          <w:sz w:val="20"/>
          <w:szCs w:val="20"/>
          <w:color w:val="auto"/>
        </w:rPr>
      </w:pPr>
    </w:p>
    <w:p>
      <w:pPr>
        <w:ind w:left="1240" w:right="40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individuals can view a task list to prioritize their work across projects and see how the work they depend on is progressing in real time;</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team leads can view the status of a project to identify dependencies or bottlenecks and manage workloads;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executives can see real-time updates on how their organization is tracking toward strategic objectives.</w:t>
      </w:r>
    </w:p>
    <w:p>
      <w:pPr>
        <w:spacing w:after="0" w:line="225" w:lineRule="exact"/>
        <w:rPr>
          <w:sz w:val="20"/>
          <w:szCs w:val="20"/>
          <w:color w:val="auto"/>
        </w:rPr>
      </w:pPr>
    </w:p>
    <w:p>
      <w:pPr>
        <w:ind w:left="300" w:right="260" w:firstLine="426"/>
        <w:spacing w:after="0" w:line="301" w:lineRule="auto"/>
        <w:rPr>
          <w:sz w:val="20"/>
          <w:szCs w:val="20"/>
          <w:color w:val="auto"/>
        </w:rPr>
      </w:pPr>
      <w:r>
        <w:rPr>
          <w:rFonts w:ascii="Arial" w:cs="Arial" w:eastAsia="Arial" w:hAnsi="Arial"/>
          <w:sz w:val="16"/>
          <w:szCs w:val="16"/>
          <w:b w:val="1"/>
          <w:bCs w:val="1"/>
          <w:i w:val="1"/>
          <w:iCs w:val="1"/>
          <w:color w:val="auto"/>
        </w:rPr>
        <w:t xml:space="preserve">Adaptable to virtually any use case. </w:t>
      </w:r>
      <w:r>
        <w:rPr>
          <w:rFonts w:ascii="Arial" w:cs="Arial" w:eastAsia="Arial" w:hAnsi="Arial"/>
          <w:sz w:val="16"/>
          <w:szCs w:val="16"/>
          <w:color w:val="auto"/>
        </w:rPr>
        <w:t>Asana is applicable to thousands of use cases, across many departments and industries.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typically adopt Asana initially for a specific need within a department. Teams can then extend their usage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57" w:lineRule="exact"/>
        <w:rPr>
          <w:sz w:val="20"/>
          <w:szCs w:val="20"/>
          <w:color w:val="auto"/>
        </w:rPr>
      </w:pPr>
    </w:p>
    <w:p>
      <w:pPr>
        <w:jc w:val="both"/>
        <w:ind w:left="300" w:right="120" w:firstLine="426"/>
        <w:spacing w:after="0" w:line="259" w:lineRule="auto"/>
        <w:rPr>
          <w:sz w:val="20"/>
          <w:szCs w:val="20"/>
          <w:color w:val="auto"/>
        </w:rPr>
      </w:pPr>
      <w:r>
        <w:rPr>
          <w:rFonts w:ascii="Arial" w:cs="Arial" w:eastAsia="Arial" w:hAnsi="Arial"/>
          <w:sz w:val="18"/>
          <w:szCs w:val="18"/>
          <w:b w:val="1"/>
          <w:bCs w:val="1"/>
          <w:i w:val="1"/>
          <w:iCs w:val="1"/>
          <w:color w:val="auto"/>
        </w:rPr>
        <w:t xml:space="preserve">Loved by customers. </w:t>
      </w:r>
      <w:r>
        <w:rPr>
          <w:rFonts w:ascii="Arial" w:cs="Arial" w:eastAsia="Arial" w:hAnsi="Arial"/>
          <w:sz w:val="18"/>
          <w:szCs w:val="18"/>
          <w:color w:val="auto"/>
        </w:rPr>
        <w:t>We have fostered a vibrant global user community that is passionate about using Asana to orchestrate their work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87"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b w:val="1"/>
          <w:bCs w:val="1"/>
          <w:i w:val="1"/>
          <w:iCs w:val="1"/>
          <w:color w:val="auto"/>
        </w:rPr>
        <w:t xml:space="preserve">Efficient hybrid go-to-market model. </w:t>
      </w:r>
      <w:r>
        <w:rPr>
          <w:rFonts w:ascii="Arial" w:cs="Arial" w:eastAsia="Arial" w:hAnsi="Arial"/>
          <w:sz w:val="18"/>
          <w:szCs w:val="18"/>
          <w:color w:val="auto"/>
        </w:rPr>
        <w:t>Our hybrid self-service and direct sales model allows us to efficiently reach teams everywhere and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rapidly expand within our customer base. A majority of our paying customers initially adopt our platform through self-service and free trials. Individuals can try our products using a limited functionality free version or a free trial of one of our paid subscription plans for a limited period of time, allowing us to reach a broad user base with a limited sales presence. Our free-to-paid conversion rate of registered users, as measured by the number of paid users divided by the total number of then-registered users, has increased from 3.6% as of January 31, 2018 to over 4.8% as of January 31, 2020.</w:t>
      </w:r>
    </w:p>
    <w:p>
      <w:pPr>
        <w:spacing w:after="0" w:line="192" w:lineRule="exact"/>
        <w:rPr>
          <w:sz w:val="20"/>
          <w:szCs w:val="20"/>
          <w:color w:val="auto"/>
        </w:rPr>
      </w:pPr>
    </w:p>
    <w:p>
      <w:pPr>
        <w:ind w:left="300" w:right="260" w:firstLine="426"/>
        <w:spacing w:after="0" w:line="259" w:lineRule="auto"/>
        <w:rPr>
          <w:sz w:val="20"/>
          <w:szCs w:val="20"/>
          <w:color w:val="auto"/>
        </w:rPr>
      </w:pPr>
      <w:r>
        <w:rPr>
          <w:rFonts w:ascii="Arial" w:cs="Arial" w:eastAsia="Arial" w:hAnsi="Arial"/>
          <w:sz w:val="18"/>
          <w:szCs w:val="18"/>
          <w:b w:val="1"/>
          <w:bCs w:val="1"/>
          <w:i w:val="1"/>
          <w:iCs w:val="1"/>
          <w:color w:val="auto"/>
        </w:rPr>
        <w:t xml:space="preserve">High performance. </w:t>
      </w:r>
      <w:r>
        <w:rPr>
          <w:rFonts w:ascii="Arial" w:cs="Arial" w:eastAsia="Arial" w:hAnsi="Arial"/>
          <w:sz w:val="18"/>
          <w:szCs w:val="18"/>
          <w:color w:val="auto"/>
        </w:rPr>
        <w:t>We have architected our platform to be easy to use, extremely fast, and powerful. We have a modern architecture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intellectual property that enables flexible and fast queries.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72" w:lineRule="auto"/>
        <w:rPr>
          <w:sz w:val="20"/>
          <w:szCs w:val="20"/>
          <w:color w:val="auto"/>
        </w:rPr>
      </w:pPr>
      <w:r>
        <w:rPr>
          <w:rFonts w:ascii="Arial" w:cs="Arial" w:eastAsia="Arial" w:hAnsi="Arial"/>
          <w:sz w:val="17"/>
          <w:szCs w:val="17"/>
          <w:b w:val="1"/>
          <w:bCs w:val="1"/>
          <w:i w:val="1"/>
          <w:iCs w:val="1"/>
          <w:color w:val="auto"/>
        </w:rPr>
        <w:t xml:space="preserve">Strong company culture. </w:t>
      </w:r>
      <w:r>
        <w:rPr>
          <w:rFonts w:ascii="Arial" w:cs="Arial" w:eastAsia="Arial" w:hAnsi="Arial"/>
          <w:sz w:val="17"/>
          <w:szCs w:val="17"/>
          <w:color w:val="auto"/>
        </w:rPr>
        <w:t>Our culture is a critical component of our success. Our commitment to transparency, distributed responsibility,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growth helps us attract and retain top quality talent from diverse backgrounds. We have seen strong retention rates overall, particularly across our engineering department, where our annual retention is over 90% despite competition for talent.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we believe helps drive our recruiting efforts. Our strong culture has led to high employee engagement as demonstrated by a survey conducted by Culture Amp, placing us in the top quartile of our peers.</w:t>
      </w:r>
    </w:p>
    <w:p>
      <w:pPr>
        <w:spacing w:after="0" w:line="177"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b w:val="1"/>
          <w:bCs w:val="1"/>
          <w:i w:val="1"/>
          <w:iCs w:val="1"/>
          <w:color w:val="auto"/>
        </w:rPr>
        <w:t xml:space="preserve">Scalable and secure. </w:t>
      </w:r>
      <w:r>
        <w:rPr>
          <w:rFonts w:ascii="Arial" w:cs="Arial" w:eastAsia="Arial" w:hAnsi="Arial"/>
          <w:sz w:val="16"/>
          <w:szCs w:val="16"/>
          <w:color w:val="auto"/>
        </w:rPr>
        <w:t>We have built our platform using best practices, leveraging tooling and automation to enable rapid feature deployment,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frequent code releases to production, and horizontal-scaling across our servers and data storage to easily add capacity and scale. We have demonstrated reliability with over 99.9% average up-time during fiscal 2020. We have built security checks and mechanisms into all parts of our technology stack and embraced security practices, like a public bug bounty program and third-party penetration testing. We are SOC 2 Type II compliant and have implemented robust safeguards to protect the security of data uploaded to and shared within our platform.</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420" w:firstLine="426"/>
        <w:spacing w:after="0" w:line="263" w:lineRule="auto"/>
        <w:rPr>
          <w:sz w:val="20"/>
          <w:szCs w:val="20"/>
          <w:color w:val="auto"/>
        </w:rPr>
      </w:pPr>
      <w:r>
        <w:rPr>
          <w:rFonts w:ascii="Arial" w:cs="Arial" w:eastAsia="Arial" w:hAnsi="Arial"/>
          <w:sz w:val="18"/>
          <w:szCs w:val="18"/>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84"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a significant whitespace opportunity. Additionally, we believe we have significant greenfield opportunities among addressable customers worldwide.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We have driven rapid adoption of our platform and intend to continue to promote our platform and its adoption through the following growth strategies:</w:t>
      </w:r>
    </w:p>
    <w:p>
      <w:pPr>
        <w:spacing w:after="0" w:line="166" w:lineRule="exact"/>
        <w:rPr>
          <w:sz w:val="20"/>
          <w:szCs w:val="20"/>
          <w:color w:val="auto"/>
        </w:rPr>
      </w:pPr>
    </w:p>
    <w:p>
      <w:pPr>
        <w:ind w:left="300" w:firstLine="426"/>
        <w:spacing w:after="0" w:line="261" w:lineRule="auto"/>
        <w:rPr>
          <w:sz w:val="20"/>
          <w:szCs w:val="20"/>
          <w:color w:val="auto"/>
        </w:rPr>
      </w:pPr>
      <w:r>
        <w:rPr>
          <w:rFonts w:ascii="Arial" w:cs="Arial" w:eastAsia="Arial" w:hAnsi="Arial"/>
          <w:sz w:val="18"/>
          <w:szCs w:val="18"/>
          <w:b w:val="1"/>
          <w:bCs w:val="1"/>
          <w:i w:val="1"/>
          <w:iCs w:val="1"/>
          <w:color w:val="auto"/>
        </w:rPr>
        <w:t>Add more customers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over 75,000 paying customers as of January 31, 2020 and over 3.2 million free activated accounts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inception, representing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w:t>
      </w:r>
    </w:p>
    <w:p>
      <w:pPr>
        <w:spacing w:after="0" w:line="180" w:lineRule="exact"/>
        <w:rPr>
          <w:sz w:val="20"/>
          <w:szCs w:val="20"/>
          <w:color w:val="auto"/>
        </w:rPr>
      </w:pPr>
    </w:p>
    <w:p>
      <w:pPr>
        <w:ind w:left="300" w:right="60" w:firstLine="426"/>
        <w:spacing w:after="0" w:line="261" w:lineRule="auto"/>
        <w:rPr>
          <w:sz w:val="20"/>
          <w:szCs w:val="20"/>
          <w:color w:val="auto"/>
        </w:rPr>
      </w:pPr>
      <w:r>
        <w:rPr>
          <w:rFonts w:ascii="Arial" w:cs="Arial" w:eastAsia="Arial" w:hAnsi="Arial"/>
          <w:sz w:val="18"/>
          <w:szCs w:val="18"/>
          <w:b w:val="1"/>
          <w:bCs w:val="1"/>
          <w:i w:val="1"/>
          <w:iCs w:val="1"/>
          <w:color w:val="auto"/>
        </w:rPr>
        <w:t>Expand within our existing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typically adopt Asana for a specific use case within a department and then expand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use cases across departments and, in some instances, across an entire organization. To address the significant whitespace opportunity within our existing customer base, we are growing our direct sales team, which has nearly doubled in size since January 31, 2019, to promote department-specific and organization-wide use cases.</w:t>
      </w:r>
    </w:p>
    <w:p>
      <w:pPr>
        <w:spacing w:after="0" w:line="184"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b w:val="1"/>
          <w:bCs w:val="1"/>
          <w:i w:val="1"/>
          <w:iCs w:val="1"/>
          <w:color w:val="auto"/>
        </w:rPr>
        <w:t xml:space="preserve">Continue to innovate. </w:t>
      </w:r>
      <w:r>
        <w:rPr>
          <w:rFonts w:ascii="Arial" w:cs="Arial" w:eastAsia="Arial" w:hAnsi="Arial"/>
          <w:sz w:val="18"/>
          <w:szCs w:val="18"/>
          <w:color w:val="auto"/>
        </w:rPr>
        <w:t>Product innovation is critical to maintaining our success as a leader in work management. We will continue to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product offerings and enhance the features and functionality of our platform. Since January 31, 2019, we have grown our engineering team by over 80% to drive product innovation.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b w:val="1"/>
          <w:bCs w:val="1"/>
          <w:i w:val="1"/>
          <w:iCs w:val="1"/>
          <w:color w:val="auto"/>
        </w:rPr>
        <w:t xml:space="preserve">Keep building a high value brand. </w:t>
      </w:r>
      <w:r>
        <w:rPr>
          <w:rFonts w:ascii="Arial" w:cs="Arial" w:eastAsia="Arial" w:hAnsi="Arial"/>
          <w:sz w:val="18"/>
          <w:szCs w:val="18"/>
          <w:color w:val="auto"/>
        </w:rPr>
        <w:t>Our goal is to be the leader in work management—a market still in the early stages of development,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greenfield opportunities for adoption among companies of all sizes. We will continue to build our brand through customer experience and broader engagement, marketing, and industry and analyst education. In 2018, we were recognized by Forrester as a Leader in Collaborative Work Management Tools for the Enterprise based on a range of criteria, including the highest scores possible in customer satisfaction and pace of innovation criteria.</w:t>
      </w:r>
    </w:p>
    <w:p>
      <w:pPr>
        <w:spacing w:after="0" w:line="188"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b w:val="1"/>
          <w:bCs w:val="1"/>
          <w:i w:val="1"/>
          <w:iCs w:val="1"/>
          <w:color w:val="auto"/>
        </w:rPr>
        <w:t xml:space="preserve">Develop functional workflows. </w:t>
      </w:r>
      <w:r>
        <w:rPr>
          <w:rFonts w:ascii="Arial" w:cs="Arial" w:eastAsia="Arial" w:hAnsi="Arial"/>
          <w:sz w:val="18"/>
          <w:szCs w:val="18"/>
          <w:color w:val="auto"/>
        </w:rPr>
        <w:t>We have seen strong initial adoption in our customer base particularly in marketing, sales, operations,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product management, and design where there are many workstreams requiring cross-functional collaboration. We have developed purpose-built templates and premium functionality that cater to these groups, and will continue to develop specific functional workflows where we see adoption opportunities.</w:t>
      </w:r>
    </w:p>
    <w:p>
      <w:pPr>
        <w:spacing w:after="0" w:line="187" w:lineRule="exact"/>
        <w:rPr>
          <w:sz w:val="20"/>
          <w:szCs w:val="20"/>
          <w:color w:val="auto"/>
        </w:rPr>
      </w:pPr>
    </w:p>
    <w:p>
      <w:pPr>
        <w:ind w:left="300" w:right="400" w:firstLine="426"/>
        <w:spacing w:after="0" w:line="263" w:lineRule="auto"/>
        <w:rPr>
          <w:sz w:val="20"/>
          <w:szCs w:val="20"/>
          <w:color w:val="auto"/>
        </w:rPr>
      </w:pPr>
      <w:r>
        <w:rPr>
          <w:rFonts w:ascii="Arial" w:cs="Arial" w:eastAsia="Arial" w:hAnsi="Arial"/>
          <w:sz w:val="18"/>
          <w:szCs w:val="18"/>
          <w:b w:val="1"/>
          <w:bCs w:val="1"/>
          <w:i w:val="1"/>
          <w:iCs w:val="1"/>
          <w:color w:val="auto"/>
        </w:rPr>
        <w:t xml:space="preserve">Develop organization-wide use cases. </w:t>
      </w:r>
      <w:r>
        <w:rPr>
          <w:rFonts w:ascii="Arial" w:cs="Arial" w:eastAsia="Arial" w:hAnsi="Arial"/>
          <w:sz w:val="18"/>
          <w:szCs w:val="18"/>
          <w:color w:val="auto"/>
        </w:rPr>
        <w:t>Customers use Asana for a number of use cases, from departmental projects to organization-wide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including employee goal management, new employee onboarding, one-on-ones, and meeting agendas. Over time, we intend to productize and monetize organization-specific use cases on our platform.</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Investment in our Class A Common Stock</w:t>
      </w:r>
    </w:p>
    <w:p>
      <w:pPr>
        <w:spacing w:after="0" w:line="121"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Investing in our Class A common stock involves a high degree of risk. You should carefully consider the risks highlighted in the section titled “Risk Factors” immediately following this prospectus summary before making an investment decision. We may be unable for many reasons, including those that are beyond our control, to implement our business strategy successfully. Some of these risks are:</w:t>
      </w:r>
    </w:p>
    <w:p>
      <w:pPr>
        <w:spacing w:after="0" w:line="71" w:lineRule="exact"/>
        <w:rPr>
          <w:sz w:val="20"/>
          <w:szCs w:val="20"/>
          <w:color w:val="auto"/>
        </w:rPr>
      </w:pPr>
    </w:p>
    <w:p>
      <w:pPr>
        <w:ind w:left="1240" w:hanging="523"/>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experienced rapid growth in recent periods, and our recent growth rates may not be indicative of our future growth.</w:t>
      </w:r>
    </w:p>
    <w:p>
      <w:pPr>
        <w:spacing w:after="0" w:line="142" w:lineRule="exact"/>
        <w:rPr>
          <w:rFonts w:ascii="Arial" w:cs="Arial" w:eastAsia="Arial" w:hAnsi="Arial"/>
          <w:sz w:val="17"/>
          <w:szCs w:val="17"/>
          <w:color w:val="auto"/>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at our current scale, which makes it difficult to evaluate our future prospects and may increase the risk that we will not be successful.</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profitability or, if achieved, sustain profitability.</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quarterly results may fluctuate significantly and may not meet our expectations or those of investors or securities analysts.</w:t>
      </w:r>
    </w:p>
    <w:p>
      <w:pPr>
        <w:spacing w:after="0" w:line="142" w:lineRule="exact"/>
        <w:rPr>
          <w:rFonts w:ascii="Arial" w:cs="Arial" w:eastAsia="Arial" w:hAnsi="Arial"/>
          <w:sz w:val="17"/>
          <w:szCs w:val="17"/>
          <w:color w:val="auto"/>
        </w:rPr>
      </w:pPr>
    </w:p>
    <w:p>
      <w:pPr>
        <w:jc w:val="both"/>
        <w:ind w:left="1240" w:right="140" w:hanging="523"/>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89" w:lineRule="exact"/>
        <w:rPr>
          <w:rFonts w:ascii="Arial" w:cs="Arial" w:eastAsia="Arial" w:hAnsi="Arial"/>
          <w:sz w:val="18"/>
          <w:szCs w:val="18"/>
          <w:color w:val="auto"/>
        </w:rPr>
      </w:pPr>
    </w:p>
    <w:p>
      <w:pPr>
        <w:ind w:left="1240" w:right="420" w:hanging="523"/>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industry, and competition presents an ongoing threat to the success of our business.</w:t>
      </w:r>
    </w:p>
    <w:p>
      <w:pPr>
        <w:spacing w:after="0" w:line="130" w:lineRule="exact"/>
        <w:rPr>
          <w:rFonts w:ascii="Arial" w:cs="Arial" w:eastAsia="Arial" w:hAnsi="Arial"/>
          <w:sz w:val="18"/>
          <w:szCs w:val="18"/>
          <w:color w:val="auto"/>
        </w:rPr>
      </w:pPr>
    </w:p>
    <w:p>
      <w:pPr>
        <w:ind w:left="1240" w:right="1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effectively develop and expand our direct sales capabilities would harm our ability to expand usage of our platform within our customer base and achieve broader market acceptance of our platform.</w:t>
      </w:r>
    </w:p>
    <w:p>
      <w:pPr>
        <w:spacing w:after="0" w:line="75" w:lineRule="exact"/>
        <w:rPr>
          <w:rFonts w:ascii="Arial" w:cs="Arial" w:eastAsia="Arial" w:hAnsi="Arial"/>
          <w:sz w:val="18"/>
          <w:szCs w:val="18"/>
          <w:color w:val="auto"/>
        </w:rPr>
      </w:pPr>
    </w:p>
    <w:p>
      <w:pPr>
        <w:ind w:left="1240" w:right="4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one or more of our key personnel, in particular our co-founder, President, Chief Executive Officer, and Chair, Dustin Moskovitz, would harm our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76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89"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pacing w:after="0" w:line="75" w:lineRule="exact"/>
        <w:rPr>
          <w:rFonts w:ascii="Arial" w:cs="Arial" w:eastAsia="Arial" w:hAnsi="Arial"/>
          <w:sz w:val="18"/>
          <w:szCs w:val="18"/>
          <w:color w:val="auto"/>
        </w:rPr>
      </w:pPr>
    </w:p>
    <w:p>
      <w:pPr>
        <w:ind w:left="1240" w:right="360" w:hanging="523"/>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COVID-19 pandemic has affected how we and our customers operate and has adversely affected the global economy, and the duration and extent to which this will affect our business, future results of operations, and financial condition, remains uncertain.</w:t>
      </w:r>
    </w:p>
    <w:p>
      <w:pPr>
        <w:sectPr>
          <w:pgSz w:w="11900" w:h="16838" w:orient="portrait"/>
          <w:cols w:equalWidth="0" w:num="1">
            <w:col w:w="10940"/>
          </w:cols>
          <w:pgMar w:left="320" w:top="459" w:right="639" w:bottom="1440" w:gutter="0" w:footer="0" w:header="0"/>
        </w:sectPr>
      </w:pPr>
    </w:p>
    <w:p>
      <w:pPr>
        <w:spacing w:after="0" w:line="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trading price of our Class A common stock may be volatile and could, upon listing on rapidly.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decline significantly and</w:t>
      </w:r>
    </w:p>
    <w:p>
      <w:pPr>
        <w:spacing w:after="0" w:line="369" w:lineRule="exact"/>
        <w:rPr>
          <w:sz w:val="20"/>
          <w:szCs w:val="20"/>
          <w:color w:val="auto"/>
        </w:rPr>
      </w:pPr>
    </w:p>
    <w:p>
      <w:pPr>
        <w:sectPr>
          <w:pgSz w:w="11900" w:h="16838" w:orient="portrait"/>
          <w:cols w:equalWidth="0" w:num="3">
            <w:col w:w="780" w:space="460"/>
            <w:col w:w="6700" w:space="720"/>
            <w:col w:w="2280"/>
          </w:cols>
          <w:pgMar w:left="320" w:top="459" w:right="639" w:bottom="1440" w:gutter="0" w:footer="0" w:header="0"/>
          <w:type w:val="continuous"/>
        </w:sect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5320" w:val="left"/>
        </w:tabs>
        <w:rPr>
          <w:sz w:val="20"/>
          <w:szCs w:val="20"/>
          <w:color w:val="auto"/>
        </w:rPr>
      </w:pPr>
      <w:r>
        <w:rPr>
          <w:rFonts w:ascii="Arial" w:cs="Arial" w:eastAsia="Arial" w:hAnsi="Arial"/>
          <w:sz w:val="18"/>
          <w:szCs w:val="18"/>
          <w:color w:val="auto"/>
        </w:rPr>
        <w:t>The trading price of our Class A common stock, upon listing on</w:t>
      </w:r>
      <w:r>
        <w:rPr>
          <w:sz w:val="20"/>
          <w:szCs w:val="20"/>
          <w:color w:val="auto"/>
        </w:rPr>
        <w:tab/>
      </w:r>
      <w:r>
        <w:rPr>
          <w:rFonts w:ascii="Arial" w:cs="Arial" w:eastAsia="Arial" w:hAnsi="Arial"/>
          <w:sz w:val="16"/>
          <w:szCs w:val="16"/>
          <w:color w:val="auto"/>
        </w:rPr>
        <w:t>, may have little or no relationship to the historical sales</w:t>
      </w:r>
    </w:p>
    <w:p>
      <w:pPr>
        <w:spacing w:after="0" w:line="23" w:lineRule="exact"/>
        <w:rPr>
          <w:sz w:val="20"/>
          <w:szCs w:val="20"/>
          <w:color w:val="auto"/>
        </w:rPr>
      </w:pPr>
    </w:p>
    <w:p>
      <w:pPr>
        <w:sectPr>
          <w:pgSz w:w="11900" w:h="16838" w:orient="portrait"/>
          <w:cols w:equalWidth="0" w:num="2">
            <w:col w:w="780" w:space="460"/>
            <w:col w:w="9700"/>
          </w:cols>
          <w:pgMar w:left="320" w:top="459" w:right="639" w:bottom="1440" w:gutter="0" w:footer="0" w:header="0"/>
          <w:type w:val="continuous"/>
        </w:sectPr>
      </w:pPr>
    </w:p>
    <w:p>
      <w:pPr>
        <w:ind w:left="1240"/>
        <w:spacing w:after="0"/>
        <w:rPr>
          <w:sz w:val="20"/>
          <w:szCs w:val="20"/>
          <w:color w:val="auto"/>
        </w:rPr>
      </w:pPr>
      <w:r>
        <w:rPr>
          <w:rFonts w:ascii="Arial" w:cs="Arial" w:eastAsia="Arial" w:hAnsi="Arial"/>
          <w:sz w:val="18"/>
          <w:szCs w:val="18"/>
          <w:color w:val="auto"/>
        </w:rPr>
        <w:t>prices of our capital stock in private transactions, and such private transactions have been limited.</w:t>
      </w:r>
    </w:p>
    <w:p>
      <w:pPr>
        <w:spacing w:after="0" w:line="116" w:lineRule="exact"/>
        <w:rPr>
          <w:sz w:val="20"/>
          <w:szCs w:val="20"/>
          <w:color w:val="auto"/>
        </w:rPr>
      </w:pPr>
    </w:p>
    <w:p>
      <w:pPr>
        <w:ind w:left="1240" w:right="10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active, liquid, and orderly market for our Class A common stock may not develop or be sustained. You may be unable to sell your shares of Class A common stock at or above the price at which you purchased them.</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w:t>
      </w:r>
    </w:p>
    <w:p>
      <w:pPr>
        <w:sectPr>
          <w:pgSz w:w="11900" w:h="16838" w:orient="portrait"/>
          <w:cols w:equalWidth="0" w:num="1">
            <w:col w:w="10940"/>
          </w:cols>
          <w:pgMar w:left="320" w:top="459" w:right="639" w:bottom="1440" w:gutter="0" w:footer="0" w:header="0"/>
          <w:type w:val="continuous"/>
        </w:sectPr>
      </w:pPr>
    </w:p>
    <w:p>
      <w:pPr>
        <w:spacing w:after="0" w:line="46" w:lineRule="exact"/>
        <w:rPr>
          <w:sz w:val="20"/>
          <w:szCs w:val="20"/>
          <w:color w:val="auto"/>
        </w:rPr>
      </w:pPr>
    </w:p>
    <w:p>
      <w:pPr>
        <w:ind w:left="1240" w:right="120"/>
        <w:spacing w:after="0" w:line="250" w:lineRule="auto"/>
        <w:rPr>
          <w:sz w:val="20"/>
          <w:szCs w:val="20"/>
          <w:color w:val="auto"/>
        </w:rPr>
      </w:pPr>
      <w:r>
        <w:rPr>
          <w:rFonts w:ascii="Arial" w:cs="Arial" w:eastAsia="Arial" w:hAnsi="Arial"/>
          <w:sz w:val="18"/>
          <w:szCs w:val="18"/>
          <w:color w:val="auto"/>
        </w:rPr>
        <w:t>capital stock prior to the listing of our Class A common stock on , including our founders, directors, executive officers, and their respective affiliates, who held in the aggregate % of the voting power of our capital stock as of , 2020. This</w:t>
      </w:r>
    </w:p>
    <w:p>
      <w:pPr>
        <w:sectPr>
          <w:pgSz w:w="11900" w:h="16838" w:orient="portrait"/>
          <w:cols w:equalWidth="0" w:num="1">
            <w:col w:w="10940"/>
          </w:cols>
          <w:pgMar w:left="320" w:top="459" w:right="639" w:bottom="1440" w:gutter="0" w:footer="0" w:header="0"/>
          <w:type w:val="continuous"/>
        </w:sectPr>
      </w:pPr>
    </w:p>
    <w:p>
      <w:pPr>
        <w:spacing w:after="0" w:line="1" w:lineRule="exact"/>
        <w:rPr>
          <w:sz w:val="20"/>
          <w:szCs w:val="20"/>
          <w:color w:val="auto"/>
        </w:rPr>
      </w:pPr>
    </w:p>
    <w:p>
      <w:pPr>
        <w:ind w:left="1240" w:right="320"/>
        <w:spacing w:after="0" w:line="255" w:lineRule="auto"/>
        <w:rPr>
          <w:sz w:val="20"/>
          <w:szCs w:val="20"/>
          <w:color w:val="auto"/>
        </w:rPr>
      </w:pPr>
      <w:r>
        <w:rPr>
          <w:rFonts w:ascii="Arial" w:cs="Arial" w:eastAsia="Arial" w:hAnsi="Arial"/>
          <w:sz w:val="18"/>
          <w:szCs w:val="18"/>
          <w:color w:val="auto"/>
        </w:rPr>
        <w:t>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95" w:lineRule="exact"/>
        <w:rPr>
          <w:sz w:val="20"/>
          <w:szCs w:val="20"/>
          <w:color w:val="auto"/>
        </w:rPr>
      </w:pPr>
    </w:p>
    <w:p>
      <w:pPr>
        <w:ind w:left="1240" w:hanging="523"/>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market price of our Class A common stock to decline.</w:t>
      </w:r>
    </w:p>
    <w:p>
      <w:pPr>
        <w:spacing w:after="0" w:line="184"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adversely affected.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We were incorporated in December 2008 as Smiley Abstractions, Inc., a Delaware corporation. In July 2009, we changed our name to Asana, Inc. Our principal executive offices are located at 1550 Bryant Street, Suite 200, San Francisco, CA 94103, and our telephone number is (415)</w:t>
      </w:r>
    </w:p>
    <w:p>
      <w:pPr>
        <w:ind w:left="300" w:right="220"/>
        <w:spacing w:after="0" w:line="255" w:lineRule="auto"/>
        <w:rPr>
          <w:sz w:val="20"/>
          <w:szCs w:val="20"/>
          <w:color w:val="auto"/>
        </w:rPr>
      </w:pPr>
      <w:r>
        <w:rPr>
          <w:rFonts w:ascii="Arial" w:cs="Arial" w:eastAsia="Arial" w:hAnsi="Arial"/>
          <w:sz w:val="18"/>
          <w:szCs w:val="18"/>
          <w:color w:val="auto"/>
        </w:rPr>
        <w:t>525-3888. Our website address is www.asana.com. The information on, or that can be accessed through, our website is not incorporated by reference into this prospectus and should not be considered part of this prospectus. Investors should not rely on any such information in deciding whether to purchase our Class A common stock.</w:t>
      </w:r>
    </w:p>
    <w:p>
      <w:pPr>
        <w:spacing w:after="0" w:line="190" w:lineRule="exact"/>
        <w:rPr>
          <w:sz w:val="20"/>
          <w:szCs w:val="20"/>
          <w:color w:val="auto"/>
        </w:rPr>
      </w:pPr>
    </w:p>
    <w:p>
      <w:pPr>
        <w:ind w:left="300" w:right="60" w:firstLine="426"/>
        <w:spacing w:after="0" w:line="275" w:lineRule="auto"/>
        <w:rPr>
          <w:sz w:val="20"/>
          <w:szCs w:val="20"/>
          <w:color w:val="auto"/>
        </w:rPr>
      </w:pPr>
      <w:r>
        <w:rPr>
          <w:rFonts w:ascii="Arial" w:cs="Arial" w:eastAsia="Arial" w:hAnsi="Arial"/>
          <w:sz w:val="17"/>
          <w:szCs w:val="17"/>
          <w:color w:val="auto"/>
        </w:rPr>
        <w:t xml:space="preserve">The Asana design logo, “Asana,” and our other registered or common law trademarks, service marks, or trade names appearing in this prospectus are the property of Asana, Inc. Solely for convenience, our trademarks, tradenames, and service marks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04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blog posts on our website, press releases, public conference calls, webcasts, our twitter feed (@asana), our Facebook page, our Instagram account (@asana), and our LinkedIn page.</w:t>
      </w:r>
    </w:p>
    <w:p>
      <w:pPr>
        <w:spacing w:after="0" w:line="187" w:lineRule="exact"/>
        <w:rPr>
          <w:sz w:val="20"/>
          <w:szCs w:val="20"/>
          <w:color w:val="auto"/>
        </w:rPr>
      </w:pPr>
    </w:p>
    <w:p>
      <w:pPr>
        <w:ind w:left="300" w:right="440" w:firstLine="426"/>
        <w:spacing w:after="0" w:line="308" w:lineRule="auto"/>
        <w:rPr>
          <w:sz w:val="20"/>
          <w:szCs w:val="20"/>
          <w:color w:val="auto"/>
        </w:rPr>
      </w:pPr>
      <w:r>
        <w:rPr>
          <w:rFonts w:ascii="Arial" w:cs="Arial" w:eastAsia="Arial" w:hAnsi="Arial"/>
          <w:sz w:val="17"/>
          <w:szCs w:val="17"/>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46" w:lineRule="exact"/>
        <w:rPr>
          <w:sz w:val="20"/>
          <w:szCs w:val="20"/>
          <w:color w:val="auto"/>
        </w:rPr>
      </w:pPr>
    </w:p>
    <w:p>
      <w:pPr>
        <w:ind w:left="300" w:right="180" w:firstLine="426"/>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As a company with less than $1.07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54" w:lineRule="exact"/>
        <w:rPr>
          <w:sz w:val="20"/>
          <w:szCs w:val="20"/>
          <w:color w:val="auto"/>
        </w:rPr>
      </w:pPr>
    </w:p>
    <w:p>
      <w:pPr>
        <w:ind w:left="1240" w:right="40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w:t>
      </w:r>
    </w:p>
    <w:p>
      <w:pPr>
        <w:spacing w:after="0" w:line="75" w:lineRule="exact"/>
        <w:rPr>
          <w:rFonts w:ascii="Arial" w:cs="Arial" w:eastAsia="Arial" w:hAnsi="Arial"/>
          <w:sz w:val="18"/>
          <w:szCs w:val="18"/>
          <w:color w:val="auto"/>
        </w:rPr>
      </w:pPr>
    </w:p>
    <w:p>
      <w:pPr>
        <w:ind w:left="1240" w:right="140" w:hanging="523"/>
        <w:spacing w:after="0" w:line="342"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exemption from compliance with any requirement that the Public Company Accounting Oversight Board, or the PCAOB, has adopted regarding a supplement to the auditor’s report providing additional information about the audit and the financial statements;</w:t>
      </w:r>
    </w:p>
    <w:p>
      <w:pPr>
        <w:spacing w:after="0" w:line="29" w:lineRule="exact"/>
        <w:rPr>
          <w:rFonts w:ascii="Arial" w:cs="Arial" w:eastAsia="Arial" w:hAnsi="Arial"/>
          <w:sz w:val="16"/>
          <w:szCs w:val="16"/>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240" w:right="22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requirements to obtain a non-binding advisory vote on executive compensation or a stockholder approval of any golden parachute arrangements; and</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5"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will remain an emerging growth company until the earliest to occur of: (i) the end of the first fiscal year in which our annual gross revenues are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the end of the fiscal year during which the fifth anniversary of this listing occurs. We may choose to take advantage of some, but not all, of the available benefits under the JOBS Act. We are electing to use the extended transition periods available under the JOBS Act for complying with new or revised accounting standards, and we currently intend to take advantage of the other exemptions discussed above. Accordingly, the information contained herein may be different from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660" w:firstLine="426"/>
        <w:spacing w:after="0" w:line="273" w:lineRule="auto"/>
        <w:rPr>
          <w:sz w:val="20"/>
          <w:szCs w:val="20"/>
          <w:color w:val="auto"/>
        </w:rPr>
      </w:pPr>
      <w:r>
        <w:rPr>
          <w:rFonts w:ascii="Arial" w:cs="Arial" w:eastAsia="Arial" w:hAnsi="Arial"/>
          <w:sz w:val="17"/>
          <w:szCs w:val="17"/>
          <w:i w:val="1"/>
          <w:iCs w:val="1"/>
          <w:color w:val="auto"/>
        </w:rPr>
        <w:t>The following tables summarize our consolidated financial data. The summary consolidated statements of operations data for the years ended January 31, 2019 and 2020 (except the pro forma share and net loss per share information) and consolidated balance sheet data as of January 31, 2020 have been derived from our audited consolidated financial statements included elsewhere in this prospectus. Our historical results are not necessarily indicative of the results that may be expected in the future. You should read the following summary consolidated financial data below in conjunction with the section titled “Management’s Discussion and Analysis of Financial Condition and Results of Operations” and our consolidated financial statements included elsewhere in this prospectus.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5"/>
          </w:tcPr>
          <w:p>
            <w:pPr>
              <w:jc w:val="center"/>
              <w:ind w:right="11"/>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0"/>
              </w:rPr>
              <w:t>share amounts)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76,770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142,606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13,832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19,881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180"/>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122,725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42,585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89,675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52,106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105,836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20,260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46,845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2"/>
              </w:rPr>
              <w:t>114,951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242,356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ind w:left="180"/>
              <w:spacing w:after="0"/>
              <w:rPr>
                <w:sz w:val="20"/>
                <w:szCs w:val="20"/>
                <w:color w:val="auto"/>
              </w:rPr>
            </w:pPr>
            <w:r>
              <w:rPr>
                <w:rFonts w:ascii="Arial" w:cs="Arial" w:eastAsia="Arial" w:hAnsi="Arial"/>
                <w:sz w:val="18"/>
                <w:szCs w:val="18"/>
                <w:color w:val="auto"/>
              </w:rPr>
              <w:t>Loss from operations</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(52,013)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(119,631)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(50,900)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(118,344)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(50,928</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(118,589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(0.78)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65,214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70,335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143,887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7300" w:type="dxa"/>
            <w:vAlign w:val="bottom"/>
            <w:gridSpan w:val="2"/>
          </w:tcPr>
          <w:p>
            <w:pPr>
              <w:jc w:val="right"/>
              <w:ind w:right="1610"/>
              <w:spacing w:after="0"/>
              <w:rPr>
                <w:sz w:val="20"/>
                <w:szCs w:val="20"/>
                <w:color w:val="auto"/>
              </w:rPr>
            </w:pPr>
            <w:r>
              <w:rPr>
                <w:rFonts w:ascii="Arial" w:cs="Arial" w:eastAsia="Arial" w:hAnsi="Arial"/>
                <w:sz w:val="18"/>
                <w:szCs w:val="18"/>
                <w:color w:val="auto"/>
              </w:rPr>
              <w:t>12</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20" w:hanging="422"/>
        <w:spacing w:after="0"/>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36" w:lineRule="exact"/>
        <w:rPr>
          <w:sz w:val="20"/>
          <w:szCs w:val="20"/>
          <w:color w:val="auto"/>
        </w:rPr>
      </w:pPr>
    </w:p>
    <w:tbl>
      <w:tblPr>
        <w:tblLayout w:type="fixed"/>
        <w:tblInd w:w="840" w:type="dxa"/>
        <w:tblCellMar>
          <w:top w:w="0" w:type="dxa"/>
          <w:left w:w="0" w:type="dxa"/>
          <w:bottom w:w="0" w:type="dxa"/>
          <w:right w:w="0" w:type="dxa"/>
        </w:tblCellMar>
      </w:tblPr>
      <w:tr>
        <w:trPr>
          <w:trHeight w:val="135"/>
        </w:trPr>
        <w:tc>
          <w:tcPr>
            <w:tcW w:w="8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Year Ended January 31,</w:t>
            </w:r>
          </w:p>
        </w:tc>
      </w:tr>
      <w:tr>
        <w:trPr>
          <w:trHeight w:val="115"/>
        </w:trPr>
        <w:tc>
          <w:tcPr>
            <w:tcW w:w="86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rPr>
              <w:t>2019</w:t>
            </w:r>
          </w:p>
        </w:tc>
        <w:tc>
          <w:tcPr>
            <w:tcW w:w="3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91"/>
              <w:spacing w:after="0" w:line="115" w:lineRule="exact"/>
              <w:rPr>
                <w:sz w:val="20"/>
                <w:szCs w:val="20"/>
                <w:color w:val="auto"/>
              </w:rPr>
            </w:pPr>
            <w:r>
              <w:rPr>
                <w:rFonts w:ascii="Arial" w:cs="Arial" w:eastAsia="Arial" w:hAnsi="Arial"/>
                <w:sz w:val="11"/>
                <w:szCs w:val="11"/>
                <w:b w:val="1"/>
                <w:bCs w:val="1"/>
                <w:color w:val="auto"/>
                <w:w w:val="97"/>
              </w:rPr>
              <w:t>2020</w:t>
            </w:r>
          </w:p>
        </w:tc>
        <w:tc>
          <w:tcPr>
            <w:tcW w:w="40" w:type="dxa"/>
            <w:vAlign w:val="bottom"/>
          </w:tcPr>
          <w:p>
            <w:pPr>
              <w:spacing w:after="0"/>
              <w:rPr>
                <w:sz w:val="10"/>
                <w:szCs w:val="10"/>
                <w:color w:val="auto"/>
              </w:rPr>
            </w:pPr>
          </w:p>
        </w:tc>
      </w:tr>
      <w:tr>
        <w:trPr>
          <w:trHeight w:val="115"/>
        </w:trPr>
        <w:tc>
          <w:tcPr>
            <w:tcW w:w="8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tcPr>
          <w:p>
            <w:pPr>
              <w:ind w:left="280"/>
              <w:spacing w:after="0" w:line="115" w:lineRule="exact"/>
              <w:rPr>
                <w:sz w:val="20"/>
                <w:szCs w:val="20"/>
                <w:color w:val="auto"/>
              </w:rPr>
            </w:pPr>
            <w:r>
              <w:rPr>
                <w:rFonts w:ascii="Arial" w:cs="Arial" w:eastAsia="Arial" w:hAnsi="Arial"/>
                <w:sz w:val="11"/>
                <w:szCs w:val="11"/>
                <w:b w:val="1"/>
                <w:bCs w:val="1"/>
                <w:color w:val="auto"/>
              </w:rPr>
              <w:t>(in thousands)</w:t>
            </w:r>
          </w:p>
        </w:tc>
        <w:tc>
          <w:tcPr>
            <w:tcW w:w="40" w:type="dxa"/>
            <w:vAlign w:val="bottom"/>
          </w:tcPr>
          <w:p>
            <w:pPr>
              <w:spacing w:after="0"/>
              <w:rPr>
                <w:sz w:val="10"/>
                <w:szCs w:val="10"/>
                <w:color w:val="auto"/>
              </w:rPr>
            </w:pPr>
          </w:p>
        </w:tc>
      </w:tr>
      <w:tr>
        <w:trPr>
          <w:trHeight w:val="148"/>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w:t>
            </w:r>
          </w:p>
        </w:tc>
      </w:tr>
      <w:tr>
        <w:trPr>
          <w:trHeight w:val="149"/>
        </w:trPr>
        <w:tc>
          <w:tcPr>
            <w:tcW w:w="86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5,160</w:t>
            </w: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24,869</w:t>
            </w:r>
          </w:p>
        </w:tc>
      </w:tr>
      <w:tr>
        <w:trPr>
          <w:trHeight w:val="148"/>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2,108</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10,177</w:t>
            </w:r>
          </w:p>
        </w:tc>
      </w:tr>
      <w:tr>
        <w:trPr>
          <w:trHeight w:val="148"/>
        </w:trPr>
        <w:tc>
          <w:tcPr>
            <w:tcW w:w="86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1,242</w:t>
            </w: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13,237</w:t>
            </w:r>
          </w:p>
        </w:tc>
      </w:tr>
      <w:tr>
        <w:trPr>
          <w:trHeight w:val="27"/>
        </w:trPr>
        <w:tc>
          <w:tcPr>
            <w:tcW w:w="8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8"/>
        </w:trPr>
        <w:tc>
          <w:tcPr>
            <w:tcW w:w="8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8,547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48,386</w:t>
            </w:r>
          </w:p>
        </w:tc>
      </w:tr>
      <w:tr>
        <w:trPr>
          <w:trHeight w:val="20"/>
        </w:trPr>
        <w:tc>
          <w:tcPr>
            <w:tcW w:w="8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720" w:right="460"/>
        <w:spacing w:after="0" w:line="253" w:lineRule="auto"/>
        <w:rPr>
          <w:sz w:val="20"/>
          <w:szCs w:val="20"/>
          <w:color w:val="auto"/>
        </w:rPr>
      </w:pPr>
      <w:r>
        <w:rPr>
          <w:rFonts w:ascii="Arial" w:cs="Arial" w:eastAsia="Arial" w:hAnsi="Arial"/>
          <w:sz w:val="14"/>
          <w:szCs w:val="14"/>
          <w:color w:val="auto"/>
        </w:rPr>
        <w:t>Stock-based compensation expense for fiscal 2019 and fiscal 2020 includes $3.8 million and $38.7 million, respectively, of compensation expense related to tender offers described in Note 10 to our consolidated financial statements included elsewhere in this prospectus.</w:t>
      </w:r>
    </w:p>
    <w:p>
      <w:pPr>
        <w:spacing w:after="0" w:line="79" w:lineRule="exact"/>
        <w:rPr>
          <w:sz w:val="20"/>
          <w:szCs w:val="20"/>
          <w:color w:val="auto"/>
        </w:rPr>
      </w:pPr>
    </w:p>
    <w:p>
      <w:pPr>
        <w:ind w:left="720" w:right="60" w:hanging="422"/>
        <w:spacing w:after="0" w:line="290" w:lineRule="auto"/>
        <w:tabs>
          <w:tab w:leader="none" w:pos="7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Note 2 and Note 8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As of January 31, 2020</w:t>
            </w:r>
          </w:p>
        </w:tc>
      </w:tr>
      <w:tr>
        <w:trPr>
          <w:trHeight w:val="142"/>
        </w:trPr>
        <w:tc>
          <w:tcPr>
            <w:tcW w:w="6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Actual</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6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980" w:type="dxa"/>
            <w:vAlign w:val="bottom"/>
            <w:gridSpan w:val="2"/>
          </w:tcPr>
          <w:p>
            <w:pPr>
              <w:jc w:val="right"/>
              <w:ind w:right="452"/>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3500" w:type="dxa"/>
            <w:vAlign w:val="bottom"/>
            <w:gridSpan w:val="2"/>
          </w:tcPr>
          <w:p>
            <w:pPr>
              <w:jc w:val="right"/>
              <w:ind w:right="168"/>
              <w:spacing w:after="0"/>
              <w:rPr>
                <w:sz w:val="20"/>
                <w:szCs w:val="20"/>
                <w:color w:val="auto"/>
              </w:rPr>
            </w:pPr>
            <w:r>
              <w:rPr>
                <w:rFonts w:ascii="Arial" w:cs="Arial" w:eastAsia="Arial" w:hAnsi="Arial"/>
                <w:sz w:val="18"/>
                <w:szCs w:val="18"/>
                <w:color w:val="auto"/>
              </w:rPr>
              <w:t>$ 351,308</w:t>
            </w:r>
          </w:p>
        </w:tc>
        <w:tc>
          <w:tcPr>
            <w:tcW w:w="1000" w:type="dxa"/>
            <w:vAlign w:val="bottom"/>
          </w:tcPr>
          <w:p>
            <w:pPr>
              <w:jc w:val="right"/>
              <w:spacing w:after="0"/>
              <w:rPr>
                <w:sz w:val="20"/>
                <w:szCs w:val="20"/>
                <w:color w:val="auto"/>
              </w:rPr>
            </w:pPr>
            <w:r>
              <w:rPr>
                <w:rFonts w:ascii="Arial" w:cs="Arial" w:eastAsia="Arial" w:hAnsi="Arial"/>
                <w:sz w:val="18"/>
                <w:szCs w:val="18"/>
                <w:color w:val="auto"/>
              </w:rPr>
              <w:t>$  351,308</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3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280,506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280,506</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3500" w:type="dxa"/>
            <w:vAlign w:val="bottom"/>
            <w:gridSpan w:val="2"/>
          </w:tcPr>
          <w:p>
            <w:pPr>
              <w:jc w:val="right"/>
              <w:ind w:right="168"/>
              <w:spacing w:after="0"/>
              <w:rPr>
                <w:sz w:val="20"/>
                <w:szCs w:val="20"/>
                <w:color w:val="auto"/>
              </w:rPr>
            </w:pPr>
            <w:r>
              <w:rPr>
                <w:rFonts w:ascii="Arial" w:cs="Arial" w:eastAsia="Arial" w:hAnsi="Arial"/>
                <w:sz w:val="18"/>
                <w:szCs w:val="18"/>
                <w:color w:val="auto"/>
              </w:rPr>
              <w:t>421,692</w:t>
            </w:r>
          </w:p>
        </w:tc>
        <w:tc>
          <w:tcPr>
            <w:tcW w:w="1000" w:type="dxa"/>
            <w:vAlign w:val="bottom"/>
          </w:tcPr>
          <w:p>
            <w:pPr>
              <w:jc w:val="right"/>
              <w:spacing w:after="0"/>
              <w:rPr>
                <w:sz w:val="20"/>
                <w:szCs w:val="20"/>
                <w:color w:val="auto"/>
              </w:rPr>
            </w:pPr>
            <w:r>
              <w:rPr>
                <w:rFonts w:ascii="Arial" w:cs="Arial" w:eastAsia="Arial" w:hAnsi="Arial"/>
                <w:sz w:val="18"/>
                <w:szCs w:val="18"/>
                <w:color w:val="auto"/>
              </w:rPr>
              <w:t>421,692</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64,106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64,106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Convertible note, net - related party</w:t>
            </w:r>
            <w:r>
              <w:rPr>
                <w:rFonts w:ascii="Arial" w:cs="Arial" w:eastAsia="Arial" w:hAnsi="Arial"/>
                <w:sz w:val="15"/>
                <w:szCs w:val="15"/>
                <w:color w:val="auto"/>
              </w:rPr>
              <w:t>(3)</w:t>
            </w:r>
          </w:p>
        </w:tc>
        <w:tc>
          <w:tcPr>
            <w:tcW w:w="3500" w:type="dxa"/>
            <w:vAlign w:val="bottom"/>
            <w:gridSpan w:val="2"/>
          </w:tcPr>
          <w:p>
            <w:pPr>
              <w:jc w:val="right"/>
              <w:ind w:right="168"/>
              <w:spacing w:after="0"/>
              <w:rPr>
                <w:sz w:val="20"/>
                <w:szCs w:val="20"/>
                <w:color w:val="auto"/>
              </w:rPr>
            </w:pPr>
            <w:r>
              <w:rPr>
                <w:rFonts w:ascii="Arial" w:cs="Arial" w:eastAsia="Arial" w:hAnsi="Arial"/>
                <w:sz w:val="18"/>
                <w:szCs w:val="18"/>
                <w:color w:val="auto"/>
              </w:rPr>
              <w:t>203,097</w:t>
            </w:r>
          </w:p>
        </w:tc>
        <w:tc>
          <w:tcPr>
            <w:tcW w:w="1000" w:type="dxa"/>
            <w:vAlign w:val="bottom"/>
          </w:tcPr>
          <w:p>
            <w:pPr>
              <w:jc w:val="right"/>
              <w:spacing w:after="0"/>
              <w:rPr>
                <w:sz w:val="20"/>
                <w:szCs w:val="20"/>
                <w:color w:val="auto"/>
              </w:rPr>
            </w:pPr>
            <w:r>
              <w:rPr>
                <w:rFonts w:ascii="Arial" w:cs="Arial" w:eastAsia="Arial" w:hAnsi="Arial"/>
                <w:sz w:val="18"/>
                <w:szCs w:val="18"/>
                <w:color w:val="auto"/>
              </w:rPr>
              <w:t>203,097</w:t>
            </w:r>
          </w:p>
        </w:tc>
        <w:tc>
          <w:tcPr>
            <w:tcW w:w="6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3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250,581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3500" w:type="dxa"/>
            <w:vAlign w:val="bottom"/>
            <w:gridSpan w:val="2"/>
          </w:tcPr>
          <w:p>
            <w:pPr>
              <w:jc w:val="right"/>
              <w:ind w:right="108"/>
              <w:spacing w:after="0"/>
              <w:rPr>
                <w:sz w:val="20"/>
                <w:szCs w:val="20"/>
                <w:color w:val="auto"/>
              </w:rPr>
            </w:pPr>
            <w:r>
              <w:rPr>
                <w:rFonts w:ascii="Arial" w:cs="Arial" w:eastAsia="Arial" w:hAnsi="Arial"/>
                <w:sz w:val="18"/>
                <w:szCs w:val="18"/>
                <w:color w:val="auto"/>
              </w:rPr>
              <w:t>(145,315)</w:t>
            </w:r>
          </w:p>
        </w:tc>
        <w:tc>
          <w:tcPr>
            <w:tcW w:w="1000" w:type="dxa"/>
            <w:vAlign w:val="bottom"/>
          </w:tcPr>
          <w:p>
            <w:pPr>
              <w:jc w:val="right"/>
              <w:spacing w:after="0"/>
              <w:rPr>
                <w:sz w:val="20"/>
                <w:szCs w:val="20"/>
                <w:color w:val="auto"/>
              </w:rPr>
            </w:pPr>
            <w:r>
              <w:rPr>
                <w:rFonts w:ascii="Arial" w:cs="Arial" w:eastAsia="Arial" w:hAnsi="Arial"/>
                <w:sz w:val="18"/>
                <w:szCs w:val="18"/>
                <w:color w:val="auto"/>
              </w:rPr>
              <w:t>105,266</w:t>
            </w:r>
          </w:p>
        </w:tc>
        <w:tc>
          <w:tcPr>
            <w:tcW w:w="60" w:type="dxa"/>
            <w:vAlign w:val="bottom"/>
          </w:tcPr>
          <w:p>
            <w:pPr>
              <w:spacing w:after="0"/>
              <w:rPr>
                <w:sz w:val="20"/>
                <w:szCs w:val="20"/>
                <w:color w:val="auto"/>
              </w:rPr>
            </w:pPr>
          </w:p>
        </w:tc>
      </w:tr>
    </w:tbl>
    <w:p>
      <w:pPr>
        <w:spacing w:after="0" w:line="142" w:lineRule="exact"/>
        <w:rPr>
          <w:sz w:val="20"/>
          <w:szCs w:val="20"/>
          <w:color w:val="auto"/>
        </w:rPr>
      </w:pPr>
    </w:p>
    <w:p>
      <w:pPr>
        <w:ind w:left="720" w:right="460" w:hanging="422"/>
        <w:spacing w:after="0" w:line="230"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 forma column in the consolidated balance sheet table above reflects the automatic conversion of all outstanding shares of our preferred stock into an aggregate of 73,577,455 shares of our Class B common stock, as if such conversion had occurred on January 31, 2020.</w:t>
      </w:r>
    </w:p>
    <w:p>
      <w:pPr>
        <w:ind w:left="720" w:hanging="422"/>
        <w:spacing w:after="0" w:line="221"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ind w:left="720" w:hanging="422"/>
        <w:spacing w:after="0"/>
        <w:tabs>
          <w:tab w:leader="none" w:pos="7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3.5% senior mandatory convertible promissory note due 2025. For additional information, see “Description of Capital Stock—Senior Mandatory Convertible Promissory Note.”</w:t>
      </w: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300" w:right="20" w:firstLine="426"/>
        <w:spacing w:after="0" w:line="308" w:lineRule="auto"/>
        <w:rPr>
          <w:sz w:val="20"/>
          <w:szCs w:val="20"/>
          <w:color w:val="auto"/>
        </w:rPr>
      </w:pPr>
      <w:r>
        <w:rPr>
          <w:rFonts w:ascii="Arial" w:cs="Arial" w:eastAsia="Arial" w:hAnsi="Arial"/>
          <w:sz w:val="17"/>
          <w:szCs w:val="17"/>
          <w:color w:val="auto"/>
        </w:rPr>
        <w:t>The following table summarizes our non-GAAP financial measures for each fiscal year presented below. In addition to our results determined in accordance with GAAP, we believe these non-GAAP financial measures are useful in evaluating our operating performance.</w:t>
      </w:r>
    </w:p>
    <w:p>
      <w:pPr>
        <w:spacing w:after="0" w:line="165"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Year Ended January 31,</w:t>
      </w:r>
    </w:p>
    <w:p>
      <w:pPr>
        <w:spacing w:after="0" w:line="17" w:lineRule="exact"/>
        <w:rPr>
          <w:sz w:val="20"/>
          <w:szCs w:val="20"/>
          <w:color w:val="auto"/>
        </w:rPr>
      </w:pPr>
    </w:p>
    <w:p>
      <w:pPr>
        <w:ind w:left="9180"/>
        <w:spacing w:after="0"/>
        <w:tabs>
          <w:tab w:leader="none" w:pos="10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ind w:left="946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2"/>
              </w:rPr>
              <w:t>(43,466)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(71,245)</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Free cash flow</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2"/>
              </w:rPr>
              <w:t>(33,587)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(47,398)</w:t>
            </w:r>
          </w:p>
        </w:tc>
      </w:tr>
    </w:tbl>
    <w:p>
      <w:pPr>
        <w:spacing w:after="0" w:line="187" w:lineRule="exact"/>
        <w:rPr>
          <w:sz w:val="20"/>
          <w:szCs w:val="20"/>
          <w:color w:val="auto"/>
        </w:rPr>
      </w:pPr>
    </w:p>
    <w:p>
      <w:pPr>
        <w:ind w:left="300" w:right="560" w:firstLine="426"/>
        <w:spacing w:after="0" w:line="263" w:lineRule="auto"/>
        <w:rPr>
          <w:sz w:val="20"/>
          <w:szCs w:val="20"/>
          <w:color w:val="auto"/>
        </w:rPr>
      </w:pPr>
      <w:r>
        <w:rPr>
          <w:rFonts w:ascii="Arial" w:cs="Arial" w:eastAsia="Arial" w:hAnsi="Arial"/>
          <w:sz w:val="18"/>
          <w:szCs w:val="18"/>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17"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We have experienced rapid growth in recent periods. In future periods, we expect our revenue growth rate to decline. Further, as we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7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new individuals, teams, and organizations as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 or maintain our dollar-based net retention rate, expand usage within organizations, and sell subscriptions;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our subscription plans effectively;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convert individuals, teams, and organizations on our free and trial versions into paying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including in markets outside of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successfully expand our sales force;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w:t>
      </w:r>
    </w:p>
    <w:p>
      <w:pPr>
        <w:spacing w:after="0" w:line="22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 We have also encountered in the past, and expect to encounter in the future, risks and uncertainties frequently experienced by growing companies in rapidly evolving industries. If our assumptions regarding these risks and uncertainties, which we use to plan and operate our business, are incorrect or change, or if we do not address these risks successfully, our revenue growth rates may slow and our business, results of operations, and financial condition would suffer.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been growing rapidly in recent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We have encountered, and will continue to encounter, risks and uncertainties frequently experienced by growing companies in evolving industries.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losses, and we may not be able to achieve profitability or, if achieved, sustain profitability.</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incurred net losses in each fiscal year since our founding. We generated net losses of $50.9 million and $118.6 million in fiscal 2019 and fiscal 2020, respectively. As of January 31, 2020, we had an accumulated deficit of $329.7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continue to make substantial future investments and expenditures related to the growth of our business, including:</w:t>
      </w:r>
    </w:p>
    <w:p>
      <w:pPr>
        <w:spacing w:after="0" w:line="13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our sales and marketing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investments in research and development to introduce new features and enhancements to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hiring additional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investments in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our operations across our multiple geographies;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costs associated with our general and administrative organization.</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29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believe our long-term value as a company will be greater if we focus on growth, which may negatively impact our profitability in the near and medium term.</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 significant part of our business strategy and culture is to focus on long-term growth and customer success over short-term financial results. For example, in fiscal 2020, we increased our operating expenses to $242.4 million as compared to $115.0 million in fiscal 2019. In fiscal 2020, our net loss increased to $118.6 million from $50.9 million in fiscal 2019. As a result, in the near and medium term, we may continue to operate at a loss, or our near- and medium-term profitability may be lower than it would be if our strategy were to maximize near- and medium-term profitability. We expect to continue making significant expenditures on sales and marketing efforts, and expenditures to grow our platform and develop new features, integrations, capabilities, and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meet our expectations or those of investors or securities analysts.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5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within organizations, and sell subscriptions;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convert individuals, teams, and organizations using our free and trial versions into paying customers;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which would lead to lower revenues, increased costs, or both;</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expenses and recognition of revenues;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to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buying patterns for software spending;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 and</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14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30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subscriptions plans and customers of our Premium plan to upgrade to our Business or Enterprise plans. Additionally, we seek to expand within enterprises by adding new customers, having organizations upgrade to our Business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Sales efforts targeted at larger customers typically involve greater costs,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Moreover, these larger subscription plans may require us to delay revenue recognition on some of these transactions until the technical</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or implementation requirements have been met. If our efforts to sell to organizations of all sizes are not successful or do not generate additional revenues, our business, results of operations, and financial condition would suffer.</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w:t>
      </w:r>
    </w:p>
    <w:p>
      <w:pPr>
        <w:spacing w:after="0" w:line="166"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to Business and Enterprise plans.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or customers’ budgetary constraints. If customers do not renew their subscriptions, renew on less favorable terms, or fail to add more individuals, teams, and organizations, or if we fail to upgrade individuals, teams, and organizations to our paid subscription plans, or expand the adoption of our platform within organizations, our revenues may decline or grow less quickly than anticipated, which would harm our business, results of operations, and financial condition.</w:t>
      </w:r>
    </w:p>
    <w:p>
      <w:pPr>
        <w:spacing w:after="0" w:line="27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One of our marketing strategies is to offer free and trial subscription plans, and we may not be able to continue to realize the benefits of this strategy.</w:t>
      </w:r>
    </w:p>
    <w:p>
      <w:pPr>
        <w:spacing w:after="0" w:line="6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offer free and trial subscription plans to promote brand awareness and organic adoption of our platform. Historically, only a small percentage of individuals, teams, and organizations using our free and trial subscription plans has converted into one of our paid subscription plans.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derive, and expect to continue to derive, substantially all of our revenues from a single product.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derive, and expect to continue to derive, substantially all of our revenues from a single product.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price, product, and service changes by us or our competitors; technological changes and developments within the markets we serve; growth, contraction, and rapid evolution of our market; and general economic conditions and trends. If we are unable to continue to meet the demands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286"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1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security or privacy concerns, competing technologies and products, decreases in corporate spending, or otherwise, it could result in decreased revenues, and our business, results of operations, and financial condition would be adversely affected.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competition presents an ongoing threat to the success of our business.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management and work management categories, including, but not limited to, solutions relating to email, messaging, and spreadsheets. Our competitors generally fall into the following groups: companies specifically offering work management solutions, such as Smartsheet Inc. and monday.com Ltd.; companies offering productivity suites, such as Microsoft Corporation, or Microsoft, and Alphabet, Inc., or Google; and companies specializing in vertical solutions that address a portion of our market, such as Atlassian Corporation Plc for developers.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 the following:</w:t>
      </w:r>
    </w:p>
    <w:p>
      <w:pPr>
        <w:spacing w:after="0" w:line="13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adaptability of our platform to a broad range of use cases;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market acceptance of our platform and the timing and market acceptance of new features and enhancements to our platform or the offerings of our competitors;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use, performance, price, security, and reliability of solutions developed either by us or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brand strength;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and marketing efforts, including our ability to grow our market share domestically and internationally;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diversity of our customer base;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support efforts; and</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to create easy to use integrations for, and robust, effective partnerships with, other larger enterprise software solutions and tools.</w:t>
      </w:r>
    </w:p>
    <w:p>
      <w:pPr>
        <w:spacing w:after="0" w:line="17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w:t>
      </w:r>
    </w:p>
    <w:p>
      <w:pPr>
        <w:spacing w:after="0" w:line="176"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9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2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direct sales capabilities would harm our ability to expand usage of our platform within our customer base and achieve broader market acceptance of our platform.</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continue expanding our direct sales force, both domestically and internationally, to expand use of our platform within our customer base, and reach larger teams and organizations. This expansion will require us to continue to invest significant financial and other resources to train and grow our direct sales force in order to complement our self-service go-to-market approach. Our business, results of operations, and financial condition will be harmed if our efforts do not generate a corresponding increase in revenues. We may not achieve anticipated revenue growth from expanding our direct sales force if we are unable to hire and develop talented direct sales personnel, if our new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29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loss of one or more of our key personnel, in particular our co-founder, President, Chief Executive Officer, and Chair, Dustin Moskovitz, would harm our business.</w:t>
      </w:r>
    </w:p>
    <w:p>
      <w:pPr>
        <w:spacing w:after="0" w:line="6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and key employees are employed on an at-will basis. We currently do not have “key person” insurance on any of our employees. The loss of key personnel, including our co-founder, President, Chief Executive Officer, and Chair, Dustin Moskovitz, and other key members of management, as well as our product development, engineering, sales, and marketing personnel, would disrupt our operations and have an adverse effect on our ability to grow our business. Changes in our senior management team may also cause disruptions in, and harm to, our business, results of operations, and financial condition.</w:t>
      </w:r>
    </w:p>
    <w:p>
      <w:pPr>
        <w:spacing w:after="0" w:line="29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 very competitive markets to continue to execute on our business strategy and growth plans.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stock options and other equity awards, or by other compensation arrangements, may not be as effective as in the past. Many of the companies with which we compete for experienced personnel have greater resources than we have. If we do not succeed in attracting excellent personnel or retaining or motivating existing personnel, we may be unable to innovate quickly enough to support our business model or grow effectively.</w:t>
      </w:r>
    </w:p>
    <w:p>
      <w:pPr>
        <w:spacing w:after="0" w:line="303"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Breaches of our security measures or those of our third-party service providers or cyber security incidents would result in unauthorized access to our sites, networks, systems, and accounts; unauthorized access to, and misappropriation of, individuals’ personal information or other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liability. Actual or anticipated security breaches or attacks may cause us to incur increasing costs, including costs to deploy additional personnel and protection technologies, train employees, and engage third-party experts and consultants.</w:t>
      </w:r>
    </w:p>
    <w:p>
      <w:pPr>
        <w:spacing w:after="0" w:line="17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62"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We may experience system slowdowns and interruptions from time to time.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Moreover, Amazon Web Services, or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Real or perceived errors, failures, vulnerabilities, or bugs in our platform would harm our business, results of operations, and financial condition.</w:t>
      </w:r>
    </w:p>
    <w:p>
      <w:pPr>
        <w:spacing w:after="0" w:line="15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273"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3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particular, we have developed our platform to be able to easily integrate with third-party applications, including the applications of software providers that compete with us as well as our partners, through the interaction of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9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modifies its terms of service or other policies, including fees charged to, or other restrictions on us, or other application developers;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225"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Further, our platform includes a mobile application to enable individuals, teams,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9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62"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296"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work management solutions at all, and some or many of those companies may choose to continue using legacy tools, spreadsheets, email, manual processes, or other tools offered by our competitors. It is impossible to build every product feature that every customer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revenues for us. Even if the market in which we compete meets the size estimates and growth forecasted in this prospectus,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business could fail to grow for a variety of reasons outside of our control, including competition in our industry. If any of these risks materialize, it could adversely affect our results of operations.</w:t>
      </w:r>
    </w:p>
    <w:p>
      <w:pPr>
        <w:spacing w:after="0" w:line="2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6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w:t>
      </w:r>
    </w:p>
    <w:p>
      <w:pPr>
        <w:spacing w:after="0" w:line="17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2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27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other party. Any of these events would cause our business and results of operations to be materially and adversely affected as a result.</w:t>
      </w:r>
    </w:p>
    <w:p>
      <w:pPr>
        <w:spacing w:after="0" w:line="23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28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62"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7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of our intellectual property would negatively affect our business.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protect our technology or platform and provide us with competitive advantages. Furthermore, any issued patents may be challenged, invalidated, or circumvented by third parties.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in the past and may in the future become subject to legal proceedings and claims that arise in the ordinary course of business. We could be sued or face regulatory action for defamation, civil rights infringement, negligence, intellectual property rights infringement, invasion of privacy,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300"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6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portion of the technologies we use in our platform and mobile application incorporates “open source” software, and we may incorporate open source software in our platform and mobile application in the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8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5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27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receive, process, store, and use business and personal information belonging to our users and customers. There are numerous federal, state, local, and foreign laws and regulations regarding data protection and the storing, sharing, use, processing, disclosure, and protection of business and personal information.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policies, privacy-related obligations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to users, customers, or other third parties, or our privacy-related legal obligations, or any data compromise that results in the unauthorized release or transfer of business or personal information or other user or customer data, may result in domestic or foreign governmental enforcement actions, fines,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addition, data protection regulation is an area of increased focus and changing requirements. Any significant change in applicable laws, regulations, or industry practices regarding the use or disclosure of our users’ or customers’ data, or regarding the manner in which the express or implied consent of users or customers for the use and disclosure of such data is obtained, could require us to modify our platform, possibly in a material manner, and may limit our ability to develop new services and features that make use of the data that our users and customers voluntarily share. For example, the General Data Protection Regulation 2016/679, or GDPR, which came into effect in the European Union in May 2018 and superseded prior E.U. data protection legislation, imposes more stringent data protection requirements and provides for greater penalties for noncompliance. The GDPR enhances data protection obligations for processors and controllers of personal information, including, for example, expanded disclosures of requirements, limitations on retention of personal information, mandatory data breach notification requirements, and additional obligations. Non-compliance with the GDPR can trigger fines of up to the greater of €20 million or 4% of our global revenues. While we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 Further, the United Kingdom has initiated the formal process to leave the European Union, creating uncertainty with regard to the regulation of data protection in the United Kingdom. While the United Kingdom has committed to maintaining data protection laws and regulations designed to be consistent with the GDPR, it remains unclear how data protection law in the United Kingdom will continue to develop once a formal exit occurs, and how data transfers to and from the United Kingdom will be regulated.</w:t>
      </w:r>
    </w:p>
    <w:p>
      <w:pPr>
        <w:spacing w:after="0" w:line="16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Similarly, there are a number of legislative proposals in the United States, at both the federal and state level, and in the European Union and more globally, that could impose new obligations in areas affecting our business, such as e-commerce and other related legislation or liability for copyright infringement by third parties. In addition, some countries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If we are unable to develop and offer products that meet legal requirements or help our users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8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Data protection legislation is also becoming increasingly common in the United States at both the federal and state level. For example, the California Consumer Privacy Act of 2018, or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a way that would be currently considered a “sale” under the CCPA, regulations from the California attorney general’s office on the specific requirements of the CCPA are still in draft form and compliance with the law remains a moving target. It also remains unclear how stringent the California attorney general’s office will be in enforcing the law,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Similar laws have been proposed in other states and at the federal level, and if passed, such laws may have potentially conflicting requirements that would make compliance challenging. Additionally, the Federal Trade Commission and many state attorneys general continue to enforce federal and state consumer protection laws against companies for online collection, use, dissemination, and security practices that appear to be unfair or deceptive. We cannot yet determine the impact that future laws, regulations, and standards may have on our business.</w:t>
      </w:r>
    </w:p>
    <w:p>
      <w:pPr>
        <w:spacing w:after="0" w:line="28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30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are subject to various export, import, and trade and economic sanction laws and regulations controls that could impair our ability to compete in international markets and subject us to liability for noncompliance.</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Our business activities are subject to various export, import, and trade and economic sanction laws and regulations, including, among others, the U.S. Export Administration Regulations, administered by the Department of Commerce’s Bureau of Industry and Security, or BIS, and economic and trade sanctions regulations maintained by the U.S. Department of the Treasury’s Office of Foreign Assets Control, or OFAC,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w:t>
      </w:r>
    </w:p>
    <w:p>
      <w:pPr>
        <w:spacing w:after="0" w:line="16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Until recently, we did not have a comprehensive Trade Controls compliance program. Although we have since implemented controls designed to promote and achieve compliance with applicable Trade Controls, we may have previously provided certain services to some customers in apparent violation of U.S. sanctions laws and exported software and source code prior to submitting required filings and obtaining authorization from BIS regarding exports of our software. As a result, we have submitted voluntary self-disclosures concerning these activities to OFAC and BIS. It is possible that these activities may result in administrative fines or penalties. In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addition, if we are found to be in violation of U.S. economic sanctions or export control laws for other activities, it could result in fines and penalties. We may also be adversely affected through reputational harm, loss of access to certain markets, or otherwise. While we continue to review and assess the facts and circumstances surrounding these or other possible violations, we are simultaneously working to further enhance our compliance program regarding applicable Trade Controls. These controls include the implementation of IP address blocking functionality, screenings of our users against government lists of restricted and prohibited persons, training our employees, and the development of a global Trade Controls policy.</w:t>
      </w:r>
    </w:p>
    <w:p>
      <w:pPr>
        <w:spacing w:after="0" w:line="16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spacing w:after="0" w:line="16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Finally, changes in our platform or future changes in Trade Controls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4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For fiscal 2020, 41% of our revenues were generated from customers outside the United States. We have operations in Dublin, London, Munich, Reykjavik, Sydney, Tokyo, and Vancouver, in addition to New York and San Francisco.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6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need to localize and adapt our platform for specific countries, including translation into foreign languages and associated expenses;</w:t>
      </w:r>
    </w:p>
    <w:p>
      <w:pPr>
        <w:spacing w:after="0" w:line="153"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collections issues;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privacy, and data protection laws and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9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2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part of our business strategy to expand our platform and grow our business in response to changing technologies, customer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80"/>
        <w:spacing w:after="0" w:line="342" w:lineRule="auto"/>
        <w:rPr>
          <w:sz w:val="20"/>
          <w:szCs w:val="20"/>
          <w:color w:val="auto"/>
        </w:rPr>
      </w:pPr>
      <w:r>
        <w:rPr>
          <w:rFonts w:ascii="Arial" w:cs="Arial" w:eastAsia="Arial" w:hAnsi="Arial"/>
          <w:sz w:val="16"/>
          <w:szCs w:val="16"/>
          <w:color w:val="auto"/>
        </w:rPr>
        <w:t>(including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93"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would have an adverse effect on our business.</w:t>
      </w:r>
    </w:p>
    <w:p>
      <w:pPr>
        <w:spacing w:after="0" w:line="16"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In April 2020, we entered into a five-year loan and security agreement with Silicon Valley Bank. The agreement provides for a senior secured term loan facility, in an aggregate principal amount of up to $40.0 million, to be used for the construction of our new corporate headquarters.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and to encumber our intellectual property. Our business may be adversely affected by these restrictions on our ability to operate our business.</w:t>
      </w:r>
    </w:p>
    <w:p>
      <w:pPr>
        <w:spacing w:after="0" w:line="17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Additionally, we may be required to repay the outstanding indebtedness under the loan facility if an event of default occurs under the loan and security agreement. Under the loan and security agreement, an event of default will occur if, among other things, we fail to make payments under the loan and security agreement; we breach certain of our covenants under the loan and security agreement, subject to specified cure periods with respect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certain breaches; we or our assets become subject to certain legal proceedings, such as bankruptcy proceedings; we are unable to pay our debts as they become due; or we default on contracts with third parties which would permit Silicon Valley Bank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Silicon Valley Bank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American Institute of Certified Public Accountants, the Securities and Exchange Commission,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8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w:t>
      </w:r>
    </w:p>
    <w:p>
      <w:pPr>
        <w:spacing w:after="0" w:line="1" w:lineRule="exact"/>
        <w:rPr>
          <w:sz w:val="20"/>
          <w:szCs w:val="20"/>
          <w:color w:val="auto"/>
        </w:rPr>
      </w:pPr>
    </w:p>
    <w:p>
      <w:pPr>
        <w:ind w:left="120" w:right="80" w:firstLine="716"/>
        <w:spacing w:after="0" w:line="253" w:lineRule="auto"/>
        <w:tabs>
          <w:tab w:leader="none" w:pos="9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3"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26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6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Income, sales, use,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may be subject to taxation in several jurisdictions around the world with increasingly complex tax laws, the application of which can be uncertain. Although we have not been required to pay income taxes, other than in immaterial amounts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30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may be harmed if we are required to collect sales or other related taxes for subscriptions to our platform in jurisdictions where we have not historically done so.</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 results of operations, and financial condition.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We do not expect to become profitable in the near future, may never achieve profitability, and have incurred substantial net operating losses, or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While we do not believe we have experienced ownership changes in the past, it is possible we have done so, and we may experience ownership changes in the future as a result of our</w:t>
      </w:r>
    </w:p>
    <w:p>
      <w:pPr>
        <w:spacing w:after="0" w:line="4" w:lineRule="exact"/>
        <w:rPr>
          <w:sz w:val="20"/>
          <w:szCs w:val="20"/>
          <w:color w:val="auto"/>
        </w:rPr>
      </w:pPr>
    </w:p>
    <w:p>
      <w:pPr>
        <w:ind w:left="120" w:right="880"/>
        <w:spacing w:after="0" w:line="260" w:lineRule="auto"/>
        <w:rPr>
          <w:sz w:val="20"/>
          <w:szCs w:val="20"/>
          <w:color w:val="auto"/>
        </w:rPr>
      </w:pPr>
      <w:r>
        <w:rPr>
          <w:rFonts w:ascii="Arial" w:cs="Arial" w:eastAsia="Arial" w:hAnsi="Arial"/>
          <w:sz w:val="18"/>
          <w:szCs w:val="18"/>
          <w:color w:val="auto"/>
        </w:rPr>
        <w:t>listing on , or subsequent shifts in our stock ownership (some of which shifts are outside our control). As a result, even if we attain profitability, we may be unable to use a material portion of our NOLs and other tax attributes.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exposure to foreign currency exchange rate fluctuations.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5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revenues and expenses that are not readily apparent from other sources. Significant assumptions and estimates used in preparing our consolidated financial statements include those related to the useful lives and carrying values of long-lived assets, the fair value of the convertible note,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Natural disasters or other catastrophic events may cause damage or disruption to our operations, international commerce, and the global economy, and thus could harm our business. In particular, the COVID-19 pandemic, including the reactions of governments, markets, and the general public, may result in a number of adverse consequences for our business, operations, and results of operations, many of which are beyond our control. 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data security, and loss of critical data,</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295"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b w:val="1"/>
          <w:bCs w:val="1"/>
          <w:i w:val="1"/>
          <w:iCs w:val="1"/>
          <w:color w:val="auto"/>
        </w:rPr>
        <w:t>The COVID-19 pandemic has affected how we and our customers operate and has adversely affected the global economy, and the duration and extent to which this will affect our business, future results of operations, and financial condition, remains uncertain.</w:t>
      </w:r>
    </w:p>
    <w:p>
      <w:pPr>
        <w:spacing w:after="0" w:line="3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December 2019, COVID-19 was first reported to the World Health Organization, or WHO, and in January 2020, the WHO declared the outbreak to be a public health emergency. In March 2020, the WHO subsequently characterized COVID-19 as a pandemic. The COVID-19 pandemic and efforts to control its spread have significantly curtailed the movement of people, goods, and services worldwide. As a result, we have temporarily closed our headquarters and other offices, required our employees and contractors to work remotely, and implemented travel restrictions, all of which represent a significant disruption in how we operate our business. The operations of our partners and customers have likewise been disrupted. 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our platform, lengthen our sales cycles, reduce the value or duration of subscriptions, negatively impact collections of accounts receivable, reduce expected spending from new customers, cause some of our paying customers to go out of business, limit the ability of our direct sales force to travel to customers and potential customers, and affect contraction or attrition rates of our paying customers, all of which could adversely affect our business, results of operations, and financial condition. Additionally, concerns over the economic impact of COVID-19 have caused extreme volatility in financial and other capital markets, which may adversely affect our stock price and our ability to access capital markets in the future.</w:t>
      </w:r>
    </w:p>
    <w:p>
      <w:pPr>
        <w:spacing w:after="0" w:line="29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which could</w:t>
      </w:r>
    </w:p>
    <w:p>
      <w:pPr>
        <w:spacing w:after="0" w:line="46"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be as long as five years following the completion of our listing on , we may choose to take advantage of certain exemptions from various reporting requirements applicable to other public companies that are not emerging growth companies, including not being required to comply with the auditor attestation requirements of Section 404, reduced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listing differs significantly from an underwritten initial public offering.</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00" w:type="dxa"/>
            <w:vAlign w:val="bottom"/>
            <w:gridSpan w:val="5"/>
          </w:tcPr>
          <w:p>
            <w:pPr>
              <w:ind w:left="440"/>
              <w:spacing w:after="0"/>
              <w:rPr>
                <w:sz w:val="20"/>
                <w:szCs w:val="20"/>
                <w:color w:val="auto"/>
              </w:rPr>
            </w:pPr>
            <w:r>
              <w:rPr>
                <w:rFonts w:ascii="Arial" w:cs="Arial" w:eastAsia="Arial" w:hAnsi="Arial"/>
                <w:sz w:val="18"/>
                <w:szCs w:val="18"/>
                <w:color w:val="auto"/>
                <w:w w:val="99"/>
              </w:rPr>
              <w:t>This is not an underwritten initial public offering of our Class A common stock. This listing of our Class A common stock on</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differs</w:t>
            </w:r>
          </w:p>
        </w:tc>
      </w:tr>
      <w:tr>
        <w:trPr>
          <w:trHeight w:val="230"/>
        </w:trPr>
        <w:tc>
          <w:tcPr>
            <w:tcW w:w="9040" w:type="dxa"/>
            <w:vAlign w:val="bottom"/>
            <w:gridSpan w:val="4"/>
          </w:tcPr>
          <w:p>
            <w:pPr>
              <w:spacing w:after="0"/>
              <w:rPr>
                <w:sz w:val="20"/>
                <w:szCs w:val="20"/>
                <w:color w:val="auto"/>
              </w:rPr>
            </w:pPr>
            <w:r>
              <w:rPr>
                <w:rFonts w:ascii="Arial" w:cs="Arial" w:eastAsia="Arial" w:hAnsi="Arial"/>
                <w:sz w:val="18"/>
                <w:szCs w:val="18"/>
                <w:color w:val="auto"/>
                <w:w w:val="95"/>
              </w:rPr>
              <w:t>from an underwritten initial public offering in several significant ways, which include, but are not limited to, the following:</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3"/>
        </w:trPr>
        <w:tc>
          <w:tcPr>
            <w:tcW w:w="720" w:type="dxa"/>
            <w:vAlign w:val="bottom"/>
          </w:tcPr>
          <w:p>
            <w:pPr>
              <w:ind w:left="420"/>
              <w:spacing w:after="0"/>
              <w:rPr>
                <w:sz w:val="20"/>
                <w:szCs w:val="20"/>
                <w:color w:val="auto"/>
              </w:rPr>
            </w:pPr>
            <w:r>
              <w:rPr>
                <w:rFonts w:ascii="Arial" w:cs="Arial" w:eastAsia="Arial" w:hAnsi="Arial"/>
                <w:sz w:val="18"/>
                <w:szCs w:val="18"/>
                <w:color w:val="auto"/>
              </w:rPr>
              <w:t>•</w:t>
            </w: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w w:val="97"/>
              </w:rPr>
              <w:t>There are no underwriters. Consequently, prior to the opening of trading on</w:t>
            </w:r>
          </w:p>
        </w:tc>
        <w:tc>
          <w:tcPr>
            <w:tcW w:w="4200" w:type="dxa"/>
            <w:vAlign w:val="bottom"/>
            <w:gridSpan w:val="3"/>
          </w:tcPr>
          <w:p>
            <w:pPr>
              <w:jc w:val="right"/>
              <w:spacing w:after="0"/>
              <w:rPr>
                <w:sz w:val="20"/>
                <w:szCs w:val="20"/>
                <w:color w:val="auto"/>
              </w:rPr>
            </w:pPr>
            <w:r>
              <w:rPr>
                <w:rFonts w:ascii="Arial" w:cs="Arial" w:eastAsia="Arial" w:hAnsi="Arial"/>
                <w:sz w:val="18"/>
                <w:szCs w:val="18"/>
                <w:color w:val="auto"/>
                <w:w w:val="99"/>
              </w:rPr>
              <w:t>, there will be no book building process and no price</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4"/>
              </w:rPr>
              <w:t>at which underwriters initially sell shares to the public to help inform efficient and sufficient price discovery with respect to the opening</w:t>
            </w:r>
          </w:p>
        </w:tc>
      </w:tr>
      <w:tr>
        <w:trPr>
          <w:trHeight w:val="216"/>
        </w:trPr>
        <w:tc>
          <w:tcPr>
            <w:tcW w:w="72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3"/>
              </w:rPr>
              <w:t>trades on</w:t>
            </w:r>
          </w:p>
        </w:tc>
        <w:tc>
          <w:tcPr>
            <w:tcW w:w="9300" w:type="dxa"/>
            <w:vAlign w:val="bottom"/>
            <w:gridSpan w:val="4"/>
          </w:tcPr>
          <w:p>
            <w:pPr>
              <w:jc w:val="right"/>
              <w:ind w:right="390"/>
              <w:spacing w:after="0"/>
              <w:rPr>
                <w:sz w:val="20"/>
                <w:szCs w:val="20"/>
                <w:color w:val="auto"/>
              </w:rPr>
            </w:pPr>
            <w:r>
              <w:rPr>
                <w:rFonts w:ascii="Arial" w:cs="Arial" w:eastAsia="Arial" w:hAnsi="Arial"/>
                <w:sz w:val="18"/>
                <w:szCs w:val="18"/>
                <w:color w:val="auto"/>
                <w:w w:val="98"/>
              </w:rPr>
              <w:t>. Therefore, buy and sell orders submitted prior to and at the opening of trading of our Class A common stock on</w:t>
            </w:r>
          </w:p>
        </w:tc>
      </w:tr>
      <w:tr>
        <w:trPr>
          <w:trHeight w:val="216"/>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300" w:type="dxa"/>
            <w:vAlign w:val="bottom"/>
            <w:gridSpan w:val="4"/>
          </w:tcPr>
          <w:p>
            <w:pPr>
              <w:jc w:val="right"/>
              <w:spacing w:after="0"/>
              <w:rPr>
                <w:sz w:val="20"/>
                <w:szCs w:val="20"/>
                <w:color w:val="auto"/>
              </w:rPr>
            </w:pPr>
            <w:r>
              <w:rPr>
                <w:rFonts w:ascii="Arial" w:cs="Arial" w:eastAsia="Arial" w:hAnsi="Arial"/>
                <w:sz w:val="18"/>
                <w:szCs w:val="18"/>
                <w:color w:val="auto"/>
                <w:w w:val="92"/>
              </w:rPr>
              <w:t>will not have the benefit of being informed by a published price range or a price at which the underwriters initially sell shares to</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7"/>
              </w:rPr>
              <w:t>the public, as would be the case in an underwritten initial public offering. Moreover, there will be no underwriters assuming risk in</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7"/>
              </w:rPr>
              <w:t>connection with the initial resale of shares of our Class A common stock. Additionally, there is no underwriters’ option to purchase</w:t>
            </w:r>
          </w:p>
        </w:tc>
      </w:tr>
      <w:tr>
        <w:trPr>
          <w:trHeight w:val="216"/>
        </w:trPr>
        <w:tc>
          <w:tcPr>
            <w:tcW w:w="720" w:type="dxa"/>
            <w:vAlign w:val="bottom"/>
          </w:tcPr>
          <w:p>
            <w:pPr>
              <w:spacing w:after="0"/>
              <w:rPr>
                <w:sz w:val="18"/>
                <w:szCs w:val="18"/>
                <w:color w:val="auto"/>
              </w:rPr>
            </w:pPr>
          </w:p>
        </w:tc>
        <w:tc>
          <w:tcPr>
            <w:tcW w:w="8320" w:type="dxa"/>
            <w:vAlign w:val="bottom"/>
            <w:gridSpan w:val="3"/>
          </w:tcPr>
          <w:p>
            <w:pPr>
              <w:ind w:left="240"/>
              <w:spacing w:after="0"/>
              <w:rPr>
                <w:sz w:val="20"/>
                <w:szCs w:val="20"/>
                <w:color w:val="auto"/>
              </w:rPr>
            </w:pPr>
            <w:r>
              <w:rPr>
                <w:rFonts w:ascii="Arial" w:cs="Arial" w:eastAsia="Arial" w:hAnsi="Arial"/>
                <w:sz w:val="18"/>
                <w:szCs w:val="18"/>
                <w:color w:val="auto"/>
                <w:w w:val="98"/>
              </w:rPr>
              <w:t>additional shares to help stabilize, maintain, or affect the trading price of our Class A common stock on</w:t>
            </w:r>
          </w:p>
        </w:tc>
        <w:tc>
          <w:tcPr>
            <w:tcW w:w="1940" w:type="dxa"/>
            <w:vAlign w:val="bottom"/>
            <w:gridSpan w:val="2"/>
          </w:tcPr>
          <w:p>
            <w:pPr>
              <w:jc w:val="right"/>
              <w:ind w:right="130"/>
              <w:spacing w:after="0"/>
              <w:rPr>
                <w:sz w:val="20"/>
                <w:szCs w:val="20"/>
                <w:color w:val="auto"/>
              </w:rPr>
            </w:pPr>
            <w:r>
              <w:rPr>
                <w:rFonts w:ascii="Arial" w:cs="Arial" w:eastAsia="Arial" w:hAnsi="Arial"/>
                <w:sz w:val="18"/>
                <w:szCs w:val="18"/>
                <w:color w:val="auto"/>
              </w:rPr>
              <w:t>immediately after the</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1"/>
              </w:rPr>
              <w:t>listing. In an underwritten initial public offering, the underwriters may engage in “covered” short sales in an amount of shares representing</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3"/>
              </w:rPr>
              <w:t>the underwriters’ option to purchase additional shares. To close a covered short position, the underwriters purchase shares in the open</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2"/>
              </w:rPr>
              <w:t>market or exercise the underwriters’ option to purchase additional shares. In determining the source of shares to close the covered short</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0"/>
              </w:rPr>
              <w:t>position, the underwriters typically consider, among other things, the price of shares available for purchase in the open market as compared</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4"/>
              </w:rPr>
              <w:t>to the price at which they may purchase shares through the underwriters’ option to purchase additional shares. Purchases in the open</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3"/>
              </w:rPr>
              <w:t>market to cover short positions, as well as other purchases underwriters may undertake for their own accounts, may have the effect of</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6"/>
              </w:rPr>
              <w:t>preventing a decline in the trading price of shares of our Class A common stock. Given that there will be no underwriters’ option to</w:t>
            </w:r>
          </w:p>
        </w:tc>
      </w:tr>
      <w:tr>
        <w:trPr>
          <w:trHeight w:val="216"/>
        </w:trPr>
        <w:tc>
          <w:tcPr>
            <w:tcW w:w="720" w:type="dxa"/>
            <w:vAlign w:val="bottom"/>
          </w:tcPr>
          <w:p>
            <w:pPr>
              <w:spacing w:after="0"/>
              <w:rPr>
                <w:sz w:val="18"/>
                <w:szCs w:val="18"/>
                <w:color w:val="auto"/>
              </w:rPr>
            </w:pPr>
          </w:p>
        </w:tc>
        <w:tc>
          <w:tcPr>
            <w:tcW w:w="10260" w:type="dxa"/>
            <w:vAlign w:val="bottom"/>
            <w:gridSpan w:val="5"/>
          </w:tcPr>
          <w:p>
            <w:pPr>
              <w:ind w:left="240"/>
              <w:spacing w:after="0"/>
              <w:rPr>
                <w:sz w:val="20"/>
                <w:szCs w:val="20"/>
                <w:color w:val="auto"/>
              </w:rPr>
            </w:pPr>
            <w:r>
              <w:rPr>
                <w:rFonts w:ascii="Arial" w:cs="Arial" w:eastAsia="Arial" w:hAnsi="Arial"/>
                <w:sz w:val="18"/>
                <w:szCs w:val="18"/>
                <w:color w:val="auto"/>
                <w:w w:val="93"/>
              </w:rPr>
              <w:t>purchase additional shares and no underwriters engaging in stabilizing transactions with respect to the trading of our Class A common</w:t>
            </w:r>
          </w:p>
        </w:tc>
      </w:tr>
      <w:tr>
        <w:trPr>
          <w:trHeight w:val="216"/>
        </w:trPr>
        <w:tc>
          <w:tcPr>
            <w:tcW w:w="72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rPr>
              <w:t>stock on</w:t>
            </w:r>
          </w:p>
        </w:tc>
        <w:tc>
          <w:tcPr>
            <w:tcW w:w="9300" w:type="dxa"/>
            <w:vAlign w:val="bottom"/>
            <w:gridSpan w:val="4"/>
          </w:tcPr>
          <w:p>
            <w:pPr>
              <w:jc w:val="right"/>
              <w:ind w:right="390"/>
              <w:spacing w:after="0"/>
              <w:rPr>
                <w:sz w:val="20"/>
                <w:szCs w:val="20"/>
                <w:color w:val="auto"/>
              </w:rPr>
            </w:pPr>
            <w:r>
              <w:rPr>
                <w:rFonts w:ascii="Arial" w:cs="Arial" w:eastAsia="Arial" w:hAnsi="Arial"/>
                <w:sz w:val="18"/>
                <w:szCs w:val="18"/>
                <w:color w:val="auto"/>
                <w:w w:val="99"/>
              </w:rPr>
              <w:t>, there could be greater volatility in the trading price of our Class A common stock during the period immediately</w:t>
            </w:r>
          </w:p>
        </w:tc>
      </w:tr>
      <w:tr>
        <w:trPr>
          <w:trHeight w:val="216"/>
        </w:trPr>
        <w:tc>
          <w:tcPr>
            <w:tcW w:w="720" w:type="dxa"/>
            <w:vAlign w:val="bottom"/>
          </w:tcPr>
          <w:p>
            <w:pPr>
              <w:spacing w:after="0"/>
              <w:rPr>
                <w:sz w:val="18"/>
                <w:szCs w:val="18"/>
                <w:color w:val="auto"/>
              </w:rPr>
            </w:pPr>
          </w:p>
        </w:tc>
        <w:tc>
          <w:tcPr>
            <w:tcW w:w="9380" w:type="dxa"/>
            <w:vAlign w:val="bottom"/>
            <w:gridSpan w:val="4"/>
          </w:tcPr>
          <w:p>
            <w:pPr>
              <w:ind w:left="240"/>
              <w:spacing w:after="0"/>
              <w:rPr>
                <w:sz w:val="20"/>
                <w:szCs w:val="20"/>
                <w:color w:val="auto"/>
              </w:rPr>
            </w:pPr>
            <w:r>
              <w:rPr>
                <w:rFonts w:ascii="Arial" w:cs="Arial" w:eastAsia="Arial" w:hAnsi="Arial"/>
                <w:sz w:val="18"/>
                <w:szCs w:val="18"/>
                <w:color w:val="auto"/>
                <w:w w:val="93"/>
              </w:rPr>
              <w:t>following the listing. See also “—The trading price of our Class A common stock may be volatile, and could, upon listing on</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720" w:type="dxa"/>
            <w:vAlign w:val="bottom"/>
          </w:tcPr>
          <w:p>
            <w:pPr>
              <w:spacing w:after="0"/>
              <w:rPr>
                <w:sz w:val="20"/>
                <w:szCs w:val="20"/>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decline significantly and rapidly.”</w:t>
            </w:r>
          </w:p>
        </w:tc>
        <w:tc>
          <w:tcPr>
            <w:tcW w:w="2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07" w:lineRule="exact"/>
        <w:rPr>
          <w:sz w:val="20"/>
          <w:szCs w:val="20"/>
          <w:color w:val="auto"/>
        </w:rPr>
      </w:pPr>
    </w:p>
    <w:p>
      <w:pPr>
        <w:jc w:val="both"/>
        <w:ind w:left="1080" w:right="20" w:hanging="532"/>
        <w:spacing w:after="0" w:line="29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is not a fixed or determined number of shares of Class A common stock available for sale in connection with the registration and the listing. Therefore, there can be no assurance that any Registered Stockholders or other existing stockholders will sell any of their shares of</w:t>
      </w:r>
    </w:p>
    <w:p>
      <w:pPr>
        <w:ind w:left="1080" w:right="60"/>
        <w:spacing w:after="0" w:line="281" w:lineRule="auto"/>
        <w:rPr>
          <w:sz w:val="20"/>
          <w:szCs w:val="20"/>
          <w:color w:val="auto"/>
        </w:rPr>
      </w:pPr>
      <w:r>
        <w:rPr>
          <w:rFonts w:ascii="Arial" w:cs="Arial" w:eastAsia="Arial" w:hAnsi="Arial"/>
          <w:sz w:val="16"/>
          <w:szCs w:val="16"/>
          <w:color w:val="auto"/>
        </w:rPr>
        <w:t>Class A common stock, and there may initially be a lack of supply of, or demand for, shares of Class A common stock on . Alternatively, we may have a large number of Registered Stockholders or other existing stockholders who choose to sell their shares of Class A common stock in the near term, resulting in potential oversupply of our Class A common stock, which could adversely impact the</w:t>
      </w:r>
    </w:p>
    <w:p>
      <w:pPr>
        <w:spacing w:after="0" w:line="2" w:lineRule="exact"/>
        <w:rPr>
          <w:sz w:val="20"/>
          <w:szCs w:val="20"/>
          <w:color w:val="auto"/>
        </w:rPr>
      </w:pPr>
    </w:p>
    <w:p>
      <w:pPr>
        <w:ind w:left="1080"/>
        <w:spacing w:after="0"/>
        <w:tabs>
          <w:tab w:leader="none" w:pos="5980" w:val="left"/>
        </w:tabs>
        <w:rPr>
          <w:sz w:val="20"/>
          <w:szCs w:val="20"/>
          <w:color w:val="auto"/>
        </w:rPr>
      </w:pPr>
      <w:r>
        <w:rPr>
          <w:rFonts w:ascii="Arial" w:cs="Arial" w:eastAsia="Arial" w:hAnsi="Arial"/>
          <w:sz w:val="18"/>
          <w:szCs w:val="18"/>
          <w:color w:val="auto"/>
        </w:rPr>
        <w:t>trading price of our Class A common stock once listed on</w:t>
      </w:r>
      <w:r>
        <w:rPr>
          <w:sz w:val="20"/>
          <w:szCs w:val="20"/>
          <w:color w:val="auto"/>
        </w:rPr>
        <w:tab/>
      </w:r>
      <w:r>
        <w:rPr>
          <w:rFonts w:ascii="Arial" w:cs="Arial" w:eastAsia="Arial" w:hAnsi="Arial"/>
          <w:sz w:val="15"/>
          <w:szCs w:val="15"/>
          <w:color w:val="auto"/>
        </w:rPr>
        <w:t>and thereafter.</w:t>
      </w:r>
    </w:p>
    <w:p>
      <w:pPr>
        <w:spacing w:after="0" w:line="116" w:lineRule="exact"/>
        <w:rPr>
          <w:sz w:val="20"/>
          <w:szCs w:val="20"/>
          <w:color w:val="auto"/>
        </w:rPr>
      </w:pPr>
    </w:p>
    <w:p>
      <w:pPr>
        <w:ind w:left="1080" w:right="40" w:hanging="532"/>
        <w:spacing w:after="0" w:line="289"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None of our Registered Stockholders or other existing stockholders have entered into contractual lock-up agreements or other restrictions on transfer. In an underwritten initial public offering, it is customary for an issuer’s officers, directors, and most or all of its other stockholders to enter into a 180-day contractual lock-up arrangement with the underwriters to help promote orderly trading immediately after such initial public offering. Consequently, any of our stockholders, including our directors and officers who own our Class A or Class B common stock and other significant stockholders, may sell any or all of their shares at any time (subject to any restrictions under applicable law, and in the case of shares of Class B common stock, upon conversion of any shares of Class B common stock into Class A common stock at the time of sale), including immediately upon listing. If such sales were to occur in a significant volume in a short period of time following the listing, it may result in an oversupply of our Class A common stock in the market, which could adversely impact the trading price of our Class A common stock. See also “—None of our stockholders are party to any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00"/>
        <w:spacing w:after="0" w:line="263" w:lineRule="auto"/>
        <w:rPr>
          <w:sz w:val="20"/>
          <w:szCs w:val="20"/>
          <w:color w:val="auto"/>
        </w:rPr>
      </w:pPr>
      <w:r>
        <w:rPr>
          <w:rFonts w:ascii="Arial" w:cs="Arial" w:eastAsia="Arial" w:hAnsi="Arial"/>
          <w:sz w:val="18"/>
          <w:szCs w:val="18"/>
          <w:color w:val="auto"/>
        </w:rPr>
        <w:t>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89" w:lineRule="exact"/>
        <w:rPr>
          <w:sz w:val="20"/>
          <w:szCs w:val="20"/>
          <w:color w:val="auto"/>
        </w:rPr>
      </w:pPr>
    </w:p>
    <w:p>
      <w:pPr>
        <w:ind w:left="1080" w:hanging="539"/>
        <w:spacing w:after="0" w:line="270" w:lineRule="auto"/>
        <w:tabs>
          <w:tab w:leader="none" w:pos="10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We will not conduct a traditional “roadshow” with underwriters prior to the opening of trading of our Class A common stock on . Instead, we will host an investor day and are engaging in certain other investor education meetings. In advance of the investor day, we plan to announce the date for such day over financial news outlets in a manner consistent with typical corporate outreach to investors. We will prepare an electronic presentation for this investor day, which content will be similar to a traditional roadshow presentation. We will make a version of the presentation publicly available, without restrictions, on our website. There can be no guarantee that the investor day and other investor education meetings will be as effective a method of investor education as a traditional “roadshow” conducted in connection with an underwritten initial public offering. As a result, there may not be efficient or sufficient price discovery with respect to our Class A common stock or sufficient demand among potential investors immediately after our listing, which could result in a more volatile trading price of our Class A common stock.</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Such differences from an underwritten initial public offering could result in a volatile trading price for our Class A common stock and uncertain trading volume, which may adversely affect your ability to sell any Class A common stock that you may purchase.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agreed to indemnify certain of the Registered Stockholders for certain claims arising in connection with sales under this prospectus.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Large indemnity payments would adversely affect our business, results of operations, and financial condition.</w:t>
      </w:r>
    </w:p>
    <w:p>
      <w:pPr>
        <w:spacing w:after="0" w:line="319" w:lineRule="exact"/>
        <w:rPr>
          <w:sz w:val="20"/>
          <w:szCs w:val="20"/>
          <w:color w:val="auto"/>
        </w:rPr>
      </w:pPr>
    </w:p>
    <w:p>
      <w:pPr>
        <w:ind w:left="120"/>
        <w:spacing w:after="0"/>
        <w:tabs>
          <w:tab w:leader="none" w:pos="7500" w:val="left"/>
        </w:tabs>
        <w:rPr>
          <w:sz w:val="20"/>
          <w:szCs w:val="20"/>
          <w:color w:val="auto"/>
        </w:rPr>
      </w:pPr>
      <w:r>
        <w:rPr>
          <w:rFonts w:ascii="Arial" w:cs="Arial" w:eastAsia="Arial" w:hAnsi="Arial"/>
          <w:sz w:val="18"/>
          <w:szCs w:val="18"/>
          <w:b w:val="1"/>
          <w:bCs w:val="1"/>
          <w:i w:val="1"/>
          <w:iCs w:val="1"/>
          <w:color w:val="auto"/>
        </w:rPr>
        <w:t>The trading price of our Class A common stock may be volatile and could, upon listing on</w:t>
      </w:r>
      <w:r>
        <w:rPr>
          <w:sz w:val="20"/>
          <w:szCs w:val="20"/>
          <w:color w:val="auto"/>
        </w:rPr>
        <w:tab/>
      </w:r>
      <w:r>
        <w:rPr>
          <w:rFonts w:ascii="Arial" w:cs="Arial" w:eastAsia="Arial" w:hAnsi="Arial"/>
          <w:sz w:val="15"/>
          <w:szCs w:val="15"/>
          <w:b w:val="1"/>
          <w:bCs w:val="1"/>
          <w:i w:val="1"/>
          <w:iCs w:val="1"/>
          <w:color w:val="auto"/>
        </w:rPr>
        <w:t>, decline significantly and rapidly.</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The listing of our Class A common stock and the registration of the Registered Stockholders’ shares of Class A common stock is a novel process that is not an underwritten initial public offering. We have engaged certain investment banks to serve as our financial advisors. There will be no book building process and no price at which underwriters initially sell shares to the public to help inform efficient and sufficient price discovery with respect</w:t>
      </w:r>
    </w:p>
    <w:p>
      <w:pPr>
        <w:spacing w:after="0" w:line="2" w:lineRule="exact"/>
        <w:rPr>
          <w:sz w:val="20"/>
          <w:szCs w:val="20"/>
          <w:color w:val="auto"/>
        </w:rPr>
      </w:pPr>
    </w:p>
    <w:p>
      <w:pPr>
        <w:ind w:left="120"/>
        <w:spacing w:after="0"/>
        <w:tabs>
          <w:tab w:leader="none" w:pos="2800" w:val="left"/>
        </w:tabs>
        <w:rPr>
          <w:sz w:val="20"/>
          <w:szCs w:val="20"/>
          <w:color w:val="auto"/>
        </w:rPr>
      </w:pPr>
      <w:r>
        <w:rPr>
          <w:rFonts w:ascii="Arial" w:cs="Arial" w:eastAsia="Arial" w:hAnsi="Arial"/>
          <w:sz w:val="18"/>
          <w:szCs w:val="18"/>
          <w:color w:val="auto"/>
        </w:rPr>
        <w:t>to the opening trades on the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Moreover, prior to the opening trade, there will not be a price at which underwriters initially sell shares of Class A common stock to the public as there would be in an underwritten initial public offering. The absence of a predetermined initial public offering price could impact the range of buy and</w:t>
      </w:r>
    </w:p>
    <w:p>
      <w:pPr>
        <w:ind w:left="120" w:right="60"/>
        <w:spacing w:after="0" w:line="260" w:lineRule="auto"/>
        <w:rPr>
          <w:sz w:val="20"/>
          <w:szCs w:val="20"/>
          <w:color w:val="auto"/>
        </w:rPr>
      </w:pPr>
      <w:r>
        <w:rPr>
          <w:rFonts w:ascii="Arial" w:cs="Arial" w:eastAsia="Arial" w:hAnsi="Arial"/>
          <w:sz w:val="18"/>
          <w:szCs w:val="18"/>
          <w:color w:val="auto"/>
        </w:rPr>
        <w:t>sell orders collected by from various broker-dealers. Consequently, upon listing on , the trading price of our Class A common stock may be more volatile than in an underwritten initial public offering and could decline significantly and rapidly.</w:t>
      </w:r>
    </w:p>
    <w:p>
      <w:pPr>
        <w:spacing w:after="0" w:line="18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Further, if the trading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 and there will be more ability for such investors to short our Class A common stock in early trading than is typical for an underwritten public offering given the lack of contractual lock-up agreements or other restrictions on transfer.</w:t>
      </w:r>
    </w:p>
    <w:p>
      <w:pPr>
        <w:spacing w:after="0" w:line="17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trading price of our Class A common stock following the listing also could be subject to wide fluctuations in response to numerous factors in addition to the ones described in the preceding Risk Factors, many of which are beyond our control, including:</w:t>
      </w:r>
    </w:p>
    <w:p>
      <w:pPr>
        <w:spacing w:after="0" w:line="76"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our Class A common stock made available for trading;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performance of the equity markets and the economy as a whole;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pricing of subscription plans to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that of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products, or of acquisitions, strategic partnerships, joint ventures, or capital-raising activities or commitments, by us or by our competitors;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board members, management, or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 in the United States or globally;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or expectations with respect to sales of shares of our Class A common stock by us or our security holders.</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These fluctuations may be even</w:t>
      </w:r>
    </w:p>
    <w:p>
      <w:pPr>
        <w:spacing w:after="0" w:line="2" w:lineRule="exact"/>
        <w:rPr>
          <w:sz w:val="20"/>
          <w:szCs w:val="20"/>
          <w:color w:val="auto"/>
        </w:rPr>
      </w:pPr>
    </w:p>
    <w:p>
      <w:pPr>
        <w:ind w:left="120" w:right="160"/>
        <w:spacing w:after="0" w:line="295" w:lineRule="auto"/>
        <w:rPr>
          <w:sz w:val="20"/>
          <w:szCs w:val="20"/>
          <w:color w:val="auto"/>
        </w:rPr>
      </w:pPr>
      <w:r>
        <w:rPr>
          <w:rFonts w:ascii="Arial" w:cs="Arial" w:eastAsia="Arial" w:hAnsi="Arial"/>
          <w:sz w:val="16"/>
          <w:szCs w:val="16"/>
          <w:color w:val="auto"/>
        </w:rPr>
        <w:t>more pronounced in the trading market for our Class A common stock shortly following the listing of our Class A common stock on as a result of the supply and demand forces described above.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26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upon listing on , may have little or no relationship to the historical sales prices of our capital stock in private transactions, and such private transactions have been limited.</w:t>
      </w:r>
    </w:p>
    <w:p>
      <w:pPr>
        <w:spacing w:after="0" w:line="62" w:lineRule="exact"/>
        <w:rPr>
          <w:sz w:val="20"/>
          <w:szCs w:val="20"/>
          <w:color w:val="auto"/>
        </w:rPr>
      </w:pPr>
    </w:p>
    <w:p>
      <w:pPr>
        <w:ind w:left="560"/>
        <w:spacing w:after="0"/>
        <w:tabs>
          <w:tab w:leader="none" w:pos="5000" w:val="left"/>
        </w:tabs>
        <w:rPr>
          <w:sz w:val="20"/>
          <w:szCs w:val="20"/>
          <w:color w:val="auto"/>
        </w:rPr>
      </w:pPr>
      <w:r>
        <w:rPr>
          <w:rFonts w:ascii="Arial" w:cs="Arial" w:eastAsia="Arial" w:hAnsi="Arial"/>
          <w:sz w:val="18"/>
          <w:szCs w:val="18"/>
          <w:color w:val="auto"/>
        </w:rPr>
        <w:t>Prior to the listing of our Class A common stock on</w:t>
      </w:r>
      <w:r>
        <w:rPr>
          <w:sz w:val="20"/>
          <w:szCs w:val="20"/>
          <w:color w:val="auto"/>
        </w:rPr>
        <w:tab/>
      </w:r>
      <w:r>
        <w:rPr>
          <w:rFonts w:ascii="Arial" w:cs="Arial" w:eastAsia="Arial" w:hAnsi="Arial"/>
          <w:sz w:val="16"/>
          <w:szCs w:val="16"/>
          <w:color w:val="auto"/>
        </w:rPr>
        <w:t>, there has been no public market for our capital stock. There has been limited</w:t>
      </w:r>
    </w:p>
    <w:p>
      <w:pPr>
        <w:spacing w:after="0" w:line="23"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color w:val="auto"/>
        </w:rPr>
        <w:t>trading of our capital stock historically in private transactions. In the section titled “Sale Price History of our Capital Stock,” we have provided the historical sales prices of our capital stock in private transactions. However, we have only recently permitted our capital stock to be transferred in private</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transactions, and from March 16, 2020 to , 2020, as economic conditions worsened during the COVID-19 pandemic, we restricted the ability of our stockholders to transfer shares of our capital stock at a price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below $13.04, which was the estimated fair value of our common stock most recently determined by our board of directors. Given the limited history of sales and the price-based limitation we implemented beginning in March 2020, this information may have little or no relation to broader market demand</w:t>
      </w:r>
    </w:p>
    <w:p>
      <w:pPr>
        <w:ind w:left="120" w:right="100"/>
        <w:spacing w:after="0" w:line="281" w:lineRule="auto"/>
        <w:rPr>
          <w:sz w:val="20"/>
          <w:szCs w:val="20"/>
          <w:color w:val="auto"/>
        </w:rPr>
      </w:pPr>
      <w:r>
        <w:rPr>
          <w:rFonts w:ascii="Arial" w:cs="Arial" w:eastAsia="Arial" w:hAnsi="Arial"/>
          <w:sz w:val="16"/>
          <w:szCs w:val="16"/>
          <w:color w:val="auto"/>
        </w:rPr>
        <w:t>for our Class A common stock and thus the initial trading price of our Class A common stock on once trading begins. As a result, you should not place undue reliance on these historical sales prices as they may differ materially from the opening trading prices and subsequent trading prices of</w:t>
      </w:r>
    </w:p>
    <w:p>
      <w:pPr>
        <w:spacing w:after="0" w:line="1"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our Class A common stock on . For more information about how the initial listing price on will be determined, see the section titled “Plan of Distribution.”</w:t>
      </w:r>
    </w:p>
    <w:p>
      <w:pPr>
        <w:spacing w:after="0" w:line="293"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Class A common stock may not develop or be sustained. You may be unable to sell your shares of Class A common stock at or above the price at which you purchased them.</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currently expect our Class A common stock to be listed and traded on . Prior to listing on , there has been no public market for our Class A common stock. Moreover, consistent with Regulation M and other federal securities laws applicable to our listing, we have not consulted with Registered Stockholders or other existing stockholders regarding their desire or plans to sell shares in the public market following the listing or discussed with potential investors their intentions to buy our Class A common stock in the open market. While our Class A common stock may be sold</w:t>
      </w:r>
    </w:p>
    <w:p>
      <w:pPr>
        <w:spacing w:after="0" w:line="1"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after our listing on by the Registered Stockholders pursuant to this prospectus or by our other existing stockholders in accordance with Rule 144 of the Securities Act of 1933, as amended, or the Securities Act, unlike an underwritten initial public offering, there can be no assurance that any Registered Stockholders or other existing stockholders will sell any of their shares of Class A common stock, and there may initially be a lack of supply</w:t>
      </w:r>
    </w:p>
    <w:p>
      <w:pPr>
        <w:spacing w:after="0" w:line="2"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of, or demand for, Class A common stock on . Conversely, there can be no assurance that the Registered Stockholders and other existing stockholders will not sell all of their shares of Class A common stock, resulting in an oversupply of our Class A common stock on . In the case</w:t>
      </w:r>
    </w:p>
    <w:p>
      <w:pPr>
        <w:ind w:left="120"/>
        <w:spacing w:after="0" w:line="268" w:lineRule="auto"/>
        <w:rPr>
          <w:sz w:val="20"/>
          <w:szCs w:val="20"/>
          <w:color w:val="auto"/>
        </w:rPr>
      </w:pPr>
      <w:r>
        <w:rPr>
          <w:rFonts w:ascii="Arial" w:cs="Arial" w:eastAsia="Arial" w:hAnsi="Arial"/>
          <w:sz w:val="17"/>
          <w:szCs w:val="17"/>
          <w:color w:val="auto"/>
        </w:rPr>
        <w:t>of a lack of supply of our Class A common stock, the trading price of our Class A common stock may rise to an unsustainable level. Further, institutional investors may be discouraged from purchasing our Class A common stock if they are unable to purchase a block of our Class A common stock in the open market in a sufficient size for their investment objectives due to a potential unwillingness of our existing stockholders to sell a sufficient amount of Class A common stock at the price offered by such institutional investors and the greater influence individual investors have in setting the trading price. If institutional investors are unable to purchase our Class A common stock in a sufficient amount for their investment objectives, the market for our Class A common stock may be more volatile without the influence of long-term institutional investors holding significant amounts of our Class A common stock. In the case of a lack of demand for our Class A common stock, the trading price of our Class A common stock could decline significantly and rapidly after our listing. Therefore, an active, liquid, and orderly trading market for our Class A common stock may not initially develop or be sustained, which could significantly depress the trading price of our Class A common stock and/or result in significant volatility, which could affect your ability to sell your shares of Class A common stock.</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largest stockholder will have the ability to influence the outcome of director elections and other matters requiring stockholder approval.</w:t>
      </w:r>
    </w:p>
    <w:p>
      <w:pPr>
        <w:spacing w:after="0" w:line="140"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Immediately following the effectiveness of the registration statement of which this prospectus forms a part, Dustin Moskovitz, our co-founder, President, Chief Executive Officer, Chair, and largest stockholder, will beneficially own approximately % of our outstanding Class A common stock and Class B common stock, together as a single class, representing % of the voting power of our capital stock as of , 2020. Additionally, if the 3.5% senior mandatory convertible promissory note due 2025 converts into Class B common stock on or before its maturity date, the number of shares of our Class A common stock beneficially owned by Mr. Moskovitz will increase by a number of shares between 11,282,390 and 18,051,810 shares,</w:t>
      </w:r>
    </w:p>
    <w:p>
      <w:pPr>
        <w:spacing w:after="0" w:line="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or and additional percentage points of our voting power, respectively, based on the outstanding shares of our Class A common stock and Class B common stock, together as a single class, as of January 31, 2020. Mr. Moskovitz could exert substantial influence over matters requiring approval by our stockholders. This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dual class structure of our common stock has the effect of concentrating voting control with those stockholders who held our capital stock prior</w:t>
      </w:r>
    </w:p>
    <w:p>
      <w:pPr>
        <w:spacing w:after="0" w:line="58" w:lineRule="exact"/>
        <w:rPr>
          <w:sz w:val="20"/>
          <w:szCs w:val="20"/>
          <w:color w:val="auto"/>
        </w:rPr>
      </w:pPr>
    </w:p>
    <w:p>
      <w:pPr>
        <w:ind w:left="120" w:right="320"/>
        <w:spacing w:after="0" w:line="265" w:lineRule="auto"/>
        <w:rPr>
          <w:sz w:val="20"/>
          <w:szCs w:val="20"/>
          <w:color w:val="auto"/>
        </w:rPr>
      </w:pPr>
      <w:r>
        <w:rPr>
          <w:rFonts w:ascii="Arial" w:cs="Arial" w:eastAsia="Arial" w:hAnsi="Arial"/>
          <w:sz w:val="17"/>
          <w:szCs w:val="17"/>
          <w:b w:val="1"/>
          <w:bCs w:val="1"/>
          <w:i w:val="1"/>
          <w:iCs w:val="1"/>
          <w:color w:val="auto"/>
        </w:rPr>
        <w:t>to the listing of our Class A common stock on , including our founders, directors, executive officers, and their respective affiliates, who held in the aggregate % of the voting power of our capital stock as of , 2020. This ownership will limit or preclude your ability to</w:t>
      </w:r>
    </w:p>
    <w:p>
      <w:pPr>
        <w:ind w:left="120" w:right="140"/>
        <w:spacing w:after="0" w:line="290" w:lineRule="auto"/>
        <w:rPr>
          <w:sz w:val="20"/>
          <w:szCs w:val="20"/>
          <w:color w:val="auto"/>
        </w:rPr>
      </w:pPr>
      <w:r>
        <w:rPr>
          <w:rFonts w:ascii="Arial" w:cs="Arial" w:eastAsia="Arial" w:hAnsi="Arial"/>
          <w:sz w:val="17"/>
          <w:szCs w:val="17"/>
          <w:b w:val="1"/>
          <w:bCs w:val="1"/>
          <w:i w:val="1"/>
          <w:iCs w:val="1"/>
          <w:color w:val="auto"/>
        </w:rPr>
        <w:t>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53" w:lineRule="exact"/>
        <w:rPr>
          <w:sz w:val="20"/>
          <w:szCs w:val="20"/>
          <w:color w:val="auto"/>
        </w:rPr>
      </w:pPr>
    </w:p>
    <w:p>
      <w:pPr>
        <w:ind w:left="120" w:right="320" w:firstLine="440"/>
        <w:spacing w:after="0" w:line="274" w:lineRule="auto"/>
        <w:rPr>
          <w:sz w:val="20"/>
          <w:szCs w:val="20"/>
          <w:color w:val="auto"/>
        </w:rPr>
      </w:pPr>
      <w:r>
        <w:rPr>
          <w:rFonts w:ascii="Arial" w:cs="Arial" w:eastAsia="Arial" w:hAnsi="Arial"/>
          <w:sz w:val="17"/>
          <w:szCs w:val="17"/>
          <w:color w:val="auto"/>
        </w:rPr>
        <w:t>Our Class B common stock has 10 votes per share, and our Class A common stock, which is the stock we are listing on and is being registered pursuant to the registration statement of which this prospectus forms a part, has one vote per share. As of , 2020, our founders,</w:t>
      </w:r>
    </w:p>
    <w:p>
      <w:pPr>
        <w:ind w:left="120" w:right="20"/>
        <w:spacing w:after="0" w:line="287" w:lineRule="auto"/>
        <w:rPr>
          <w:sz w:val="20"/>
          <w:szCs w:val="20"/>
          <w:color w:val="auto"/>
        </w:rPr>
      </w:pPr>
      <w:r>
        <w:rPr>
          <w:rFonts w:ascii="Arial" w:cs="Arial" w:eastAsia="Arial" w:hAnsi="Arial"/>
          <w:sz w:val="16"/>
          <w:szCs w:val="16"/>
          <w:color w:val="auto"/>
        </w:rPr>
        <w:t>directors, executive officers, and their affiliates held in the aggregate %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7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w:t>
      </w:r>
    </w:p>
    <w:p>
      <w:pPr>
        <w:ind w:left="120"/>
        <w:spacing w:after="0"/>
        <w:tabs>
          <w:tab w:leader="none" w:pos="7240" w:val="left"/>
          <w:tab w:leader="none" w:pos="10600" w:val="left"/>
        </w:tabs>
        <w:rPr>
          <w:sz w:val="20"/>
          <w:szCs w:val="20"/>
          <w:color w:val="auto"/>
        </w:rPr>
      </w:pPr>
      <w:r>
        <w:rPr>
          <w:rFonts w:ascii="Arial" w:cs="Arial" w:eastAsia="Arial" w:hAnsi="Arial"/>
          <w:sz w:val="18"/>
          <w:szCs w:val="18"/>
          <w:color w:val="auto"/>
        </w:rPr>
        <w:t>into one share of Class A common stock upon the date that is the earlier of (i)</w:t>
      </w:r>
      <w:r>
        <w:rPr>
          <w:sz w:val="20"/>
          <w:szCs w:val="20"/>
          <w:color w:val="auto"/>
        </w:rPr>
        <w:tab/>
      </w:r>
      <w:r>
        <w:rPr>
          <w:rFonts w:ascii="Arial" w:cs="Arial" w:eastAsia="Arial" w:hAnsi="Arial"/>
          <w:sz w:val="18"/>
          <w:szCs w:val="18"/>
          <w:color w:val="auto"/>
        </w:rPr>
        <w:t>or (ii) the later of the date that is (x)</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jc w:val="both"/>
        <w:ind w:left="120" w:hanging="4"/>
        <w:spacing w:after="0" w:line="253" w:lineRule="auto"/>
        <w:tabs>
          <w:tab w:leader="none" w:pos="10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8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to the supply and demand and volatility factors discussed above, 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84"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2020, giving effect to the conversion of all outstanding shares of our preferred stock to shares of Class B common stock upon the</w:t>
      </w:r>
    </w:p>
    <w:p>
      <w:pPr>
        <w:spacing w:after="0" w:line="23" w:lineRule="exact"/>
        <w:rPr>
          <w:sz w:val="20"/>
          <w:szCs w:val="20"/>
          <w:color w:val="auto"/>
        </w:rPr>
      </w:pPr>
    </w:p>
    <w:p>
      <w:pPr>
        <w:ind w:left="120"/>
        <w:spacing w:after="0"/>
        <w:tabs>
          <w:tab w:leader="none" w:pos="7220" w:val="left"/>
        </w:tabs>
        <w:rPr>
          <w:sz w:val="20"/>
          <w:szCs w:val="20"/>
          <w:color w:val="auto"/>
        </w:rPr>
      </w:pPr>
      <w:r>
        <w:rPr>
          <w:rFonts w:ascii="Arial" w:cs="Arial" w:eastAsia="Arial" w:hAnsi="Arial"/>
          <w:sz w:val="18"/>
          <w:szCs w:val="18"/>
          <w:color w:val="auto"/>
        </w:rPr>
        <w:t>effectiveness of the registration statement of which this prospectus forms a part, we had</w:t>
      </w:r>
      <w:r>
        <w:rPr>
          <w:sz w:val="20"/>
          <w:szCs w:val="20"/>
          <w:color w:val="auto"/>
        </w:rPr>
        <w:tab/>
      </w:r>
      <w:r>
        <w:rPr>
          <w:rFonts w:ascii="Arial" w:cs="Arial" w:eastAsia="Arial" w:hAnsi="Arial"/>
          <w:sz w:val="16"/>
          <w:szCs w:val="16"/>
          <w:color w:val="auto"/>
        </w:rPr>
        <w:t>shares of common stock outstanding, of which</w:t>
      </w:r>
    </w:p>
    <w:p>
      <w:pPr>
        <w:spacing w:after="0" w:line="9" w:lineRule="exact"/>
        <w:rPr>
          <w:sz w:val="20"/>
          <w:szCs w:val="20"/>
          <w:color w:val="auto"/>
        </w:rPr>
      </w:pPr>
    </w:p>
    <w:p>
      <w:pPr>
        <w:ind w:left="880"/>
        <w:spacing w:after="0"/>
        <w:tabs>
          <w:tab w:leader="none" w:pos="3900" w:val="left"/>
        </w:tabs>
        <w:rPr>
          <w:sz w:val="20"/>
          <w:szCs w:val="20"/>
          <w:color w:val="auto"/>
        </w:rPr>
      </w:pPr>
      <w:r>
        <w:rPr>
          <w:rFonts w:ascii="Arial" w:cs="Arial" w:eastAsia="Arial" w:hAnsi="Arial"/>
          <w:sz w:val="18"/>
          <w:szCs w:val="18"/>
          <w:color w:val="auto"/>
        </w:rPr>
        <w:t>are Class B common stock and</w:t>
      </w:r>
      <w:r>
        <w:rPr>
          <w:sz w:val="20"/>
          <w:szCs w:val="20"/>
          <w:color w:val="auto"/>
        </w:rPr>
        <w:tab/>
      </w:r>
      <w:r>
        <w:rPr>
          <w:rFonts w:ascii="Arial" w:cs="Arial" w:eastAsia="Arial" w:hAnsi="Arial"/>
          <w:sz w:val="16"/>
          <w:szCs w:val="16"/>
          <w:color w:val="auto"/>
        </w:rPr>
        <w:t>are Class A common stock, all of which are “restricted securities” (as defined in Rule 144 under the</w:t>
      </w:r>
    </w:p>
    <w:p>
      <w:pPr>
        <w:spacing w:after="0" w:line="9" w:lineRule="exact"/>
        <w:rPr>
          <w:sz w:val="20"/>
          <w:szCs w:val="20"/>
          <w:color w:val="auto"/>
        </w:rPr>
      </w:pPr>
    </w:p>
    <w:p>
      <w:pPr>
        <w:ind w:left="120"/>
        <w:spacing w:after="0"/>
        <w:tabs>
          <w:tab w:leader="none" w:pos="3160" w:val="left"/>
        </w:tabs>
        <w:rPr>
          <w:sz w:val="20"/>
          <w:szCs w:val="20"/>
          <w:color w:val="auto"/>
        </w:rPr>
      </w:pPr>
      <w:r>
        <w:rPr>
          <w:rFonts w:ascii="Arial" w:cs="Arial" w:eastAsia="Arial" w:hAnsi="Arial"/>
          <w:sz w:val="18"/>
          <w:szCs w:val="18"/>
          <w:color w:val="auto"/>
        </w:rPr>
        <w:t>Securities Act). Approximately</w:t>
      </w:r>
      <w:r>
        <w:rPr>
          <w:sz w:val="20"/>
          <w:szCs w:val="20"/>
          <w:color w:val="auto"/>
        </w:rPr>
        <w:tab/>
      </w:r>
      <w:r>
        <w:rPr>
          <w:rFonts w:ascii="Arial" w:cs="Arial" w:eastAsia="Arial" w:hAnsi="Arial"/>
          <w:sz w:val="16"/>
          <w:szCs w:val="16"/>
          <w:color w:val="auto"/>
        </w:rPr>
        <w:t>of these shares may be converted to Class A common stock and then immediately sold either by the</w:t>
      </w:r>
    </w:p>
    <w:p>
      <w:pPr>
        <w:spacing w:after="0" w:line="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Registered Stockholders pursuant to this prospectus or by our other existing stockholders under Rule 144 since such shares held by such other stockholders will have been beneficially owned by non-affiliates for at least one year. Moreover, once we have been a reporting company subject to the reporting requirements of Section 13 or Section 15(d) of the Exchange Act for 90 days and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including certain of the shares of Class A common stock covered by this prospectus to the extent not sold hereunder, will be entitled to sell their shares of our Class A common stock subject to volume limitations under Rule 144 and various vesting agreements.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color w:val="auto"/>
        </w:rPr>
        <w:t>Further, as of , 2020, we had options outstanding that, if fully exercised, would result in the issuance of shares of Class A common stock, as well as shares of Class A common stock subject to RSU awards. All of the shares of Class A common stock issuable upon</w:t>
      </w:r>
    </w:p>
    <w:p>
      <w:pPr>
        <w:spacing w:after="0" w:line="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exercise of stock options, subject to RSU awards, and reserved for future issuance under our equity incentive plans, will be registered for public resale under the Securities Act. Accordingly, these shares will be able to be freely sold in the public market upon issuance, subject to applicable vesting requirements and compliance by affiliates with Rule 144.</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securityholders are subject to any contractual lock-up or other restriction on the transfer or sale of their shares.</w:t>
      </w:r>
    </w:p>
    <w:p>
      <w:pPr>
        <w:spacing w:after="0" w:line="225"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Following the effectiveness of the registration statement of which this prospectus forms a part, the holders of up to shares of our Class B common stock will have rights, subject to some conditions, to require us to file registration statements for the public resale of the Class A common stock issuable upon conversion of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30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Equity research analysts do not currently provide coverage of our Class A common stock, and we cannot assure that any equity research analysts</w:t>
      </w:r>
    </w:p>
    <w:p>
      <w:pPr>
        <w:spacing w:after="0" w:line="4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will adequately provide research coverage of our Class A common stock after the listing of our Class A common stock on .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8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As a public company, we will be subject to the reporting requirements of the Exchange Act, the listing standards of ,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senior secured term loan facility contains restrictions on our ability to pay dividends. Accordingly, investors must rely on sales of their Class A common stock after price appreciation, which may never occur, as the only way to realize any future gains on their investments.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stock issuances could result in significant dilution to our stockholders.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Additionally, in January 2020, we issued and sold to the Dustin Moskovitz Trust, an affiliated trust of Mr. Moskovitz, a 3.5% senior mandatory convertible promissory note due 2025 for an aggregate principal amount of $300.0 million, which will convert into a number of shares of our Class B common stock between 11,282,390 and 18,051,810 shares on or prior to its maturity date. Any such issuances could result in substantial dilution to our existing stockholders and cause the trading price of our Class A common stock to decline.</w:t>
      </w:r>
    </w:p>
    <w:p>
      <w:pPr>
        <w:spacing w:after="0" w:line="285"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16"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There are provisions in our restated certificate of incorporation and restated bylaws, as they will be in effect following the effectiveness of the registration statement of which this prospectus forms a part, that may make it difficult for a third party to acquire, or attempt to acquire, control of our company, even if a change in control were considered favorable by our stockholders. These anti-takeover provisions include:</w:t>
      </w:r>
    </w:p>
    <w:p>
      <w:pPr>
        <w:spacing w:after="0" w:line="71"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of our board of directors to determine the number of directors and to fill any vacancies and newly created directorships;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our board of directors could use to implement a stockholder rights plan;</w:t>
      </w:r>
    </w:p>
    <w:p>
      <w:pPr>
        <w:spacing w:after="0" w:line="153" w:lineRule="exact"/>
        <w:rPr>
          <w:rFonts w:ascii="Arial" w:cs="Arial" w:eastAsia="Arial" w:hAnsi="Arial"/>
          <w:sz w:val="16"/>
          <w:szCs w:val="16"/>
          <w:color w:val="auto"/>
        </w:rPr>
      </w:pPr>
    </w:p>
    <w:p>
      <w:pPr>
        <w:ind w:left="1080" w:right="30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 and</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6" w:lineRule="exact"/>
        <w:rPr>
          <w:sz w:val="20"/>
          <w:szCs w:val="20"/>
          <w:color w:val="auto"/>
        </w:rPr>
      </w:pPr>
    </w:p>
    <w:p>
      <w:pPr>
        <w:ind w:left="120" w:right="100"/>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2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amended and restated certificate of incorporation,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6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our directors, officers, or other employees. While the Delaware Supreme Court recently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This prospectus contains forward-looking statements.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“would,” “expect,”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w:t>
      </w:r>
    </w:p>
    <w:p>
      <w:pPr>
        <w:spacing w:after="0" w:line="4"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w:t>
      </w:r>
    </w:p>
    <w:p>
      <w:pPr>
        <w:spacing w:after="0" w:line="2" w:lineRule="exact"/>
        <w:rPr>
          <w:sz w:val="20"/>
          <w:szCs w:val="20"/>
          <w:color w:val="auto"/>
        </w:rPr>
      </w:pPr>
    </w:p>
    <w:p>
      <w:pPr>
        <w:ind w:left="120" w:right="460"/>
        <w:spacing w:after="0" w:line="277" w:lineRule="auto"/>
        <w:rPr>
          <w:sz w:val="20"/>
          <w:szCs w:val="20"/>
          <w:color w:val="auto"/>
        </w:rPr>
      </w:pPr>
      <w:r>
        <w:rPr>
          <w:rFonts w:ascii="Arial" w:cs="Arial" w:eastAsia="Arial" w:hAnsi="Arial"/>
          <w:sz w:val="17"/>
          <w:szCs w:val="17"/>
          <w:color w:val="auto"/>
        </w:rPr>
        <w:t>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include, but are not limited to, statements about:</w:t>
      </w:r>
    </w:p>
    <w:p>
      <w:pPr>
        <w:spacing w:after="0" w:line="78" w:lineRule="exact"/>
        <w:rPr>
          <w:sz w:val="20"/>
          <w:szCs w:val="20"/>
          <w:color w:val="auto"/>
        </w:rPr>
      </w:pPr>
    </w:p>
    <w:p>
      <w:pPr>
        <w:ind w:left="1080" w:right="96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of our platform within organizations, and sell subscriptions to our platform;</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convert individuals, teams, and organizations on our free and trial versions into paying customers;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our competitors to their products, or any other changes in the competitive landscape of our market;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growth in the work management market;</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focus on growth to drive long-term value;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expenses and our expectations regarding our cost of revenues, gross margin, and operating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our sales and marketing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 potential dispute-related settlement payments, or other litigation-related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about additional hiring;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pricing pressure as a result of competition or otherwise;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anticipated fluctuations in foreign currency exchange rates;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costs and the anticipated timing of expenses related to the acquisition of businesses, talent, technologies, or intellectual property, including potentially significant amortization costs and possible write-downs;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societal and economic impact of the COVID-19 pandemic, including on the rate of global IT spending, and geopolitical uncertainty and instability.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320" w:top="459" w:right="5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contains estimates and information concerning our industry, our business, and the market for our platform,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source of certain statistical data, estimates, and forecasts contained in this prospectus are the following industry publications or reports that have been prepared by independent third parties:</w:t>
      </w:r>
    </w:p>
    <w:p>
      <w:pPr>
        <w:spacing w:after="0" w:line="76" w:lineRule="exact"/>
        <w:rPr>
          <w:sz w:val="20"/>
          <w:szCs w:val="20"/>
          <w:color w:val="auto"/>
        </w:rPr>
      </w:pPr>
    </w:p>
    <w:p>
      <w:pPr>
        <w:ind w:left="1080" w:right="16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International Data Corporation, Inc., Worldwide Collaborative Applications Forecast, 2019-2023: Accelerating Enterprise Collaboration, June 2019</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International Data Corporation, Inc., Worldwide Project and Portfolio Management Forecast, 2019-2023, June 2019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McKinsey Global Institute, The Social Economy: Unlocking Value and Productivity Through Social Technologies, July 2012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Forrester Research, Inc., New Technologies Create The Need To Design For New Categories of Information Workers, September 2019</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Forrester Research, Inc., The Forrester Wave</w:t>
      </w:r>
      <w:r>
        <w:rPr>
          <w:rFonts w:ascii="Arial" w:cs="Arial" w:eastAsia="Arial" w:hAnsi="Arial"/>
          <w:sz w:val="14"/>
          <w:szCs w:val="14"/>
          <w:color w:val="auto"/>
        </w:rPr>
        <w:t>™</w:t>
      </w:r>
      <w:r>
        <w:rPr>
          <w:rFonts w:ascii="Arial" w:cs="Arial" w:eastAsia="Arial" w:hAnsi="Arial"/>
          <w:sz w:val="17"/>
          <w:szCs w:val="17"/>
          <w:color w:val="auto"/>
        </w:rPr>
        <w:t>: Collaborative Work Management Tools For The Enterprise, Q4 2018, October 2018</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Culture Amp Pty Ltd, FY20 Annual Engagement Survey (December) for Asana, December 2019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publicly available reports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Registered Stockholders may, or may not, elect to sell shares of our Class A common stock covered by this prospectus. To the extent any Registered Stockholder chooses to sell shares of our Class A common stock covered by this prospectus, we will not receive any proceeds from any such sales of our Class A common stock. See the section titled “Principal and Registered Stockholders.”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9"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capital stock will be at the discretion of our board of directors and will depend upon, among other factors, our results of operations, financial condition, current and anticipated cash needs, plans for expansion, and other factors that our board of directors may deem relevant. In addition, the terms of our senior secured term loan facility place restrictions on our ability to declare or pay cash dividends, even if no amounts are currently outstanding.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cash, cash equivalents, and marketable securities, and our capitalization as of January 31, 2020 as follows:</w:t>
      </w:r>
    </w:p>
    <w:p>
      <w:pPr>
        <w:spacing w:after="0" w:line="14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 giving effect to the Reclassification; and</w:t>
      </w:r>
    </w:p>
    <w:p>
      <w:pPr>
        <w:spacing w:after="0" w:line="130" w:lineRule="exact"/>
        <w:rPr>
          <w:rFonts w:ascii="Arial" w:cs="Arial" w:eastAsia="Arial" w:hAnsi="Arial"/>
          <w:sz w:val="18"/>
          <w:szCs w:val="18"/>
          <w:color w:val="auto"/>
        </w:rPr>
      </w:pPr>
    </w:p>
    <w:p>
      <w:pPr>
        <w:ind w:left="1080" w:right="660" w:hanging="532"/>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a pro forma basis, giving effect to the automatic conversion of all outstanding shares of our preferred stock into an aggregate of 73,577,455 shares of our Class B common stock, as if such conversion had occurred on January 31, 2020.</w:t>
      </w:r>
    </w:p>
    <w:p>
      <w:pPr>
        <w:spacing w:after="0" w:line="14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You should read this table together with our consolidated financial statements, and the sections titled “Selected Consolidated Financial Data” and “Management’s Discussion and Analysis of Financial Condition and Results of Operations” that are included elsewhere in this prospectus.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20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As of January 31, 2020</w:t>
            </w: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1000" w:type="dxa"/>
            <w:vAlign w:val="bottom"/>
            <w:tcBorders>
              <w:top w:val="single" w:sz="8" w:color="auto"/>
              <w:bottom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Actual</w:t>
            </w: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980" w:type="dxa"/>
            <w:vAlign w:val="bottom"/>
          </w:tcPr>
          <w:p>
            <w:pPr>
              <w:spacing w:after="0"/>
              <w:rPr>
                <w:sz w:val="10"/>
                <w:szCs w:val="10"/>
                <w:color w:val="auto"/>
              </w:rPr>
            </w:pPr>
          </w:p>
        </w:tc>
        <w:tc>
          <w:tcPr>
            <w:tcW w:w="192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980" w:type="dxa"/>
            <w:vAlign w:val="bottom"/>
          </w:tcPr>
          <w:p>
            <w:pPr>
              <w:spacing w:after="0"/>
              <w:rPr>
                <w:sz w:val="14"/>
                <w:szCs w:val="14"/>
                <w:color w:val="auto"/>
              </w:rPr>
            </w:pPr>
          </w:p>
        </w:tc>
        <w:tc>
          <w:tcPr>
            <w:tcW w:w="20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share values)</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$ 351,308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$ 351,308</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Convertible note, net - related party</w:t>
            </w:r>
            <w:r>
              <w:rPr>
                <w:rFonts w:ascii="Arial" w:cs="Arial" w:eastAsia="Arial" w:hAnsi="Arial"/>
                <w:sz w:val="15"/>
                <w:szCs w:val="15"/>
                <w:color w:val="auto"/>
              </w:rPr>
              <w:t>(1)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80" w:type="dxa"/>
            <w:vAlign w:val="bottom"/>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$ 203,097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$ 203,097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Redeemable convertible preferred stock, $0.00001 par value; 151,101 shares authorized, 73,577 shares issued and</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actual; no shares authorized, issued, and outstanding, pro forma</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250,581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89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Preferred stock, $0.00001 par value; no shares authorized, issued, and outstanding, actual; shares authorized and</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 shares issued and outstanding, pro forma</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80" w:type="dxa"/>
            <w:vAlign w:val="bottom"/>
          </w:tcPr>
          <w:p>
            <w:pPr>
              <w:ind w:left="360"/>
              <w:spacing w:after="0" w:line="201" w:lineRule="exact"/>
              <w:rPr>
                <w:sz w:val="20"/>
                <w:szCs w:val="20"/>
                <w:color w:val="auto"/>
              </w:rPr>
            </w:pPr>
            <w:r>
              <w:rPr>
                <w:rFonts w:ascii="Arial" w:cs="Arial" w:eastAsia="Arial" w:hAnsi="Arial"/>
                <w:sz w:val="18"/>
                <w:szCs w:val="18"/>
                <w:color w:val="auto"/>
                <w:w w:val="96"/>
              </w:rPr>
              <w:t>Class A common stock, $0.00001 par value; 270,000 shares authorized; 15,498 shares issued and outstanding,</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540"/>
              <w:spacing w:after="0"/>
              <w:rPr>
                <w:sz w:val="20"/>
                <w:szCs w:val="20"/>
                <w:color w:val="auto"/>
              </w:rPr>
            </w:pPr>
            <w:r>
              <w:rPr>
                <w:rFonts w:ascii="Arial" w:cs="Arial" w:eastAsia="Arial" w:hAnsi="Arial"/>
                <w:sz w:val="18"/>
                <w:szCs w:val="18"/>
                <w:color w:val="auto"/>
              </w:rPr>
              <w:t>actual; 15,498 shares issued and outstanding, pro forma</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Class B common stock, $0.00001 par value; 270,000 shares authorized; 61,189 shares issued and outstanding,</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 134,767 shares issued and outstanding, pro forma</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184,522</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435,102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(329,736)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(329,736)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 equity</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(145,315)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105,266</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$ 308,363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$ 308,363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3.5% senior mandatory convertible promissory note due 2025. For additional information, see “Description of Capital Stock—Senior Mandatory Convertible Promissory Note.”</w:t>
      </w:r>
    </w:p>
    <w:p>
      <w:pPr>
        <w:spacing w:after="0" w:line="21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pro forma column in the table above is based on 15,498,109 shares of Class A common stock and 61,189,400 shares of Class B common stock outstanding as of January 31, 2020, and excludes:</w:t>
      </w:r>
    </w:p>
    <w:p>
      <w:pPr>
        <w:spacing w:after="0" w:line="76" w:lineRule="exact"/>
        <w:rPr>
          <w:sz w:val="20"/>
          <w:szCs w:val="20"/>
          <w:color w:val="auto"/>
        </w:rPr>
      </w:pPr>
    </w:p>
    <w:p>
      <w:pPr>
        <w:ind w:left="1080" w:right="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33,660,264 shares of our Class A common stock issuable upon the exercise of options to purchase shares of our Class A common stock that were outstanding as of January 31, 2020, with a weighted-average exercise price of $2.6120 per share;</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857,226 shares of our Class B common stock issuable upon the exercise of options to purchase shares of our Class B common stock that were outstanding as of January 31, 2020, with a weighted-average exercise price of $0.1671 per share;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90,936 RSUs for shares of our Class A common stock outstanding as of January 31, 2020;</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between 11,282,390 and 18,051,810 shares of our Class B common stock issuable upon the conversion of our 3.5% senior mandatory convertible promissory note due 2025 that was outstanding as of January 31, 2020;</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4,786,996 shares of our Class A common stock reserved for future issuance under our 2012 Stock Plan, as of January 31, 2020, of which:</w:t>
      </w:r>
    </w:p>
    <w:p>
      <w:pPr>
        <w:spacing w:after="0" w:line="153" w:lineRule="exact"/>
        <w:rPr>
          <w:rFonts w:ascii="Arial" w:cs="Arial" w:eastAsia="Arial" w:hAnsi="Arial"/>
          <w:sz w:val="16"/>
          <w:szCs w:val="16"/>
          <w:color w:val="auto"/>
        </w:rPr>
      </w:pPr>
    </w:p>
    <w:p>
      <w:pPr>
        <w:ind w:left="1540" w:right="260" w:hanging="439"/>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16,713 shares of our Class A common stock are issuable upon the exercise of options to purchase shares of our Class A common stock granted after January 31, 2020, with an exercise price of $13.04 per share;</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1,916,161 RSUs for shares of our Class A common stock granted after January 31, 2020; and</w:t>
      </w:r>
    </w:p>
    <w:p>
      <w:pPr>
        <w:spacing w:after="0" w:line="130" w:lineRule="exact"/>
        <w:rPr>
          <w:rFonts w:ascii="Arial" w:cs="Arial" w:eastAsia="Arial" w:hAnsi="Arial"/>
          <w:sz w:val="18"/>
          <w:szCs w:val="18"/>
          <w:color w:val="auto"/>
        </w:rPr>
      </w:pPr>
    </w:p>
    <w:p>
      <w:pPr>
        <w:ind w:left="1540" w:right="40" w:hanging="439"/>
        <w:spacing w:after="0" w:line="308" w:lineRule="auto"/>
        <w:tabs>
          <w:tab w:leader="none" w:pos="2125" w:val="left"/>
        </w:tabs>
        <w:numPr>
          <w:ilvl w:val="1"/>
          <w:numId w:val="38"/>
        </w:numPr>
        <w:rPr>
          <w:rFonts w:ascii="Arial" w:cs="Arial" w:eastAsia="Arial" w:hAnsi="Arial"/>
          <w:sz w:val="17"/>
          <w:szCs w:val="17"/>
          <w:color w:val="auto"/>
        </w:rPr>
      </w:pPr>
      <w:r>
        <w:rPr>
          <w:rFonts w:ascii="Arial" w:cs="Arial" w:eastAsia="Arial" w:hAnsi="Arial"/>
          <w:sz w:val="17"/>
          <w:szCs w:val="17"/>
          <w:color w:val="auto"/>
        </w:rPr>
        <w:t>shares of our Class A common stock that will become available for future issuance under our 2020 Equity Incentive Plan in connection with the effectiveness of the registration statement of which this prospectus forms a part; and</w:t>
      </w:r>
    </w:p>
    <w:p>
      <w:pPr>
        <w:spacing w:after="0" w:line="51" w:lineRule="exact"/>
        <w:rPr>
          <w:rFonts w:ascii="Arial" w:cs="Arial" w:eastAsia="Arial" w:hAnsi="Arial"/>
          <w:sz w:val="17"/>
          <w:szCs w:val="17"/>
          <w:color w:val="auto"/>
        </w:rPr>
      </w:pPr>
    </w:p>
    <w:p>
      <w:pPr>
        <w:ind w:left="1080" w:hanging="532"/>
        <w:spacing w:after="0" w:line="259" w:lineRule="auto"/>
        <w:tabs>
          <w:tab w:leader="none" w:pos="16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shares of our Class A common stock reserved for future issuance under our 2020 Equity Incentive Plan, which will become effective in connection with the effectiveness of the registration statement of which this prospectus forms a part and will contain a provision that will automatically increase its share reserve each year, as more fully described in “Executive Compensation—Employee Benefit Plans.”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40"/>
          </w:cols>
          <w:pgMar w:left="320" w:top="459"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The selected consolidated statements of operations data for the years ended January 31, 2019 and 2020 and consolidated balance sheet data as of January 31, 2019 and 2020 (except the pro forma share and net loss per share information) have been derived from our audited consolidated financial statements included elsewhere in this prospectus. Our historical results are not necessarily indicative of the results that may be expected in the future. You should read the following selected consolidated financial data below in conjunction with the section titled “Management’s Discussion and Analysis of Financial Condition and Results of Operations” and our consolidated financial statements included elsewhere in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7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7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6"/>
              </w:rPr>
              <w:t>(in thousands,</w:t>
            </w:r>
          </w:p>
        </w:tc>
        <w:tc>
          <w:tcPr>
            <w:tcW w:w="120" w:type="dxa"/>
            <w:vAlign w:val="bottom"/>
            <w:gridSpan w:val="2"/>
          </w:tcPr>
          <w:p>
            <w:pPr>
              <w:spacing w:after="0"/>
              <w:rPr>
                <w:sz w:val="10"/>
                <w:szCs w:val="10"/>
                <w:color w:val="auto"/>
              </w:rPr>
            </w:pPr>
          </w:p>
        </w:tc>
      </w:tr>
      <w:tr>
        <w:trPr>
          <w:trHeight w:val="185"/>
        </w:trPr>
        <w:tc>
          <w:tcPr>
            <w:tcW w:w="7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0"/>
              </w:rPr>
              <w:t>except per share amounts)</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Revenues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rPr>
              <w:t>76,770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142,606</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13,832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19,881</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122,725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rPr>
              <w:t>42,585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89,675</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52,106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105,836</w:t>
            </w:r>
          </w:p>
        </w:tc>
        <w:tc>
          <w:tcPr>
            <w:tcW w:w="100" w:type="dxa"/>
            <w:vAlign w:val="bottom"/>
            <w:shd w:val="clear" w:color="auto" w:fill="CCEEFF"/>
          </w:tcPr>
          <w:p>
            <w:pPr>
              <w:spacing w:after="0"/>
              <w:rPr>
                <w:sz w:val="18"/>
                <w:szCs w:val="18"/>
                <w:color w:val="auto"/>
              </w:rPr>
            </w:pP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46,845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114,951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242,356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Loss from operations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(52,013)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0"/>
              </w:rPr>
              <w:t>(119,631)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(50,900)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(118,344)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1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(50,928</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(118,589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7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(0.78)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r>
      <w:tr>
        <w:trPr>
          <w:trHeight w:val="20"/>
        </w:trPr>
        <w:tc>
          <w:tcPr>
            <w:tcW w:w="7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rPr>
              <w:t>65,214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70,335</w:t>
            </w:r>
          </w:p>
        </w:tc>
      </w:tr>
      <w:tr>
        <w:trPr>
          <w:trHeight w:val="20"/>
        </w:trPr>
        <w:tc>
          <w:tcPr>
            <w:tcW w:w="7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(0.82)</w:t>
            </w:r>
          </w:p>
        </w:tc>
      </w:tr>
      <w:tr>
        <w:trPr>
          <w:trHeight w:val="20"/>
        </w:trPr>
        <w:tc>
          <w:tcPr>
            <w:tcW w:w="7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143,887</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9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5"/>
          </w:tcPr>
          <w:p>
            <w:pPr>
              <w:ind w:left="180"/>
              <w:spacing w:after="0"/>
              <w:rPr>
                <w:sz w:val="20"/>
                <w:szCs w:val="20"/>
                <w:color w:val="auto"/>
              </w:rPr>
            </w:pPr>
            <w:r>
              <w:rPr>
                <w:rFonts w:ascii="Arial" w:cs="Arial" w:eastAsia="Arial" w:hAnsi="Arial"/>
                <w:sz w:val="11"/>
                <w:szCs w:val="11"/>
                <w:b w:val="1"/>
                <w:bCs w:val="1"/>
                <w:color w:val="auto"/>
              </w:rPr>
              <w:t>Year Ended January 31,</w:t>
            </w:r>
          </w:p>
        </w:tc>
      </w:tr>
      <w:tr>
        <w:trPr>
          <w:trHeight w:val="115"/>
        </w:trPr>
        <w:tc>
          <w:tcPr>
            <w:tcW w:w="912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35"/>
              <w:spacing w:after="0" w:line="115" w:lineRule="exact"/>
              <w:rPr>
                <w:sz w:val="20"/>
                <w:szCs w:val="20"/>
                <w:color w:val="auto"/>
              </w:rPr>
            </w:pPr>
            <w:r>
              <w:rPr>
                <w:rFonts w:ascii="Arial" w:cs="Arial" w:eastAsia="Arial" w:hAnsi="Arial"/>
                <w:sz w:val="11"/>
                <w:szCs w:val="11"/>
                <w:b w:val="1"/>
                <w:bCs w:val="1"/>
                <w:color w:val="auto"/>
              </w:rPr>
              <w:t>2019</w:t>
            </w:r>
          </w:p>
        </w:tc>
        <w:tc>
          <w:tcPr>
            <w:tcW w:w="26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211"/>
              <w:spacing w:after="0" w:line="115" w:lineRule="exact"/>
              <w:rPr>
                <w:sz w:val="20"/>
                <w:szCs w:val="20"/>
                <w:color w:val="auto"/>
              </w:rPr>
            </w:pPr>
            <w:r>
              <w:rPr>
                <w:rFonts w:ascii="Arial" w:cs="Arial" w:eastAsia="Arial" w:hAnsi="Arial"/>
                <w:sz w:val="11"/>
                <w:szCs w:val="11"/>
                <w:b w:val="1"/>
                <w:bCs w:val="1"/>
                <w:color w:val="auto"/>
                <w:w w:val="97"/>
              </w:rPr>
              <w:t>2020</w:t>
            </w:r>
          </w:p>
        </w:tc>
        <w:tc>
          <w:tcPr>
            <w:tcW w:w="60" w:type="dxa"/>
            <w:vAlign w:val="bottom"/>
          </w:tcPr>
          <w:p>
            <w:pPr>
              <w:spacing w:after="0"/>
              <w:rPr>
                <w:sz w:val="10"/>
                <w:szCs w:val="10"/>
                <w:color w:val="auto"/>
              </w:rPr>
            </w:pPr>
          </w:p>
        </w:tc>
      </w:tr>
      <w:tr>
        <w:trPr>
          <w:trHeight w:val="115"/>
        </w:trPr>
        <w:tc>
          <w:tcPr>
            <w:tcW w:w="9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tcPr>
          <w:p>
            <w:pPr>
              <w:jc w:val="right"/>
              <w:spacing w:after="0" w:line="115" w:lineRule="exact"/>
              <w:rPr>
                <w:sz w:val="20"/>
                <w:szCs w:val="20"/>
                <w:color w:val="auto"/>
              </w:rPr>
            </w:pPr>
            <w:r>
              <w:rPr>
                <w:rFonts w:ascii="Arial" w:cs="Arial" w:eastAsia="Arial" w:hAnsi="Arial"/>
                <w:sz w:val="11"/>
                <w:szCs w:val="11"/>
                <w:b w:val="1"/>
                <w:bCs w:val="1"/>
                <w:color w:val="auto"/>
              </w:rPr>
              <w:t>(in thousands)</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9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r>
      <w:tr>
        <w:trPr>
          <w:trHeight w:val="149"/>
        </w:trPr>
        <w:tc>
          <w:tcPr>
            <w:tcW w:w="912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5,160</w:t>
            </w:r>
          </w:p>
        </w:tc>
        <w:tc>
          <w:tcPr>
            <w:tcW w:w="2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24,869</w:t>
            </w:r>
          </w:p>
        </w:tc>
      </w:tr>
      <w:tr>
        <w:trPr>
          <w:trHeight w:val="148"/>
        </w:trPr>
        <w:tc>
          <w:tcPr>
            <w:tcW w:w="9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2,108</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10,177</w:t>
            </w:r>
          </w:p>
        </w:tc>
      </w:tr>
      <w:tr>
        <w:trPr>
          <w:trHeight w:val="148"/>
        </w:trPr>
        <w:tc>
          <w:tcPr>
            <w:tcW w:w="912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1,242</w:t>
            </w:r>
          </w:p>
        </w:tc>
        <w:tc>
          <w:tcPr>
            <w:tcW w:w="2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13,237</w:t>
            </w:r>
          </w:p>
        </w:tc>
      </w:tr>
      <w:tr>
        <w:trPr>
          <w:trHeight w:val="27"/>
        </w:trPr>
        <w:tc>
          <w:tcPr>
            <w:tcW w:w="9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8"/>
        </w:trPr>
        <w:tc>
          <w:tcPr>
            <w:tcW w:w="9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8,547</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48,386</w:t>
            </w:r>
          </w:p>
        </w:tc>
      </w:tr>
      <w:tr>
        <w:trPr>
          <w:trHeight w:val="20"/>
        </w:trPr>
        <w:tc>
          <w:tcPr>
            <w:tcW w:w="9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100"/>
        <w:spacing w:after="0" w:line="253" w:lineRule="auto"/>
        <w:rPr>
          <w:sz w:val="20"/>
          <w:szCs w:val="20"/>
          <w:color w:val="auto"/>
        </w:rPr>
      </w:pPr>
      <w:r>
        <w:rPr>
          <w:rFonts w:ascii="Arial" w:cs="Arial" w:eastAsia="Arial" w:hAnsi="Arial"/>
          <w:sz w:val="14"/>
          <w:szCs w:val="14"/>
          <w:color w:val="auto"/>
        </w:rPr>
        <w:t>Stock-based compensation expense for fiscal 2019 and fiscal 2020 includes $3.8 million and $38.7 million, respectively, of compensation expense related to tender offers described in Note 10 to our consolidated financial statements included elsewhere in this prospectus.</w:t>
      </w:r>
    </w:p>
    <w:p>
      <w:pPr>
        <w:spacing w:after="0" w:line="79" w:lineRule="exact"/>
        <w:rPr>
          <w:sz w:val="20"/>
          <w:szCs w:val="20"/>
          <w:color w:val="auto"/>
        </w:rPr>
      </w:pPr>
    </w:p>
    <w:p>
      <w:pPr>
        <w:ind w:left="540" w:right="160" w:hanging="424"/>
        <w:spacing w:after="0" w:line="290" w:lineRule="auto"/>
        <w:tabs>
          <w:tab w:leader="none" w:pos="5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See Note 2 and Note 8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As of January 31,</w:t>
            </w:r>
          </w:p>
        </w:tc>
      </w:tr>
      <w:tr>
        <w:trPr>
          <w:trHeight w:val="142"/>
        </w:trPr>
        <w:tc>
          <w:tcPr>
            <w:tcW w:w="89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980" w:type="dxa"/>
            <w:vAlign w:val="bottom"/>
          </w:tcPr>
          <w:p>
            <w:pPr>
              <w:spacing w:after="0"/>
              <w:rPr>
                <w:sz w:val="12"/>
                <w:szCs w:val="12"/>
                <w:color w:val="auto"/>
              </w:rPr>
            </w:pPr>
          </w:p>
        </w:tc>
        <w:tc>
          <w:tcPr>
            <w:tcW w:w="19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w w:val="95"/>
              </w:rPr>
              <w:t>$  87,967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$ 351,308</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59,662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280,506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113,749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421,692</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31,918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64,106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Convertible note, net - related party</w:t>
            </w:r>
            <w:r>
              <w:rPr>
                <w:rFonts w:ascii="Arial" w:cs="Arial" w:eastAsia="Arial" w:hAnsi="Arial"/>
                <w:sz w:val="15"/>
                <w:szCs w:val="15"/>
                <w:color w:val="auto"/>
              </w:rPr>
              <w:t>(2)</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203,097</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250,370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250,581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(181,011)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ind w:left="540" w:hanging="424"/>
        <w:spacing w:after="0"/>
        <w:tabs>
          <w:tab w:leader="none" w:pos="5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3.5% senior mandatory convertible promissory note due 2025. For additional information, see “Description of Capital Stock—Senior Mandatory Convertible Promissory Note.”</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following table summarizes our non-GAAP financial measures for each fiscal year presented below. In addition to our results determined in accordance with GAAP, we believe these non-GAAP financial measures are useful in evaluating our operating performance.</w:t>
      </w:r>
    </w:p>
    <w:p>
      <w:pPr>
        <w:spacing w:after="0" w:line="165"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6350</wp:posOffset>
            </wp:positionV>
            <wp:extent cx="1200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9360"/>
        <w:spacing w:after="0"/>
        <w:tabs>
          <w:tab w:leader="none" w:pos="105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-3175</wp:posOffset>
            </wp:positionV>
            <wp:extent cx="12001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964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(43,466)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(71,245)</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Free cash flow</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5"/>
              </w:rPr>
              <w:t>(33,587)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(47,398)</w:t>
            </w:r>
          </w:p>
        </w:tc>
      </w:tr>
    </w:tbl>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“Selected Consolidated Financial Data” and the consolidated financial statements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 Our fiscal year end is January 31, and references throughout this prospectus to a given fiscal year are to the 12 months ended on that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outside support. We allow users to work the way they want with the interface that is right for them, using tasks, lists, calendars, boards, timelines, and workload.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the launch of the Premium level of Asana in 2012, we have achieved strong growth and the following key milestones: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Development and Company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4757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86045"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experienced rapid growth in recent periods. Our revenues were $76.8 million and $142.6 million for fiscal 2019 and fiscal 2020, respectively, representing growth of 86%. As of January 31, 2020, we had 701 employees, representing growth of 65% since January 31, 2019. We had a net loss of $50.9 million and $118.6 million for fiscal 2019 and fiscal 2020,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generate revenues from the sale of subscriptions to our cloud-based platform. We offer three levels of paid subscriptions to serve the varying needs of our paying customers: Premium, Business, and Enterprise. Pricing is based on the number of users and increases with each subscription level as more features and functionality are included. We introduced Enterprise subscriptions and Business subscriptions in December 2016</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and November 2018, respectively. These subscriptions have grown to represent approximately 42% of our revenues during the three months ended January 31, 2020. Paying customers typically pay on a monthly or annual basis, with the majority of our Business and Enterprise level customers on annual plans. Additionally, we offer a free Basic version of Asana for teams of fewer than 15 people, with limited access to Premium features. We also offer a 30-day trial of our paid subscription plans. Of our 100 largest customers today, virtually all came to Asana using a free trial of our paid levels or through an upgrade from our Basic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203190" cy="31457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0319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Over 25 million users have registered on Asana since our inception, representing a significant number of users associated with accounts that may convert to paying customers over time. As of January 31, 2020, we had over 1.2 million paid users on Asana. Our free-to-paid conversion rate of registered users, as measured by the number of paid users divided by the total number of then-registered users, has increased from 3.6% as of January 31, 2018 to over 4.8% as of January 31, 2020.</w:t>
      </w:r>
    </w:p>
    <w:p>
      <w:pPr>
        <w:spacing w:after="0" w:line="18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serve a large and diverse customer base, including over 75,000 paying customers, across all industry verticals and market segments, and over 30% of the FORTUNE 500.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No single customer accounted for more than 1% of our revenues, and our top 100 customers accounted for approximately 9% of our revenues for fiscal 2020. For fiscal 2020, approximately 41% of our revenues were generated outside the United States with limited international sales presence or major product customization.</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Go-To-Market Approach</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hybrid self-service and direct sales model allows us to efficiently reach teams everywhere and then rapidly expand their adoption of Asana. A majority of our new paying customers initially adopted our platform through self-service and free trials. By providing a free version of Asana, a free trial option, and a feature where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customers can invite guests outside of their organizations to use Asana, we are able to seed the market with Asana users.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Once individuals and teams within organizations adopt our platform, our direct sales team follows up with an opportunity to strategically expand our offerings across the organization. We are at the early stages of building our direct sales force to focus on the significant expansion opportunity we see within our customer base.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growth and financial performance are dependent upon many factors, including the key factors described below.</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Continuing to Acquire New Paying Customers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opportunity depend, in part, on our ability to attract new customers. While we currently have over 75,000 paying customers, we believe we have significant greenfield opportunities among addressable customers worldwide. We also have 3.2 million free activated accounts on our platform since inception, providing a significant conversion opportunity. We will need to continue to invest in our research and development and our sales and marketing organizations to address this opportunity.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Retain and Expand Within Existing Customers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expect to derive a significant portion of our revenue growth from expansion within our customer base, where we have an opportunity to expand adoption of Asana across teams, departments, and organizations. We measure the rate of expansion within our customer base by calculating our dollar-based net retention rate. We believe that our dollar-based net retention rate demonstrates our large addressable market and high rate of net expansion within our customers, particularly those that generate higher levels of annual revenues.</w:t>
      </w:r>
    </w:p>
    <w:p>
      <w:pPr>
        <w:spacing w:after="0" w:line="77"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overall dollar-based net retention rate was over 110% and over 120% for fiscal 2019 and fiscal 2020, respectively.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dollar-based net retention rate for customers who spent over $5,000 with us on an annualized basis was over 115% and over 125% for fiscal 2019 and fiscal 2020, respectively.</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dollar-based net retention rate for customers who spent over $50,000 with us on an annualized basis was over 140% for both fiscal 2019 and fiscal 2020.</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in future periods due to a number of factors, including the expected growth of our revenue base, the level of penetration within our customer base, and our ability to retain our customers.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Continue to Invest in Product Development and Functionality</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intend to continue to improve our platform by developing new products and expanding the functionality of existing products. Since our initial release of Asana, we have released a variety of additional functionality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features that have increased capabilities and improved user experience, including our Rules automation functionality. We invest heavily in integrating our products with other major technologies so that our products can be easily adopted alongside existing communication, collaboration, and vertical tools. We believe that these integrations increase the value of our platform to our customers, as they allow our customers to leverage Asana alongside their existing infrastructure. We intend to expend additional resources in the future to continue introducing new products, features, and functionality.</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Continue to Invest in Growth</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Although we have invested significantly in our business to date, we believe that we are early in addressing our large market opportunity. We intend to continue to make investments to support the growth and expansion of our business. We are investing in our expansion efforts by growing our direct sales team, which has nearly doubled in size since January 31, 2019.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a result of the COVID-19 pandemic, we have temporarily closed our headquarters and other offices, required our employees and contractors to work remotely, and implemented travel restrictions, all of which represent a significant disruption in how we operate our business. The operations of our partners and customers have likewise been disrupted.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our platform, lengthen our sales cycles, reduce the value or duration of subscriptions, negatively impact collections of accounts receivable, reduce expected spending from new customers, cause some of our paying customers to go out of business, limit the ability of our direct sales force to travel to customers and potential customers, and affect contraction or attrition rates of our paying customers, all of which could adversely affect our business, results of operations, and financial condition during fiscal 2021 and potentially future periods.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tables present certain non-GAAP financial measures for each fiscal year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202"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6350</wp:posOffset>
            </wp:positionV>
            <wp:extent cx="1200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9360"/>
        <w:spacing w:after="0"/>
        <w:tabs>
          <w:tab w:leader="none" w:pos="105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-3175</wp:posOffset>
            </wp:positionV>
            <wp:extent cx="12001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964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(43,466)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(71,245)</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Free cash flow</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5"/>
              </w:rPr>
              <w:t>(33,587)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(47,398)</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Non-GAAP Loss From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define non-GAAP loss from operations as loss from operations plus stock-based compensation expense.</w:t>
      </w:r>
    </w:p>
    <w:p>
      <w:pPr>
        <w:spacing w:after="0" w:line="225"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We use non-GAAP loss from operations in conjunction with traditional GAAP measures to evaluate our financial performance. We believe that non-GAAP loss from operations provides our management and investors consistency and comparability with our past financial performance and facilitates period-to-period comparisons of operations by eliminating fluctuations in stock-based compensation expense.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define free cash flow as net cash used in operating activities less cash used for purchases of property and equipment and capitalized internal-use software costs.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Non-GAAP Loss From Operations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8"/>
          </w:tcPr>
          <w:p>
            <w:pPr>
              <w:jc w:val="right"/>
              <w:ind w:right="201"/>
              <w:spacing w:after="0"/>
              <w:rPr>
                <w:sz w:val="20"/>
                <w:szCs w:val="20"/>
                <w:color w:val="auto"/>
              </w:rPr>
            </w:pPr>
            <w:r>
              <w:rPr>
                <w:rFonts w:ascii="Arial" w:cs="Arial" w:eastAsia="Arial" w:hAnsi="Arial"/>
                <w:sz w:val="14"/>
                <w:szCs w:val="14"/>
                <w:b w:val="1"/>
                <w:bCs w:val="1"/>
                <w:color w:val="auto"/>
                <w:w w:val="96"/>
              </w:rPr>
              <w:t>Year Ended January 31,</w:t>
            </w: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7"/>
          </w:tcPr>
          <w:p>
            <w:pPr>
              <w:jc w:val="right"/>
              <w:ind w:right="37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(52,013)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(119,631)</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Add: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8,547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48,386</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Non-GAAP loss from operations</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(43,466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40"/>
              <w:spacing w:after="0"/>
              <w:rPr>
                <w:sz w:val="20"/>
                <w:szCs w:val="20"/>
                <w:color w:val="auto"/>
              </w:rPr>
            </w:pPr>
            <w:r>
              <w:rPr>
                <w:rFonts w:ascii="Arial" w:cs="Arial" w:eastAsia="Arial" w:hAnsi="Arial"/>
                <w:sz w:val="18"/>
                <w:szCs w:val="18"/>
                <w:i w:val="1"/>
                <w:iCs w:val="1"/>
                <w:color w:val="auto"/>
              </w:rPr>
              <w:t>Free Cash Flow</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8"/>
          </w:tcPr>
          <w:p>
            <w:pPr>
              <w:jc w:val="right"/>
              <w:ind w:right="241"/>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7"/>
          </w:tcPr>
          <w:p>
            <w:pPr>
              <w:jc w:val="right"/>
              <w:ind w:right="41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(44,662)</w:t>
            </w:r>
          </w:p>
        </w:tc>
        <w:tc>
          <w:tcPr>
            <w:tcW w:w="1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12,655</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311,597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(30,180)</w:t>
            </w:r>
          </w:p>
        </w:tc>
        <w:tc>
          <w:tcPr>
            <w:tcW w:w="1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(40,136)</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(33,587)</w:t>
            </w:r>
          </w:p>
        </w:tc>
        <w:tc>
          <w:tcPr>
            <w:tcW w:w="1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(47,398)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generate subscription revenues from paying customers accessing our cloud-based platform. Subscription revenues are driven primarily by the number of paying customers, the number of paying users within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customer base, and the level of subscription plan. We recognize revenues ratably over the related contractual term beginning on the date that the platform is made available to a customer.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Due to the ease of implementation of our platform, revenues from professional services have been immaterial to date.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Cost of revenues consists primarily of the cost of providing our platform to free users and paying customers and is comprised of third-party hosting fees, personnel-related expenses for our operations and support personnel, credit card processing fees, and amortization of our capitalized internal-use software costs.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we acquire new customers and existing customers increase their use of our cloud-based platform, we expect that our cost of revenues will continue to increase in dollar amount.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8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each of the last two fiscal years, our personnel-related expenses have been significantly impacted by stock-based compensation expense associated with tender offers.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April 2018, our board of directors approved a plan for a private trust whose sole trustee and grantor is our co-founder, President, Chief Executive Officer, or CEO, and Chair to purchase shares of our Class A and Class B common stock from certain current and former employees. A total of approximately 1.5 million shares were tendered in the offer. The tender offer closed in May 2018, at which time we recorded $3.8 million in stock-based compensation expense related to the excess of the selling price per share paid to our employees and former employees over the fair value of each tendered share.</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October 2019, certain of our stockholders conducted a tender offer for shares of our outstanding Class A and Class B common stock and purchased an aggregate of 4,647,127 shares of our outstanding Class A and Class B common stock from certain other stockholders at a purchase price of $15.82 per share, for an aggregate purchase price of $73.5 million, resulting in stock-based compensation expense of $38.7 million for the excess of the selling price per share over the fair value of the tendered shares.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Research and development expenses consist primarily of personnel-related expenses. These expenses also include product design costs, third-party services and consulting expenses, software subscriptions and expensed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computer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and as a result, we expect research and development expenses to continue to increase in dollar amount but to decrease as a percentage of revenues over time.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and lead generation, brand marketing,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87" w:lineRule="exact"/>
        <w:rPr>
          <w:sz w:val="20"/>
          <w:szCs w:val="20"/>
          <w:color w:val="auto"/>
        </w:rPr>
      </w:pPr>
    </w:p>
    <w:p>
      <w:pPr>
        <w:ind w:left="120" w:firstLine="440"/>
        <w:spacing w:after="0" w:line="340" w:lineRule="auto"/>
        <w:rPr>
          <w:sz w:val="20"/>
          <w:szCs w:val="20"/>
          <w:color w:val="auto"/>
        </w:rPr>
      </w:pPr>
      <w:r>
        <w:rPr>
          <w:rFonts w:ascii="Arial" w:cs="Arial" w:eastAsia="Arial" w:hAnsi="Arial"/>
          <w:sz w:val="15"/>
          <w:szCs w:val="15"/>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quarter to quarter depending on the extent and timing of our marketing initiatives.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and expensed computer equipment, certain tax, license, and insurance-related expenses, and allocated overhead costs.</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We also expect to recognize certain expenses as part of our transition to a publicly traded company, consisting of professional fees and other</w:t>
      </w:r>
    </w:p>
    <w:p>
      <w:pPr>
        <w:spacing w:after="0" w:line="35"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expenses. In the quarter of the listing of our Class A common stock on the , we expect to incur fees paid to our financial advisors in addition to other professional fees and expenses related to such listing. Following the listing of our Class A common stock on the , we expect to continue</w:t>
      </w:r>
    </w:p>
    <w:p>
      <w:pPr>
        <w:ind w:left="120" w:right="60"/>
        <w:spacing w:after="0" w:line="252" w:lineRule="auto"/>
        <w:rPr>
          <w:sz w:val="20"/>
          <w:szCs w:val="20"/>
          <w:color w:val="auto"/>
        </w:rPr>
      </w:pPr>
      <w:r>
        <w:rPr>
          <w:rFonts w:ascii="Arial" w:cs="Arial" w:eastAsia="Arial" w:hAnsi="Arial"/>
          <w:sz w:val="18"/>
          <w:szCs w:val="18"/>
          <w:color w:val="auto"/>
        </w:rPr>
        <w:t>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revenues over the longer term, although the percentage may fluctuate from period to period depending on the timing and amount of our general and administrative expenses.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consists of income earned on our marketable securities.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Interest expense consists of contractual interest expense and amortization of the debt discount on the senior mandatory convertible promissory note we issued in January 2020 to a trust affiliated with our CEO.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income (expense), net consists primarily of foreign currency transaction gains and losses.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which we provide a full valuation allowance, which primarily include net operating loss carryforwards of $476.7 million and research and development tax credit carryforwards of $21.7 million, which begin expiring in 2029 and 2030, respectively. We expect to maintain this full valuation allowance for the foreseeable future as it is not more likely than not the deferred tax assets will be realized based on our history of losses.</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320" w:top="459" w:right="5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59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19"/>
        </w:trPr>
        <w:tc>
          <w:tcPr>
            <w:tcW w:w="59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4"/>
          </w:tcPr>
          <w:p>
            <w:pPr>
              <w:jc w:val="center"/>
              <w:ind w:right="10"/>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120" w:type="dxa"/>
            <w:vAlign w:val="bottom"/>
          </w:tcPr>
          <w:p>
            <w:pPr>
              <w:spacing w:after="0"/>
              <w:rPr>
                <w:sz w:val="10"/>
                <w:szCs w:val="10"/>
                <w:color w:val="auto"/>
              </w:rPr>
            </w:pPr>
          </w:p>
        </w:tc>
      </w:tr>
      <w:tr>
        <w:trPr>
          <w:trHeight w:val="171"/>
        </w:trPr>
        <w:tc>
          <w:tcPr>
            <w:tcW w:w="5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share amounts)</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76,770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$ 142,606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19,881</w:t>
            </w:r>
          </w:p>
        </w:tc>
      </w:tr>
      <w:tr>
        <w:trPr>
          <w:trHeight w:val="27"/>
        </w:trPr>
        <w:tc>
          <w:tcPr>
            <w:tcW w:w="5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122,725</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3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42,585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89,675</w:t>
            </w: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52,106</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105,836</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20,260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46,845</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114,951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242,356</w:t>
            </w:r>
          </w:p>
        </w:tc>
        <w:tc>
          <w:tcPr>
            <w:tcW w:w="12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(52,013)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(119,631)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1,290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1,755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(390)</w:t>
            </w:r>
          </w:p>
        </w:tc>
      </w:tr>
      <w:tr>
        <w:trPr>
          <w:trHeight w:val="27"/>
        </w:trPr>
        <w:tc>
          <w:tcPr>
            <w:tcW w:w="5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(50,900)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(118,344)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r>
      <w:tr>
        <w:trPr>
          <w:trHeight w:val="27"/>
        </w:trPr>
        <w:tc>
          <w:tcPr>
            <w:tcW w:w="5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(50,928)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(118,589)</w:t>
            </w:r>
          </w:p>
        </w:tc>
      </w:tr>
      <w:tr>
        <w:trPr>
          <w:trHeight w:val="20"/>
        </w:trPr>
        <w:tc>
          <w:tcPr>
            <w:tcW w:w="5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36"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58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6"/>
          </w:tcPr>
          <w:p>
            <w:pPr>
              <w:ind w:left="40"/>
              <w:spacing w:after="0"/>
              <w:rPr>
                <w:sz w:val="20"/>
                <w:szCs w:val="20"/>
                <w:color w:val="auto"/>
              </w:rPr>
            </w:pPr>
            <w:r>
              <w:rPr>
                <w:rFonts w:ascii="Arial" w:cs="Arial" w:eastAsia="Arial" w:hAnsi="Arial"/>
                <w:sz w:val="11"/>
                <w:szCs w:val="11"/>
                <w:b w:val="1"/>
                <w:bCs w:val="1"/>
                <w:color w:val="auto"/>
              </w:rPr>
              <w:t>Year Ended January 31,</w:t>
            </w:r>
          </w:p>
        </w:tc>
      </w:tr>
      <w:tr>
        <w:trPr>
          <w:trHeight w:val="115"/>
        </w:trPr>
        <w:tc>
          <w:tcPr>
            <w:tcW w:w="58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ind w:left="40"/>
              <w:spacing w:after="0" w:line="115" w:lineRule="exact"/>
              <w:rPr>
                <w:sz w:val="20"/>
                <w:szCs w:val="20"/>
                <w:color w:val="auto"/>
              </w:rPr>
            </w:pPr>
            <w:r>
              <w:rPr>
                <w:rFonts w:ascii="Arial" w:cs="Arial" w:eastAsia="Arial" w:hAnsi="Arial"/>
                <w:sz w:val="11"/>
                <w:szCs w:val="11"/>
                <w:b w:val="1"/>
                <w:bCs w:val="1"/>
                <w:color w:val="auto"/>
              </w:rPr>
              <w:t>2019</w:t>
            </w:r>
          </w:p>
        </w:tc>
        <w:tc>
          <w:tcPr>
            <w:tcW w:w="18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11"/>
              <w:spacing w:after="0" w:line="115" w:lineRule="exact"/>
              <w:rPr>
                <w:sz w:val="20"/>
                <w:szCs w:val="20"/>
                <w:color w:val="auto"/>
              </w:rPr>
            </w:pPr>
            <w:r>
              <w:rPr>
                <w:rFonts w:ascii="Arial" w:cs="Arial" w:eastAsia="Arial" w:hAnsi="Arial"/>
                <w:sz w:val="11"/>
                <w:szCs w:val="11"/>
                <w:b w:val="1"/>
                <w:bCs w:val="1"/>
                <w:color w:val="auto"/>
                <w:w w:val="97"/>
              </w:rPr>
              <w:t>2020</w:t>
            </w:r>
          </w:p>
        </w:tc>
        <w:tc>
          <w:tcPr>
            <w:tcW w:w="40" w:type="dxa"/>
            <w:vAlign w:val="bottom"/>
          </w:tcPr>
          <w:p>
            <w:pPr>
              <w:spacing w:after="0"/>
              <w:rPr>
                <w:sz w:val="10"/>
                <w:szCs w:val="10"/>
                <w:color w:val="auto"/>
              </w:rPr>
            </w:pPr>
          </w:p>
        </w:tc>
      </w:tr>
      <w:tr>
        <w:trPr>
          <w:trHeight w:val="115"/>
        </w:trPr>
        <w:tc>
          <w:tcPr>
            <w:tcW w:w="58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5"/>
          </w:tcPr>
          <w:p>
            <w:pPr>
              <w:jc w:val="right"/>
              <w:ind w:right="331"/>
              <w:spacing w:after="0" w:line="115" w:lineRule="exact"/>
              <w:rPr>
                <w:sz w:val="20"/>
                <w:szCs w:val="20"/>
                <w:color w:val="auto"/>
              </w:rPr>
            </w:pPr>
            <w:r>
              <w:rPr>
                <w:rFonts w:ascii="Arial" w:cs="Arial" w:eastAsia="Arial" w:hAnsi="Arial"/>
                <w:sz w:val="11"/>
                <w:szCs w:val="11"/>
                <w:b w:val="1"/>
                <w:bCs w:val="1"/>
                <w:color w:val="auto"/>
              </w:rPr>
              <w:t>(in thousands)</w:t>
            </w:r>
          </w:p>
        </w:tc>
        <w:tc>
          <w:tcPr>
            <w:tcW w:w="40" w:type="dxa"/>
            <w:vAlign w:val="bottom"/>
          </w:tcPr>
          <w:p>
            <w:pPr>
              <w:spacing w:after="0"/>
              <w:rPr>
                <w:sz w:val="10"/>
                <w:szCs w:val="10"/>
                <w:color w:val="auto"/>
              </w:rPr>
            </w:pPr>
          </w:p>
        </w:tc>
      </w:tr>
      <w:tr>
        <w:trPr>
          <w:trHeight w:val="149"/>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3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w:t>
            </w:r>
          </w:p>
        </w:tc>
      </w:tr>
      <w:tr>
        <w:trPr>
          <w:trHeight w:val="148"/>
        </w:trPr>
        <w:tc>
          <w:tcPr>
            <w:tcW w:w="582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24,869</w:t>
            </w:r>
          </w:p>
        </w:tc>
      </w:tr>
      <w:tr>
        <w:trPr>
          <w:trHeight w:val="148"/>
        </w:trPr>
        <w:tc>
          <w:tcPr>
            <w:tcW w:w="5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2,108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10,177</w:t>
            </w:r>
          </w:p>
        </w:tc>
      </w:tr>
      <w:tr>
        <w:trPr>
          <w:trHeight w:val="149"/>
        </w:trPr>
        <w:tc>
          <w:tcPr>
            <w:tcW w:w="582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13,237</w:t>
            </w:r>
          </w:p>
        </w:tc>
      </w:tr>
      <w:tr>
        <w:trPr>
          <w:trHeight w:val="27"/>
        </w:trPr>
        <w:tc>
          <w:tcPr>
            <w:tcW w:w="58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8"/>
        </w:trPr>
        <w:tc>
          <w:tcPr>
            <w:tcW w:w="5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stock-based compensation expense</w:t>
            </w:r>
          </w:p>
        </w:tc>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8,547</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48,386</w:t>
            </w:r>
          </w:p>
        </w:tc>
      </w:tr>
      <w:tr>
        <w:trPr>
          <w:trHeight w:val="20"/>
        </w:trPr>
        <w:tc>
          <w:tcPr>
            <w:tcW w:w="58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0" w:right="240"/>
        <w:spacing w:after="0" w:line="253" w:lineRule="auto"/>
        <w:rPr>
          <w:sz w:val="20"/>
          <w:szCs w:val="20"/>
          <w:color w:val="auto"/>
        </w:rPr>
      </w:pPr>
      <w:r>
        <w:rPr>
          <w:rFonts w:ascii="Arial" w:cs="Arial" w:eastAsia="Arial" w:hAnsi="Arial"/>
          <w:sz w:val="14"/>
          <w:szCs w:val="14"/>
          <w:color w:val="auto"/>
        </w:rPr>
        <w:t>Stock-based compensation expense for fiscal 2019 and fiscal 2020 includes $3.8 million and $38.7 million, respectively, of compensation expense related to tender offers described above and in Note 10 to our consolidated financial statements included elsewhere in this prospectus.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components of our statements of operations data, for each of the periods presented, as a percentage of revenues.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8"/>
          </w:tcPr>
          <w:p>
            <w:pPr>
              <w:jc w:val="center"/>
              <w:ind w:right="62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5"/>
          </w:tcPr>
          <w:p>
            <w:pPr>
              <w:jc w:val="center"/>
              <w:ind w:left="172"/>
              <w:spacing w:after="0" w:line="142" w:lineRule="exact"/>
              <w:rPr>
                <w:sz w:val="20"/>
                <w:szCs w:val="20"/>
                <w:color w:val="auto"/>
              </w:rPr>
            </w:pPr>
            <w:r>
              <w:rPr>
                <w:rFonts w:ascii="Arial" w:cs="Arial" w:eastAsia="Arial" w:hAnsi="Arial"/>
                <w:sz w:val="14"/>
                <w:szCs w:val="14"/>
                <w:b w:val="1"/>
                <w:bCs w:val="1"/>
                <w:color w:val="auto"/>
                <w:w w:val="89"/>
              </w:rPr>
              <w:t>(percent of revenues)</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6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860" w:type="dxa"/>
            <w:vAlign w:val="bottom"/>
            <w:gridSpan w:val="2"/>
          </w:tcPr>
          <w:p>
            <w:pPr>
              <w:spacing w:after="0"/>
              <w:rPr>
                <w:sz w:val="20"/>
                <w:szCs w:val="20"/>
                <w:color w:val="auto"/>
              </w:rPr>
            </w:pPr>
            <w:r>
              <w:rPr>
                <w:rFonts w:ascii="Arial" w:cs="Arial" w:eastAsia="Arial" w:hAnsi="Arial"/>
                <w:sz w:val="14"/>
                <w:szCs w:val="14"/>
                <w:color w:val="auto"/>
              </w:rPr>
              <w:t>* Less than 1%</w:t>
            </w: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60" w:type="dxa"/>
            <w:vAlign w:val="bottom"/>
            <w:gridSpan w:val="2"/>
          </w:tcPr>
          <w:p>
            <w:pPr>
              <w:spacing w:after="0"/>
              <w:rPr>
                <w:sz w:val="20"/>
                <w:szCs w:val="20"/>
                <w:color w:val="auto"/>
              </w:rPr>
            </w:pPr>
            <w:r>
              <w:rPr>
                <w:rFonts w:ascii="Arial" w:cs="Arial" w:eastAsia="Arial" w:hAnsi="Arial"/>
                <w:sz w:val="14"/>
                <w:szCs w:val="14"/>
                <w:color w:val="auto"/>
              </w:rPr>
              <w:t>Note: Certain figures may not sum due to rounding.</w:t>
            </w:r>
          </w:p>
        </w:tc>
        <w:tc>
          <w:tcPr>
            <w:tcW w:w="1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5"/>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Comparison of Fiscal 2019 and Fiscal 2020</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Revenues</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 January 31,</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Borders>
              <w:top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76,770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$ 142,606</w:t>
            </w:r>
          </w:p>
        </w:tc>
        <w:tc>
          <w:tcPr>
            <w:tcW w:w="14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$65,836</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Revenues increased $65.8 million, or 86%, for fiscal 2020 compared to fiscal 2019. The increase in revenues was primarily due to a shift in our sales mix toward our higher priced subscription plans, such as Enterprise and Business plans, and increased sales of our higher priced subscription plans, the addition of new paying customers, and revenues generated from our existing paying customers as reflected by our dollar-based net retention rate of over 120% as of January 31,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94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Year Ended January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1180" w:type="dxa"/>
            <w:vAlign w:val="bottom"/>
            <w:tcBorders>
              <w:top w:val="single" w:sz="8" w:color="auto"/>
            </w:tcBorders>
          </w:tcPr>
          <w:p>
            <w:pPr>
              <w:jc w:val="right"/>
              <w:ind w:right="601"/>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2200" w:type="dxa"/>
            <w:vAlign w:val="bottom"/>
            <w:tcBorders>
              <w:top w:val="single" w:sz="8" w:color="auto"/>
            </w:tcBorders>
            <w:gridSpan w:val="3"/>
          </w:tcPr>
          <w:p>
            <w:pPr>
              <w:jc w:val="right"/>
              <w:ind w:right="356"/>
              <w:spacing w:after="0" w:line="142"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8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w w:val="93"/>
              </w:rPr>
              <w:t>$  13,832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19,881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6,049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Gross margin</w:t>
            </w:r>
          </w:p>
        </w:tc>
        <w:tc>
          <w:tcPr>
            <w:tcW w:w="1180" w:type="dxa"/>
            <w:vAlign w:val="bottom"/>
          </w:tcPr>
          <w:p>
            <w:pPr>
              <w:jc w:val="right"/>
              <w:ind w:right="221"/>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Cost of revenues increased $6.0 million, or 44%, for fiscal 2020 compared to fiscal 2019. The increase was primarily due to an increase of $3.6 million in third-party hosting costs as we increased capacity to support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customer usage and growth of our customer base, $1.6 million in personnel-related costs due to increased headcount, and $1.5 million in credit card processing fees, partially offset by a $0.7 million decrease in amortization of capitalized internal-use software costs.</w:t>
      </w:r>
    </w:p>
    <w:p>
      <w:pPr>
        <w:spacing w:after="0" w:line="14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gross margin increased for fiscal 2020 compared to fiscal 2019 as we increased our revenues and more efficiently managed third-party hosting costs, realized benefits due to economies of scale resulting from increased efficiency with our technology and infrastructure, and experienced a decrease in amortization of capitalized internal-use software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114"/>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89,675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$ 47,090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52,106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105,836</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53,730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46,845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26,585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114,951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242,356</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127,405</w:t>
            </w: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Research and development expenses increased $47.1 million, or 111%, for fiscal 2020 compared to fiscal 2019. The increase was primarily due to an increase of $40.5 million in personnel-related expenses driven by higher headcount and $16.6 million in higher tender offer-related stock-based compensation expense, an increase of $3.9 million in allocated overhead costs as a result of increased overall costs to support the growth of our business and related infrastructure, and an increase of $1.5 million related to software subscriptions and expensed computer equipment used in research and development activities.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Sales and marketing expenses increased $53.7 million, or 103%, for fiscal 2020 compared to fiscal 2019. The increase was primarily due to an increase of $26.1 million in personnel-related expenses as a result of higher headcount and sales commissions for our sales personnel and $7.0 million in higher tender offer-related stock-based compensation expense, an increase of $13.7 million in advertising expenses for our marketing programs, an increase of $7.2 million in fees to marketing vendors, and an increase of $3.6 million in allocated overhead costs as a result of increased overall costs to support the growth of our business and related infrastructure.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General and administrative expenses increased $26.6 million, or 131%, for fiscal 2020 compared to fiscal 2019. The increase was primarily due to an increase of $17.6 million in personnel-related expenses driven by higher headcount to support our continued growth and $11.2 million in higher tender offer-related stock-based compensation expense, an increase of $2.8 million in fees for professional services, an increase of $1.6 million in fees paid to external consultants, and an increase of $1.3 million in software subscriptions and expensed computer equipment to support the growth of our business and related infrastructure.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Year Ended January 31,</w:t>
            </w:r>
          </w:p>
        </w:tc>
        <w:tc>
          <w:tcPr>
            <w:tcW w:w="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80" w:type="dxa"/>
            <w:vAlign w:val="bottom"/>
            <w:tcBorders>
              <w:top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120" w:type="dxa"/>
            <w:vAlign w:val="bottom"/>
            <w:tcBorders>
              <w:top w:val="single" w:sz="8" w:color="auto"/>
            </w:tcBorders>
            <w:gridSpan w:val="2"/>
          </w:tcPr>
          <w:p>
            <w:pPr>
              <w:jc w:val="right"/>
              <w:ind w:right="315"/>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1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   1,290</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1,755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expense</w:t>
            </w:r>
          </w:p>
        </w:tc>
        <w:tc>
          <w:tcPr>
            <w:tcW w:w="2060" w:type="dxa"/>
            <w:vAlign w:val="bottom"/>
          </w:tcPr>
          <w:p>
            <w:pPr>
              <w:spacing w:after="0"/>
              <w:rPr>
                <w:sz w:val="18"/>
                <w:szCs w:val="18"/>
                <w:color w:val="auto"/>
              </w:rPr>
            </w:pPr>
          </w:p>
        </w:tc>
        <w:tc>
          <w:tcPr>
            <w:tcW w:w="1080" w:type="dxa"/>
            <w:vAlign w:val="bottom"/>
          </w:tcPr>
          <w:p>
            <w:pPr>
              <w:jc w:val="right"/>
              <w:ind w:right="264"/>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(78)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1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(177)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Interest income increased $0.5 million, or 36%, for fiscal 2020 compared to fiscal 2019 primarily due to increased income from our investments in marketable securities as a result of our higher investment balances in fiscal 2020 compared to fiscal 2019. Interest expense increased $0.1 million for fiscal 2020 compared to fiscal 2019 due to the issuance of the senior mandatory convertible promissory note to a trust affiliated with our CEO. Other income (expense), net decreased $0.2 million in fiscal 2020 compared to fiscal 2019 due primarily to losses on foreign currency transactions.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 Data</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following tables set forth selected unaudited quarterly statements of operations data for each of the eight fiscal quarters ended January 31, 2020, as well as the percentage of revenues that each line item represents for each quarter. The information for each of these quarters has been prepared in accordance with GAAP on the same basis as our audited annual consolidated financial statements included elsewhere in this prospectus and includes, in the opinion of management, all adjustments, consisting only of normal recurring adjustments, necessary for the fair statement of the results of operations for these periods. This data should be read in conjunction with our audited consolidated financial statements included elsewhere in this prospectus. These quarterly results are not necessarily indicative of our results of operations to be expected for any future period.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8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April 30,</w:t>
            </w:r>
          </w:p>
        </w:tc>
        <w:tc>
          <w:tcPr>
            <w:tcW w:w="8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July 31,</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2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8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April 30,</w:t>
            </w:r>
          </w:p>
        </w:tc>
        <w:tc>
          <w:tcPr>
            <w:tcW w:w="8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July 31,</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$ 14,279</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$ 17,605</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20,567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24,319</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$ 27,970</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$ 33,087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38,079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Cost of revenues</w:t>
            </w:r>
            <w:r>
              <w:rPr>
                <w:rFonts w:ascii="Arial" w:cs="Arial" w:eastAsia="Arial" w:hAnsi="Arial"/>
                <w:sz w:val="23"/>
                <w:szCs w:val="23"/>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3,077</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3,269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3,846</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4,109</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4,642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5,328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11,202</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14,336</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20,473</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23,861</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32,751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Operating expenses:</w:t>
            </w: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ind w:left="320"/>
              <w:spacing w:after="0" w:line="205"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3"/>
                <w:szCs w:val="23"/>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8,644</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10,748</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13,432</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39,712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320"/>
              <w:spacing w:after="0" w:line="202"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3"/>
                <w:szCs w:val="23"/>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9,672</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12,732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13,397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16,305</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18,859</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20,166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35,902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30,909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3"/>
                <w:szCs w:val="23"/>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6,934</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20,222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11,974</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rPr>
              <w:t>Total operating expenses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22,090</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30,387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33,113</w:t>
            </w:r>
          </w:p>
        </w:tc>
        <w:tc>
          <w:tcPr>
            <w:tcW w:w="580" w:type="dxa"/>
            <w:vAlign w:val="bottom"/>
          </w:tcPr>
          <w:p>
            <w:pPr>
              <w:jc w:val="right"/>
              <w:spacing w:after="0"/>
              <w:rPr>
                <w:sz w:val="20"/>
                <w:szCs w:val="20"/>
                <w:color w:val="auto"/>
              </w:rPr>
            </w:pPr>
            <w:r>
              <w:rPr>
                <w:rFonts w:ascii="Arial" w:cs="Arial" w:eastAsia="Arial" w:hAnsi="Arial"/>
                <w:sz w:val="16"/>
                <w:szCs w:val="16"/>
                <w:color w:val="auto"/>
              </w:rPr>
              <w:t>39,225</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44,325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95,836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62,970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(10,888)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(16,051)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(12,640)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(15,364)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(15,880)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(63,085)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(25,302)</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Interest income</w:t>
            </w:r>
          </w:p>
        </w:tc>
        <w:tc>
          <w:tcPr>
            <w:tcW w:w="580" w:type="dxa"/>
            <w:vAlign w:val="bottom"/>
          </w:tcPr>
          <w:p>
            <w:pPr>
              <w:jc w:val="right"/>
              <w:spacing w:after="0"/>
              <w:rPr>
                <w:sz w:val="20"/>
                <w:szCs w:val="20"/>
                <w:color w:val="auto"/>
              </w:rPr>
            </w:pPr>
            <w:r>
              <w:rPr>
                <w:rFonts w:ascii="Arial" w:cs="Arial" w:eastAsia="Arial" w:hAnsi="Arial"/>
                <w:sz w:val="16"/>
                <w:szCs w:val="16"/>
                <w:color w:val="auto"/>
              </w:rPr>
              <w:t>309</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468</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558</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(14)</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(106)</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(86)</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Loss before provision for income taxes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(10,593)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(15,813)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(12,278)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(14,892)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(15,527)</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(62,742)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(25,183)</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(10,600)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(15,820)</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(12,223)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(12,285)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(14,953)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(15,588)</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(62,803)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(25,245)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1"/>
              </w:rPr>
              <w:t>Three Months Ended</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w w:val="92"/>
              </w:rPr>
              <w:t>April 30,</w:t>
            </w:r>
          </w:p>
        </w:tc>
        <w:tc>
          <w:tcPr>
            <w:tcW w:w="220" w:type="dxa"/>
            <w:vAlign w:val="bottom"/>
          </w:tcPr>
          <w:p>
            <w:pPr>
              <w:spacing w:after="0"/>
              <w:rPr>
                <w:sz w:val="8"/>
                <w:szCs w:val="8"/>
                <w:color w:val="auto"/>
              </w:rPr>
            </w:pPr>
          </w:p>
        </w:tc>
        <w:tc>
          <w:tcPr>
            <w:tcW w:w="40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w w:val="89"/>
              </w:rPr>
              <w:t>July 31,</w:t>
            </w:r>
          </w:p>
        </w:tc>
        <w:tc>
          <w:tcPr>
            <w:tcW w:w="760" w:type="dxa"/>
            <w:vAlign w:val="bottom"/>
            <w:gridSpan w:val="3"/>
          </w:tcPr>
          <w:p>
            <w:pPr>
              <w:ind w:left="220"/>
              <w:spacing w:after="0" w:line="102" w:lineRule="exact"/>
              <w:rPr>
                <w:sz w:val="20"/>
                <w:szCs w:val="20"/>
                <w:color w:val="auto"/>
              </w:rPr>
            </w:pPr>
            <w:r>
              <w:rPr>
                <w:rFonts w:ascii="Arial" w:cs="Arial" w:eastAsia="Arial" w:hAnsi="Arial"/>
                <w:sz w:val="11"/>
                <w:szCs w:val="11"/>
                <w:b w:val="1"/>
                <w:bCs w:val="1"/>
                <w:color w:val="auto"/>
                <w:w w:val="85"/>
              </w:rPr>
              <w:t>October 31,</w:t>
            </w:r>
          </w:p>
        </w:tc>
        <w:tc>
          <w:tcPr>
            <w:tcW w:w="760" w:type="dxa"/>
            <w:vAlign w:val="bottom"/>
            <w:gridSpan w:val="3"/>
          </w:tcPr>
          <w:p>
            <w:pPr>
              <w:ind w:left="220"/>
              <w:spacing w:after="0" w:line="102" w:lineRule="exact"/>
              <w:rPr>
                <w:sz w:val="20"/>
                <w:szCs w:val="20"/>
                <w:color w:val="auto"/>
              </w:rPr>
            </w:pPr>
            <w:r>
              <w:rPr>
                <w:rFonts w:ascii="Arial" w:cs="Arial" w:eastAsia="Arial" w:hAnsi="Arial"/>
                <w:sz w:val="11"/>
                <w:szCs w:val="11"/>
                <w:b w:val="1"/>
                <w:bCs w:val="1"/>
                <w:color w:val="auto"/>
                <w:w w:val="85"/>
              </w:rPr>
              <w:t>January 31,</w:t>
            </w:r>
          </w:p>
        </w:tc>
        <w:tc>
          <w:tcPr>
            <w:tcW w:w="640" w:type="dxa"/>
            <w:vAlign w:val="bottom"/>
            <w:gridSpan w:val="3"/>
          </w:tcPr>
          <w:p>
            <w:pPr>
              <w:ind w:left="220"/>
              <w:spacing w:after="0" w:line="102" w:lineRule="exact"/>
              <w:rPr>
                <w:sz w:val="20"/>
                <w:szCs w:val="20"/>
                <w:color w:val="auto"/>
              </w:rPr>
            </w:pPr>
            <w:r>
              <w:rPr>
                <w:rFonts w:ascii="Arial" w:cs="Arial" w:eastAsia="Arial" w:hAnsi="Arial"/>
                <w:sz w:val="11"/>
                <w:szCs w:val="11"/>
                <w:b w:val="1"/>
                <w:bCs w:val="1"/>
                <w:color w:val="auto"/>
                <w:w w:val="92"/>
              </w:rPr>
              <w:t>April 30,</w:t>
            </w:r>
          </w:p>
        </w:tc>
        <w:tc>
          <w:tcPr>
            <w:tcW w:w="220" w:type="dxa"/>
            <w:vAlign w:val="bottom"/>
          </w:tcPr>
          <w:p>
            <w:pPr>
              <w:spacing w:after="0"/>
              <w:rPr>
                <w:sz w:val="8"/>
                <w:szCs w:val="8"/>
                <w:color w:val="auto"/>
              </w:rPr>
            </w:pPr>
          </w:p>
        </w:tc>
        <w:tc>
          <w:tcPr>
            <w:tcW w:w="40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w w:val="89"/>
              </w:rPr>
              <w:t>July 31,</w:t>
            </w:r>
          </w:p>
        </w:tc>
        <w:tc>
          <w:tcPr>
            <w:tcW w:w="760" w:type="dxa"/>
            <w:vAlign w:val="bottom"/>
            <w:gridSpan w:val="3"/>
          </w:tcPr>
          <w:p>
            <w:pPr>
              <w:ind w:left="220"/>
              <w:spacing w:after="0" w:line="102" w:lineRule="exact"/>
              <w:rPr>
                <w:sz w:val="20"/>
                <w:szCs w:val="20"/>
                <w:color w:val="auto"/>
              </w:rPr>
            </w:pPr>
            <w:r>
              <w:rPr>
                <w:rFonts w:ascii="Arial" w:cs="Arial" w:eastAsia="Arial" w:hAnsi="Arial"/>
                <w:sz w:val="11"/>
                <w:szCs w:val="11"/>
                <w:b w:val="1"/>
                <w:bCs w:val="1"/>
                <w:color w:val="auto"/>
                <w:w w:val="85"/>
              </w:rPr>
              <w:t>October 31,</w:t>
            </w:r>
          </w:p>
        </w:tc>
        <w:tc>
          <w:tcPr>
            <w:tcW w:w="760" w:type="dxa"/>
            <w:vAlign w:val="bottom"/>
            <w:gridSpan w:val="3"/>
          </w:tcPr>
          <w:p>
            <w:pPr>
              <w:ind w:left="220"/>
              <w:spacing w:after="0" w:line="102" w:lineRule="exact"/>
              <w:rPr>
                <w:sz w:val="20"/>
                <w:szCs w:val="20"/>
                <w:color w:val="auto"/>
              </w:rPr>
            </w:pPr>
            <w:r>
              <w:rPr>
                <w:rFonts w:ascii="Arial" w:cs="Arial" w:eastAsia="Arial" w:hAnsi="Arial"/>
                <w:sz w:val="11"/>
                <w:szCs w:val="11"/>
                <w:b w:val="1"/>
                <w:bCs w:val="1"/>
                <w:color w:val="auto"/>
                <w:w w:val="85"/>
              </w:rPr>
              <w:t>January 31,</w:t>
            </w:r>
          </w:p>
        </w:tc>
        <w:tc>
          <w:tcPr>
            <w:tcW w:w="4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w w:val="89"/>
              </w:rPr>
              <w:t>2018</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w w:val="89"/>
              </w:rPr>
              <w:t>2018</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w w:val="97"/>
              </w:rPr>
              <w:t>2018</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w w:val="89"/>
              </w:rPr>
              <w:t>2019</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w w:val="89"/>
              </w:rPr>
              <w:t>2019</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w w:val="97"/>
              </w:rPr>
              <w:t>2019</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right"/>
              <w:ind w:right="131"/>
              <w:spacing w:after="0" w:line="115" w:lineRule="exact"/>
              <w:rPr>
                <w:sz w:val="20"/>
                <w:szCs w:val="20"/>
                <w:color w:val="auto"/>
              </w:rPr>
            </w:pPr>
            <w:r>
              <w:rPr>
                <w:rFonts w:ascii="Arial" w:cs="Arial" w:eastAsia="Arial" w:hAnsi="Arial"/>
                <w:sz w:val="11"/>
                <w:szCs w:val="11"/>
                <w:b w:val="1"/>
                <w:bCs w:val="1"/>
                <w:color w:val="auto"/>
              </w:rPr>
              <w:t>(in thousands)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90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526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3,320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780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1,102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21,068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1,919</w:t>
            </w:r>
          </w:p>
        </w:tc>
        <w:tc>
          <w:tcPr>
            <w:tcW w:w="4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1,086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363</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294</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303</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12,042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623</w:t>
            </w:r>
          </w:p>
        </w:tc>
        <w:tc>
          <w:tcPr>
            <w:tcW w:w="4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 expense</w:t>
            </w:r>
          </w:p>
        </w:tc>
        <w:tc>
          <w:tcPr>
            <w:tcW w:w="90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4,874</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1,509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1,919</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41,628</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3,330</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440"/>
        <w:spacing w:after="0" w:line="253" w:lineRule="auto"/>
        <w:rPr>
          <w:sz w:val="20"/>
          <w:szCs w:val="20"/>
          <w:color w:val="auto"/>
        </w:rPr>
      </w:pPr>
      <w:r>
        <w:rPr>
          <w:rFonts w:ascii="Arial" w:cs="Arial" w:eastAsia="Arial" w:hAnsi="Arial"/>
          <w:sz w:val="14"/>
          <w:szCs w:val="14"/>
          <w:color w:val="auto"/>
        </w:rPr>
        <w:t>Stock-based compensation expense for the quarters ended July 31, 2018 and October 31, 2019 included $3.8 million and $38.7 million, respectively, of stock-based compensation expense related to tender offers described above and in Note 10 to our consolidated financial statements included elsewhere in this prospectus.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values from the statements of operations data, expressed as a percentage of revenues,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8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10"/>
        </w:trPr>
        <w:tc>
          <w:tcPr>
            <w:tcW w:w="2840" w:type="dxa"/>
            <w:vAlign w:val="bottom"/>
          </w:tcPr>
          <w:p>
            <w:pPr>
              <w:spacing w:after="0"/>
              <w:rPr>
                <w:sz w:val="9"/>
                <w:szCs w:val="9"/>
                <w:color w:val="auto"/>
              </w:rPr>
            </w:pPr>
          </w:p>
        </w:tc>
        <w:tc>
          <w:tcPr>
            <w:tcW w:w="98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w w:val="97"/>
              </w:rPr>
              <w:t>April 30,</w:t>
            </w:r>
          </w:p>
        </w:tc>
        <w:tc>
          <w:tcPr>
            <w:tcW w:w="94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w w:val="95"/>
              </w:rPr>
              <w:t>July 31,</w:t>
            </w:r>
          </w:p>
        </w:tc>
        <w:tc>
          <w:tcPr>
            <w:tcW w:w="114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w w:val="93"/>
              </w:rPr>
              <w:t>October 31,</w:t>
            </w:r>
          </w:p>
        </w:tc>
        <w:tc>
          <w:tcPr>
            <w:tcW w:w="1160" w:type="dxa"/>
            <w:vAlign w:val="bottom"/>
            <w:gridSpan w:val="2"/>
          </w:tcPr>
          <w:p>
            <w:pPr>
              <w:jc w:val="right"/>
              <w:ind w:right="520"/>
              <w:spacing w:after="0" w:line="110" w:lineRule="exact"/>
              <w:rPr>
                <w:sz w:val="20"/>
                <w:szCs w:val="20"/>
                <w:color w:val="auto"/>
              </w:rPr>
            </w:pPr>
            <w:r>
              <w:rPr>
                <w:rFonts w:ascii="Arial" w:cs="Arial" w:eastAsia="Arial" w:hAnsi="Arial"/>
                <w:sz w:val="12"/>
                <w:szCs w:val="12"/>
                <w:b w:val="1"/>
                <w:bCs w:val="1"/>
                <w:color w:val="auto"/>
                <w:w w:val="93"/>
              </w:rPr>
              <w:t>January 31,</w:t>
            </w:r>
          </w:p>
        </w:tc>
        <w:tc>
          <w:tcPr>
            <w:tcW w:w="1000" w:type="dxa"/>
            <w:vAlign w:val="bottom"/>
            <w:gridSpan w:val="2"/>
          </w:tcPr>
          <w:p>
            <w:pPr>
              <w:jc w:val="right"/>
              <w:ind w:right="520"/>
              <w:spacing w:after="0" w:line="110" w:lineRule="exact"/>
              <w:rPr>
                <w:sz w:val="20"/>
                <w:szCs w:val="20"/>
                <w:color w:val="auto"/>
              </w:rPr>
            </w:pPr>
            <w:r>
              <w:rPr>
                <w:rFonts w:ascii="Arial" w:cs="Arial" w:eastAsia="Arial" w:hAnsi="Arial"/>
                <w:sz w:val="12"/>
                <w:szCs w:val="12"/>
                <w:b w:val="1"/>
                <w:bCs w:val="1"/>
                <w:color w:val="auto"/>
                <w:w w:val="97"/>
              </w:rPr>
              <w:t>April 30,</w:t>
            </w:r>
          </w:p>
        </w:tc>
        <w:tc>
          <w:tcPr>
            <w:tcW w:w="940" w:type="dxa"/>
            <w:vAlign w:val="bottom"/>
            <w:gridSpan w:val="2"/>
          </w:tcPr>
          <w:p>
            <w:pPr>
              <w:jc w:val="right"/>
              <w:ind w:right="520"/>
              <w:spacing w:after="0" w:line="110" w:lineRule="exact"/>
              <w:rPr>
                <w:sz w:val="20"/>
                <w:szCs w:val="20"/>
                <w:color w:val="auto"/>
              </w:rPr>
            </w:pPr>
            <w:r>
              <w:rPr>
                <w:rFonts w:ascii="Arial" w:cs="Arial" w:eastAsia="Arial" w:hAnsi="Arial"/>
                <w:sz w:val="12"/>
                <w:szCs w:val="12"/>
                <w:b w:val="1"/>
                <w:bCs w:val="1"/>
                <w:color w:val="auto"/>
                <w:w w:val="90"/>
              </w:rPr>
              <w:t>July 31,</w:t>
            </w:r>
          </w:p>
        </w:tc>
        <w:tc>
          <w:tcPr>
            <w:tcW w:w="114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w w:val="93"/>
              </w:rPr>
              <w:t>October 31,</w:t>
            </w:r>
          </w:p>
        </w:tc>
        <w:tc>
          <w:tcPr>
            <w:tcW w:w="6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6"/>
              </w:rPr>
              <w:t>January 31,</w:t>
            </w:r>
          </w:p>
        </w:tc>
        <w:tc>
          <w:tcPr>
            <w:tcW w:w="220" w:type="dxa"/>
            <w:vAlign w:val="bottom"/>
          </w:tcPr>
          <w:p>
            <w:pPr>
              <w:spacing w:after="0"/>
              <w:rPr>
                <w:sz w:val="9"/>
                <w:szCs w:val="9"/>
                <w:color w:val="auto"/>
              </w:rPr>
            </w:pPr>
          </w:p>
        </w:tc>
      </w:tr>
      <w:tr>
        <w:trPr>
          <w:trHeight w:val="153"/>
        </w:trPr>
        <w:tc>
          <w:tcPr>
            <w:tcW w:w="28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2018</w:t>
            </w:r>
          </w:p>
        </w:tc>
        <w:tc>
          <w:tcPr>
            <w:tcW w:w="5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2018</w:t>
            </w:r>
          </w:p>
        </w:tc>
        <w:tc>
          <w:tcPr>
            <w:tcW w:w="5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42"/>
        </w:trPr>
        <w:tc>
          <w:tcPr>
            <w:tcW w:w="2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98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100%</w:t>
            </w:r>
          </w:p>
        </w:tc>
        <w:tc>
          <w:tcPr>
            <w:tcW w:w="94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100%</w:t>
            </w:r>
          </w:p>
        </w:tc>
        <w:tc>
          <w:tcPr>
            <w:tcW w:w="114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100%</w:t>
            </w:r>
          </w:p>
        </w:tc>
        <w:tc>
          <w:tcPr>
            <w:tcW w:w="116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100%</w:t>
            </w:r>
          </w:p>
        </w:tc>
        <w:tc>
          <w:tcPr>
            <w:tcW w:w="100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100%</w:t>
            </w:r>
          </w:p>
        </w:tc>
        <w:tc>
          <w:tcPr>
            <w:tcW w:w="94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100%</w:t>
            </w:r>
          </w:p>
        </w:tc>
        <w:tc>
          <w:tcPr>
            <w:tcW w:w="114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100%</w:t>
            </w: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100%</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Cost of revenues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48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19</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18</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15</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w:t>
            </w:r>
          </w:p>
        </w:tc>
      </w:tr>
      <w:tr>
        <w:trPr>
          <w:trHeight w:val="27"/>
        </w:trPr>
        <w:tc>
          <w:tcPr>
            <w:tcW w:w="2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4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81</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82</w:t>
            </w: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84</w:t>
            </w: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85</w:t>
            </w: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86</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2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w:t>
            </w:r>
          </w:p>
        </w:tc>
        <w:tc>
          <w:tcPr>
            <w:tcW w:w="9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61</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73</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50</w:t>
            </w: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44</w:t>
            </w: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48</w:t>
            </w: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50</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104</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w:t>
            </w:r>
          </w:p>
        </w:tc>
      </w:tr>
      <w:tr>
        <w:trPr>
          <w:trHeight w:val="148"/>
        </w:trPr>
        <w:tc>
          <w:tcPr>
            <w:tcW w:w="284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68</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72</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65</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67</w:t>
            </w: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67</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61</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w:t>
            </w:r>
          </w:p>
        </w:tc>
      </w:tr>
      <w:tr>
        <w:trPr>
          <w:trHeight w:val="149"/>
        </w:trPr>
        <w:tc>
          <w:tcPr>
            <w:tcW w:w="2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9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27</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27</w:t>
            </w: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w:t>
            </w: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w:t>
            </w: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w:t>
            </w:r>
          </w:p>
        </w:tc>
      </w:tr>
      <w:tr>
        <w:trPr>
          <w:trHeight w:val="163"/>
        </w:trPr>
        <w:tc>
          <w:tcPr>
            <w:tcW w:w="2840" w:type="dxa"/>
            <w:vAlign w:val="bottom"/>
          </w:tcPr>
          <w:p>
            <w:pPr>
              <w:spacing w:after="0" w:line="155" w:lineRule="exact"/>
              <w:rPr>
                <w:sz w:val="20"/>
                <w:szCs w:val="20"/>
                <w:color w:val="auto"/>
              </w:rPr>
            </w:pPr>
            <w:r>
              <w:rPr>
                <w:rFonts w:ascii="Arial" w:cs="Arial" w:eastAsia="Arial" w:hAnsi="Arial"/>
                <w:sz w:val="14"/>
                <w:szCs w:val="14"/>
                <w:color w:val="auto"/>
              </w:rPr>
              <w:t>Total operating expenses</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w:t>
            </w:r>
          </w:p>
        </w:tc>
        <w:tc>
          <w:tcPr>
            <w:tcW w:w="4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w:t>
            </w:r>
          </w:p>
        </w:tc>
        <w:tc>
          <w:tcPr>
            <w:tcW w:w="5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w:t>
            </w:r>
          </w:p>
        </w:tc>
        <w:tc>
          <w:tcPr>
            <w:tcW w:w="5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w:t>
            </w:r>
          </w:p>
        </w:tc>
        <w:tc>
          <w:tcPr>
            <w:tcW w:w="5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w:t>
            </w:r>
          </w:p>
        </w:tc>
        <w:tc>
          <w:tcPr>
            <w:tcW w:w="5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w:t>
            </w:r>
          </w:p>
        </w:tc>
        <w:tc>
          <w:tcPr>
            <w:tcW w:w="5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w:t>
            </w:r>
          </w:p>
        </w:tc>
        <w:tc>
          <w:tcPr>
            <w:tcW w:w="5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w:t>
            </w:r>
          </w:p>
        </w:tc>
        <w:tc>
          <w:tcPr>
            <w:tcW w:w="220" w:type="dxa"/>
            <w:vAlign w:val="bottom"/>
          </w:tcPr>
          <w:p>
            <w:pPr>
              <w:spacing w:after="0"/>
              <w:rPr>
                <w:sz w:val="14"/>
                <w:szCs w:val="14"/>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(76)</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(91)</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(60)</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(52)</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w:t>
            </w: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w:t>
            </w: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9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r>
      <w:tr>
        <w:trPr>
          <w:trHeight w:val="27"/>
        </w:trPr>
        <w:tc>
          <w:tcPr>
            <w:tcW w:w="2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provision for income taxes</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(74)</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(90)</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(59)</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(50)</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(53)</w:t>
            </w: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(47)</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(165)</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r>
      <w:tr>
        <w:trPr>
          <w:trHeight w:val="27"/>
        </w:trPr>
        <w:tc>
          <w:tcPr>
            <w:tcW w:w="2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(74)%</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(47)%</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(165)%</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w:t>
            </w:r>
          </w:p>
        </w:tc>
      </w:tr>
      <w:tr>
        <w:trPr>
          <w:trHeight w:val="20"/>
        </w:trPr>
        <w:tc>
          <w:tcPr>
            <w:tcW w:w="2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Less than 1%</w:t>
      </w:r>
    </w:p>
    <w:p>
      <w:pPr>
        <w:ind w:left="120"/>
        <w:spacing w:after="0"/>
        <w:rPr>
          <w:sz w:val="20"/>
          <w:szCs w:val="20"/>
          <w:color w:val="auto"/>
        </w:rPr>
      </w:pPr>
      <w:r>
        <w:rPr>
          <w:rFonts w:ascii="Arial" w:cs="Arial" w:eastAsia="Arial" w:hAnsi="Arial"/>
          <w:sz w:val="14"/>
          <w:szCs w:val="14"/>
          <w:color w:val="auto"/>
        </w:rPr>
        <w:t>Note: Certain figures might not sum due to rounding.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Trends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quarterly revenues increased sequentially in each of the periods presented due primarily to a shift in our sales mix toward our higher priced subscription plans, such as Enterprise and Business plans, and increased sales of our higher priced subscription plans, as well as the addition of new paying customers, and revenue growth from expansion within existing paying customers.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Cost of revenues increased sequentially in each of the quarters presented, primarily driven by increased third-party hosting-related costs due to expanded use of our cloud-based platform by new and existing customers, personnel-related costs, and credit card processing fees.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Our quarterly gross margin has increased sequentially in each of the quarters presented as we increased our revenues and more efficiently managed third-party hosting costs, realized benefits due to economies of scale resulting from increased efficiency with our technology and infrastructure, and experienced a decrease in amortization of capitalized internal-use software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120" w:right="20" w:firstLine="440"/>
        <w:spacing w:after="0" w:line="327" w:lineRule="auto"/>
        <w:rPr>
          <w:sz w:val="20"/>
          <w:szCs w:val="20"/>
          <w:color w:val="auto"/>
        </w:rPr>
      </w:pPr>
      <w:r>
        <w:rPr>
          <w:rFonts w:ascii="Arial" w:cs="Arial" w:eastAsia="Arial" w:hAnsi="Arial"/>
          <w:sz w:val="15"/>
          <w:szCs w:val="15"/>
          <w:color w:val="auto"/>
        </w:rPr>
        <w:t>Total operating expenses have increased sequentially in each quarter presented except for the third quarter of fiscal 2019 and the fourth quarter of fiscal 2020 when they decreased compared to the prior quarter, as a result of the higher stock-based compensation expense from our fiscal 2019 and fiscal 2020 tender offers recorded in the prior quarter as discussed below. The increases in total operating expenses were primarily due to increases in personnel-related expenses as a result of increased headcount and other related expenses to support the growth of our business and related infrastructure.</w:t>
      </w:r>
    </w:p>
    <w:p>
      <w:pPr>
        <w:spacing w:after="0" w:line="14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increases in research and development, sales and marketing, and general and administrative expenses in the second quarter of fiscal 2019 and in the third quarter of fiscal 2020 were due in part to stock-based compensation expense of $3.8 million and $38.7 million, respectively, attributable to our fiscal 2019 and fiscal 2020 tender offers. The increases in sales and marketing expenses in the fourth quarter of fiscal 2019 and in the third quarter of fiscal 2020 were due in part to an increase in investments in brand and other paid marketing campaigns. The increase in general and administrative expenses in the fourth quarter of fiscal 2020 was due in part to legal and accounting expenses associated with preparing to be a public company.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Since inception, we have financed operations primarily through the net proceeds we have received from the sales of our preferred stock and common stock, the issuance of a senior mandatory convertible promissory note in January 2020 to a trust affiliated with our CEO, and cash generated from the sale of subscriptions to our platform. We have generated losses from our operations as reflected in our accumulated deficit of $329.7 million as of January 31, 2020 and negative cash flows from operating activities for fiscal 2019 and fiscal 2020. Our future capital requirements will depend on many factors, including revenue growth and costs incurred to support customer usage and growth in our customer base, increased research and development expenses to support the growth of our business and related infrastructure, and increased general and administrative expenses to support being a publicly traded company.</w:t>
      </w:r>
    </w:p>
    <w:p>
      <w:pPr>
        <w:spacing w:after="0" w:line="19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of January 31, 2020, our principal sources of liquidity were cash, cash equivalents, and marketable securities of $351.3 million and restricted cash of $4.7 million.</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April 2020, we entered into a five-year $40.0 million term loan agreement with Silicon Valley Bank. The agreement provides for a senior secured term loan facility, in an aggregate principal amount of up to $40.0 million, to be used for the construction of our new corporate headquarters. Interest will accrue on any outstanding balance at a floating rate per annum equal to the prime rate (as publicly announced from time to time by the Wall Street Journal) plus an applicable margin equal to either (a) 0% if our unrestricted cash at the lender is equal to or less than $80.0 million, or (b) (0.5)% if our unrestricted cash at the lender is between $80.0 million and $100.0 million, or (c) (1.0)% if our unrestricted cash balance at the lender is equal to or greater than $100.0 million. Interest shall be payable monthly. No amounts are outstanding under the term loan.</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substantial source of our cash provided by operating activities is our deferred revenue, which is included on our consolidated balance sheets as a liability. Deferred revenue consists of the unearned portion of billed fees for our subscriptions, which is recorded as revenues over the term of the subscription agreement. As of January 31, 2019 and January 31, 2020, we had $31.9 million and $64.1 million of deferred revenue, respectively, of which $31.9 million and $62.7 million, respectively, were recorded as a current liability. This deferred revenue will be recognized as revenues when all of the revenue recognition criteria are met.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assess our liquidity primarily through our cash on hand as well as the projected timing of billings under contract with our paying customers and related collection cycles. We believe our current cash, cash equivalents, marketable securities, and amounts available under our senior secured term loan facility will be sufficient to meet our working capital and capital expenditure requirements for at least the next 12 months.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44"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6350</wp:posOffset>
            </wp:positionV>
            <wp:extent cx="1200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9360"/>
        <w:spacing w:after="0"/>
        <w:tabs>
          <w:tab w:leader="none" w:pos="105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-3175</wp:posOffset>
            </wp:positionV>
            <wp:extent cx="1200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964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(30,180)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(40,136)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660" w:type="dxa"/>
            <w:vAlign w:val="bottom"/>
          </w:tcPr>
          <w:p>
            <w:pPr>
              <w:jc w:val="right"/>
              <w:ind w:right="90"/>
              <w:spacing w:after="0"/>
              <w:rPr>
                <w:sz w:val="20"/>
                <w:szCs w:val="20"/>
                <w:color w:val="auto"/>
              </w:rPr>
            </w:pPr>
            <w:r>
              <w:rPr>
                <w:rFonts w:ascii="Arial" w:cs="Arial" w:eastAsia="Arial" w:hAnsi="Arial"/>
                <w:sz w:val="18"/>
                <w:szCs w:val="18"/>
                <w:color w:val="auto"/>
              </w:rPr>
              <w:t>(44,662)</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12,655</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55,293</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311,597</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w:t>
      </w:r>
    </w:p>
    <w:p>
      <w:pPr>
        <w:spacing w:after="0" w:line="18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Net cash used in operating activities of $40.1 million for fiscal 2020 reflects our net loss of $118.6 million, adjusted by non-cash items such as stock-based compensation expense of $48.4 million, non-cash lease expense of $8.2 million, depreciation and amortization of $2.2 million, amortization of deferred contract acquisition costs of $1.6 million, and net accretion of discount on marketable securities of $1.0 million, and net cash inflows of $18.2 million from changes in our operating assets and liabilities. The net cash inflows from changes in operating assets and liabilities primarily consisted of a $32.2 million increase in deferred revenue, resulting from increased billings for subscriptions, and an $8.3 million increase in accrued expenses and other current liabilities, resulting primarily from increases in accrued professional services, marketing, accrued payroll, and benefits, and a $3.5 million increase in accounts payable. These amounts were partially offset by an $8.7 million increase in prepaid expenses and other current assets related to an increase in prepayments made in advance for future services and an increase in deferred contract acquisition costs, a $7.7 million increase in accounts receivable due to higher customer billings, and a $7.6 million decrease in operating lease liabilities.</w:t>
      </w:r>
    </w:p>
    <w:p>
      <w:pPr>
        <w:spacing w:after="0" w:line="16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Net cash used in operating activities of $30.2 million for fiscal 2019 reflects our net loss of $50.9 million, offset by non-cash items such as stock-based compensation expense of $8.5 million and depreciation and amortization of $4.2 million, and net cash inflows of $8.3 million from changes in our operating assets and liabilities. The net cash inflows from changes in operating assets and liabilities primarily consisted of a $15.1 million increase in deferred revenue, resulting from increased billings for subscriptions, and a $4.0 million increase in accrued expenses and other current liabilities, resulting primarily from increases in accrued payroll related to commissions and bonuses. These amounts were partially offset by a $4.5 million increase in prepaid expenses and other current assets related to prepayments made in advance for future services, a $3.7 million increase in other assets related to deferred contract acquisition costs resulting from the adoption of Accounting Standards Codification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or ASC 606, and a $3.4 million increase in accounts receivable due to higher customer billings.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Net cash provided by investing activities of $12.7 million for fiscal 2020 consisted of $19.9 million in net purchases, sales, and maturities of marketable securities, partially offset by $6.9 million in purchases of property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equipment from an increase in construction in progress and leasehold improvements, and $0.4 million in capitalized internal-use software costs.</w:t>
      </w:r>
    </w:p>
    <w:p>
      <w:pPr>
        <w:spacing w:after="0" w:line="24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Net cash used in investing activities of $44.7 million for fiscal 2019 consisted of $41.3 million in net purchases and maturities of marketable securities, $2.9 million in purchases of property and equipment from an increase in leasehold improvements and furniture and fixtures associated with supporting higher headcount, and $0.6 million in capitalized internal-use software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Net cash provided by financing activities of $311.6 million for fiscal 2020 consisted of $300.0 million of proceeds from the issuance of a senior mandatory convertible promissory note in January 2020 to a trust affiliated with our CEO and $11.7 million in proceeds from the exercise of stock options, partially offset by $0.1 million in repurchases of common stock.</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Net cash provided by financing activities of $55.3 million for fiscal 2019 consisted of $51.0 million in net proceeds from the sale and issuance of Series E preferred stock and $4.3 million in proceeds from the exercise of stock options.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at January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520" w:type="dxa"/>
            <w:vAlign w:val="bottom"/>
          </w:tcPr>
          <w:p>
            <w:pPr>
              <w:spacing w:after="0"/>
              <w:rPr>
                <w:sz w:val="10"/>
                <w:szCs w:val="10"/>
                <w:color w:val="auto"/>
              </w:rPr>
            </w:pPr>
          </w:p>
        </w:tc>
        <w:tc>
          <w:tcPr>
            <w:tcW w:w="11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1-3 Years</w:t>
            </w:r>
          </w:p>
        </w:tc>
        <w:tc>
          <w:tcPr>
            <w:tcW w:w="60" w:type="dxa"/>
            <w:vAlign w:val="bottom"/>
          </w:tcPr>
          <w:p>
            <w:pPr>
              <w:spacing w:after="0"/>
              <w:rPr>
                <w:sz w:val="10"/>
                <w:szCs w:val="10"/>
                <w:color w:val="auto"/>
              </w:rPr>
            </w:pPr>
          </w:p>
        </w:tc>
        <w:tc>
          <w:tcPr>
            <w:tcW w:w="8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6"/>
              </w:rPr>
              <w:t>3-5 Years</w:t>
            </w:r>
          </w:p>
        </w:tc>
        <w:tc>
          <w:tcPr>
            <w:tcW w:w="30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2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$22,852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12,156</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$10,696</w:t>
            </w:r>
          </w:p>
        </w:tc>
        <w:tc>
          <w:tcPr>
            <w:tcW w:w="3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15"/>
                <w:szCs w:val="15"/>
                <w:color w:val="auto"/>
              </w:rPr>
              <w:t>(2)</w:t>
            </w:r>
          </w:p>
        </w:tc>
        <w:tc>
          <w:tcPr>
            <w:tcW w:w="14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9,160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9,160</w:t>
            </w:r>
          </w:p>
        </w:tc>
        <w:tc>
          <w:tcPr>
            <w:tcW w:w="5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1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32,012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21,316</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10,696</w:t>
            </w:r>
          </w:p>
        </w:tc>
        <w:tc>
          <w:tcPr>
            <w:tcW w:w="3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future non-cancelable minimum rental payments under operating leases for our offices.</w:t>
      </w:r>
    </w:p>
    <w:p>
      <w:pPr>
        <w:jc w:val="both"/>
        <w:ind w:left="540" w:right="340" w:hanging="424"/>
        <w:spacing w:after="0" w:line="232"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December 2018, we entered into a 27-month contract with Amazon Web Services for hosting-related services. Pursuant to the terms of the contract, we are required to spend a minimum of $9.0 million within the first year and an additional minimum of $11.0 million within the second year. As of January 31, 2019, we had $18.5 million remaining on the commitment.</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February 2019, we entered into a new lease agreement for our corporate headquarters in San Francisco, for which the lease commencement has not yet occurred. As part of the agreement, we are required to issue a $17.0 million letter of credit upon access to the office space, which is expected to occur in the second quarter of fiscal 2021. This lease is expected to commence in the second quarter of fiscal 2021, with a lease expiration date of October 2033. We expect to start making recurring rental payments under the lease in the fourth quarter of fiscal 2021. We will participate in the construction of the office space and will incur construction costs to prepare the office space for its use, which will be partially reimbursed by the landlord. The future minimum payments and capital commitments related to this lease, which include tenant improvement allowances of $26.6 million, total $466.0 million. Our CEO acts as a personal guarantor to the lease for the full rent payments over the 148-month term should we default on our obligations. These amounts are not included in the table above.</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January 2020, we issued a 3.5% unsecured senior mandatory convertible promissory note due in 2025, or the 2020 Note, to a trust affiliated with our CEO. The 2020 Note with a principal amount of $300 million is a</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senior, unsecured obligation of the Company. The 2020 Note bears interest at a fixed rate of 3.5% per annum that will be compounded annually and payable in-kind, resulting in an aggregate $356 million being due on settlement. The 2020 Note matures, and would be converted into shares of our Class B common stock, in January 2025, unless earlier converted into shares of our Class B common stock or redeemed in connection with our bankruptcy, insolvency, or other similar events. The holder of the 2020 Note is not entitled to convert the 2020 Note at any time. The 2020 Note is only convertible into shares of our Class B common stock at our option under certain scenarios, as discussed in Note 5 to our consolidated financial statements included elsewhere in this prospectus.</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April 2020, we entered into a $40.0 million term loan agreement with Silicon Valley Bank. The agreement provides for a senior secured term loan facility, in an aggregate principal amount of up to $40.0 million, to be used for the construction of our new corporate headquarters. Any borrowings, together with accrued but unpaid interest, under the term loan agreement are due and payable in April 2025. Interest will accrue on any outstanding balance at a floating rate per annum equal to the prime rate (as publicly announced from time to time by the Wall Street Journal) plus an applicable margin equal to either (a) 0% if our unrestricted cash at the lender is equal to or less than $80.0 million, or (b) (0.5)% if our unrestricted cash at the lender is between $80.0 million and $100.0 million, or (c) (1.0)% if our unrestricted cash balance at the lender is equal to or greater than $100.0 million. Interest shall be payable monthly. No amounts are outstanding under this term loan.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w:t>
      </w:r>
    </w:p>
    <w:p>
      <w:pPr>
        <w:spacing w:after="0" w:line="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listing of our Class A common stock on the ,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of January 31, 2020,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operations in the United States and internationally, and we are exposed to market risk in the ordinary course of our business.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cash, cash equivalents, and marketable securities primarily consist of cash on hand and highly liquid investments in money market funds and U.S. government securities. As of January 31, 2020, we had cash and cash equivalents of $306.0 million and marketable securities of $45.3 million.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January 2020, we issued the 2020 Note with a principal amount of $300 million. The 2020 Note bears interest at a fixed rate of 3.5% per annum that will be compounded annually and payable in-kind. As the 2020 Note has a fixed annual interest rate, we have no financial exposure associated with changes in interest rates. However, the fair value of the 2020 Note is subject to interest rate risk, market risk, and other factors, as the fair value of the 2020 Note will fluctuate when there are changes to the interest rate or the price of our common stock. The interest and market value changes affect the fair value of the 2020 Note, but do not impact our financial position, cash flows, or results of operations due to the fixed nature of the debt obligation.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and Icelandic Krona.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Our financial statements are prepared in accordance with U.S. GAAP. The preparation of these financial statements requires us to make estimates and assumptions that affect the reported amounts of assets, liabilities, revenues,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derive our revenues from monthly and annual subscription fees earned from paying customers accessing the platform. Our policy is to exclude sales and other indirect taxes when measuring the transaction price of our subscription agreements. We account for revenue contracts with customers by applying the requirements of ASC 606, which includes the following steps:</w:t>
      </w:r>
    </w:p>
    <w:p>
      <w:pPr>
        <w:spacing w:after="0" w:line="8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Recognition of the revenues when, or as, we satisfy a performance obligation.</w:t>
      </w:r>
    </w:p>
    <w:p>
      <w:pPr>
        <w:spacing w:after="0" w:line="22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subscription agreements generally have monthly or annual contractual terms. We recognize revenues ratably over the related contractual term beginning on the date that the platform is made available to a customer, as the customer receives and consumes the benefits of the platform throughout the contractual period. Access to the platform represents a series of distinct services that comprise a single performance obligation that is satisfied over time. Our contracts are generally non-cancelable and do not provide for refunds to paying customers in the event of cancellations.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Future revenues related to performance obligations that are unsatisfied or partially unsatisfied were $64.1 million, of which $62.7 million is presented as deferred revenue for which we expect to satisfy the performance obligations in the next 12 months, and $1.4 million is presented within other liabilities, a noncurrent liability, in the consolidated balance sheet as of January 31,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8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measure stock-based compensation expense related to our restricted stock units, or RSUs, based on the fair value of the underlying shares on the date of grant. RSUs are subject to time-based vesting, which generally occurs over a period of four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recognize stock-based compensation expense over the requisite service period, which is generally the vesting period of the respective award.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use the straight-line method for expense attribution. We account for forfeitures as they occur.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assumptions were used for each respective period to calculate our stock-based compensation: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6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83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 - 3.1%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 - 2.6%</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Expected term</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8 years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 years</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41.6% - 46.6%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44.8% - 46.3%</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are based on the following for each of the years presented:</w:t>
      </w:r>
    </w:p>
    <w:p>
      <w:pPr>
        <w:spacing w:after="0" w:line="131" w:lineRule="exact"/>
        <w:rPr>
          <w:sz w:val="20"/>
          <w:szCs w:val="20"/>
          <w:color w:val="auto"/>
        </w:rPr>
      </w:pPr>
    </w:p>
    <w:p>
      <w:pPr>
        <w:ind w:left="1080" w:right="12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Because our common stock is not yet publicly traded, we must estimate the fair value of common stock; see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Valuations” below.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311"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Expected volatility is a measure of the amount by which the stock price is expected to fluctuate. Since we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54" w:lineRule="exact"/>
        <w:rPr>
          <w:rFonts w:ascii="Arial" w:cs="Arial" w:eastAsia="Arial" w:hAnsi="Arial"/>
          <w:sz w:val="16"/>
          <w:szCs w:val="16"/>
          <w:color w:val="auto"/>
        </w:rPr>
      </w:pPr>
    </w:p>
    <w:p>
      <w:pPr>
        <w:ind w:left="1080" w:right="500" w:hanging="532"/>
        <w:spacing w:after="0" w:line="308"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Expected term represents the period that our stock-based awards are expected to be outstanding. The expected term</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are determined based on the vesting terms, exercise terms, and contractual lives of the options.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We use the U.S. Treasury yield for our risk-free interest rate that corresponds with the expected term.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We utilize a dividend yield of zero, as we do not currently issue dividends, nor do we expect to do so in the future.</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Given the absence of an active market for our common stock, our board of directors was required to estimate the fair value of our common stock at the time of each option grant based upon several factors, including its consideration of input from management and contemporaneous third-party valuations.</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 xml:space="preserve">The exercise price for all stock options granted was the estimated fair value of the underlying common stock, as estimated on the date of grant by our board of directors in accordance with the guidelines outlined in the </w:t>
      </w:r>
      <w:r>
        <w:rPr>
          <w:rFonts w:ascii="Arial" w:cs="Arial" w:eastAsia="Arial" w:hAnsi="Arial"/>
          <w:sz w:val="16"/>
          <w:szCs w:val="16"/>
          <w:i w:val="1"/>
          <w:iCs w:val="1"/>
          <w:color w:val="auto"/>
        </w:rPr>
        <w:t xml:space="preserve">American Institute of Certified Public Accountants, Valuation of Privately-Held-Company Equity Securities Issued as Compensation </w:t>
      </w:r>
      <w:r>
        <w:rPr>
          <w:rFonts w:ascii="Arial" w:cs="Arial" w:eastAsia="Arial" w:hAnsi="Arial"/>
          <w:sz w:val="16"/>
          <w:szCs w:val="16"/>
          <w:color w:val="auto"/>
        </w:rPr>
        <w:t>guide. Each fair value estimate was based on a variety of factors, which included the following:</w:t>
      </w:r>
    </w:p>
    <w:p>
      <w:pPr>
        <w:spacing w:after="0" w:line="54"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contemporaneous valuations performed by an unrelated third-party valuation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those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business conditions and outlook;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history and the timing of the introduction of new applications and capabilities;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5"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valuation methods they deemed appropriate under the circumstances applicable at the valuation date.</w:t>
      </w:r>
    </w:p>
    <w:p>
      <w:pPr>
        <w:spacing w:after="0" w:line="170"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determined, which was applied to our operating results to estimate the enterprise value of our company. When applicable, we also used the option pricing model to backsolve the value of the security from our most recent round of financing, which implies a total equity value as well as a per share common stock value.</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For valuations prior to January 31, 2020, once the enterprise value was determined under the market approach, we used the option pricing model to allocate that value among the various classes of securities to arrive at the fair value of the common stock.</w:t>
      </w:r>
    </w:p>
    <w:p>
      <w:pPr>
        <w:spacing w:after="0" w:line="17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For valuations as of and subsequent to January 31, 2020, we used a hybrid method utilizing a combination of the option pricing model and the probability-weighted expected return method, or the PWERM, in estimating the fair value of our common stock. Using the PWERM, the value of our common stock is estimated based upon a probability-weighted analysis of varying values for our common stock assuming possible future events for our company, including a scenario assuming we become a publicly traded company and a scenario assuming we continue as a privately held company.</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87" w:lineRule="exact"/>
        <w:rPr>
          <w:sz w:val="20"/>
          <w:szCs w:val="20"/>
          <w:color w:val="auto"/>
        </w:rPr>
      </w:pPr>
    </w:p>
    <w:p>
      <w:pPr>
        <w:ind w:left="560"/>
        <w:spacing w:after="0"/>
        <w:tabs>
          <w:tab w:leader="none" w:pos="5120" w:val="left"/>
        </w:tabs>
        <w:rPr>
          <w:sz w:val="20"/>
          <w:szCs w:val="20"/>
          <w:color w:val="auto"/>
        </w:rPr>
      </w:pPr>
      <w:r>
        <w:rPr>
          <w:rFonts w:ascii="Arial" w:cs="Arial" w:eastAsia="Arial" w:hAnsi="Arial"/>
          <w:sz w:val="18"/>
          <w:szCs w:val="18"/>
          <w:color w:val="auto"/>
        </w:rPr>
        <w:t>Upon the listing of our Class A common stock on the</w:t>
      </w:r>
      <w:r>
        <w:rPr>
          <w:sz w:val="20"/>
          <w:szCs w:val="20"/>
          <w:color w:val="auto"/>
        </w:rPr>
        <w:tab/>
      </w:r>
      <w:r>
        <w:rPr>
          <w:rFonts w:ascii="Arial" w:cs="Arial" w:eastAsia="Arial" w:hAnsi="Arial"/>
          <w:sz w:val="16"/>
          <w:szCs w:val="16"/>
          <w:color w:val="auto"/>
        </w:rPr>
        <w:t>, our common stock will be publicly traded and will therefore be subject to</w:t>
      </w:r>
    </w:p>
    <w:p>
      <w:pPr>
        <w:spacing w:after="0" w:line="2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potentially significant fluctuations in the market price. Increases and decreases in the market price of our Class A common stock will also increase and decrease the fair value of our stock-based awards granted in future periods.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See to Note 2 to our consolidated financial statements included elsewhere in this prospectus for more information regarding recently issued accounting pronouncements.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7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Since our inception, millions of teams in virtually every country around the world have used Asana. With Asana, users experience higher productivity, which has led to rapid adoption across teams, departments, and organizations. As of January 31, 2020, we had over 1.2 million paid users.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Work continues to get harder to manage as organizations try to move faster to accomplish ambitious goals and respond to changing market demands. Today, 60% of knowledge workers’ time is spent on work about work. Moreover, coordinating work within and across teams is chaotic. Without a system of record, teams move slowly, miss deadlines, and fail to live up to their full potential. At work, people face an overwhelming volume of communications from email and messaging applications, many of which are asking for status updates. These messages often provide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These emails and messages only give teams momentary clarity about specific deliverables or actions, and as such they do not provide a holistic, persistent, and referenceable plan of record that can be easily or quickly accessed.</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 minimize work about work, reduce chaos, and give individuals time back to focus on the work that matters, teams need a purpose-built solution for coordination. Despite the growth in collaboration technology such as content tools and messaging apps, there has been little innovation in work management—systems that help teams to plan, manage, and execute their work.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Asana Helps Teams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8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units of work—tasks, projects, milestones, and portfolios;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processes in which work gets done—rules and templates;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about that work—files, comments, status, and metadata;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ways our customers use Asana include:</w:t>
      </w:r>
    </w:p>
    <w:p>
      <w:pPr>
        <w:spacing w:after="0" w:line="131"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top music production company relies on Asana to manage its creative production and digital campaigns in support of prominent artists.</w:t>
      </w:r>
    </w:p>
    <w:p>
      <w:pPr>
        <w:spacing w:after="0" w:line="153"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global manufacturer of heating and cooling systems uses Asana to manage its organization-wide digital transformation initiatives so it can respond quickly to customers’ changing needs.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multinational software business manages its editorial calendars and production of its premier owned-media site in Asana, enabling it to publish more content each month and add seven additional languages.</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G2, a software services review platform, uses Asana to manage everything from strategic planning to global events and marketing campaigns.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marine conservation entity uses Asana to manage policy and fundraising work to create healthier seas.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SiteMinder, a hotel booking platform, uses Asana to manage its critical business operations work like company objectives and key focuses, strategic planning, global billings, and collections.</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charitable cancer foundation’s marketing team relies on Asana as its end-to-end solution for campaigns to increase awareness of the charity’s services and research.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2020, our dollar-based net retention rate within organizations spending $5,000 or more with us on an annualized basis was over 125%, consisting of 6,555 customers. Our dollar-based net retention rate within organizations spending $50,000 or more with us on an annualized basis was over 140%, consisting of 207 customers. Our overall dollar-based net retention rate as of January 31, 2020 was over 120%.</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product.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Rapid Growth</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experienced rapid growth in recent periods. Our revenues were $76.8 million and $142.6 million for fiscal 2019 and fiscal 2020, respectively, representing growth of 86%. As of January 31, 2020, we had 701 employees, representing growth of 65% since January 31, 2019. We had a net loss of $50.9 million and $118.6 million for fiscal 2019 and fiscal 2020,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must be coordinated and move quickly to be successful</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Teams today must navigate work that is increasingly cross-functional, matrixed, and distributed, while also moving quickly to meet the objectives of their organizations. For example, a product launch typically requires coordination across multiple departments—product management, engineering, marketing, sales, and customer support. However, traditional hierarchical processes, where centralized managers make decisions and disseminate information down to team members, mean that weeks and months may go by before contributors have the clarity they need to execute on work. With product lifecycles now measured in months and weeks rather than years, organizations cannot afford to be slowed down by inefficient processes. Individuals and teams need to be empowered to design their own processes, manage their work and change course when needed, and make autonomous decisions aligned with organizational goals to ensure business agility in rapidly changing markets.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Businesses have adopted a number of applications to improve communication. Starting with email in the 1990s, the communications category has expanded to include Skype, WeChat, WhatsApp, Microsoft Teams, and Slack, among others. While these applications help teams communicate, they were not designed to provide a system of record to track and coordinate units of work or set up processes to quickly execute that work. The average knowledge worker receives 121 emails per day—70% of which are opened within six seconds. Instead of becoming more productive, people have become prisoners to email and messaging applications, using their inboxes as makeshift to-do lists.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spend more time coordinating work than actually doing work</w:t>
      </w:r>
    </w:p>
    <w:p>
      <w:pPr>
        <w:spacing w:after="0" w:line="11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Productivity gains can occur when individuals and teams have the opportunity to focus uninterrupted and do the skilled work they were hired to do, such as creating a brand campaign, developing a new product, negotiating a sales agreement, onboarding customers, recruiting new employees, or writing code. However, employees spend less than half of their time during the day on the work that is critical to generating results. According to a survey conducted by McKinsey Global Institute of a broad set of knowledge workers:</w:t>
      </w:r>
    </w:p>
    <w:p>
      <w:pPr>
        <w:spacing w:after="0" w:line="77"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need more effective tools to orchestrate work</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require much more work about work to create, quickly become outdated, lack automation capabilities, and cannot provide multi-dimensional views of multiple projects or real-time insight into how work is getting done. Email cannot build workflows, assign tasks, or track progress across individuals or teams. Teams need better tools designed specifically to orchestrate work.</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Employee engagement—the extent to which employees are invested in their job and contribute the effort needed to do their job well—is critical to high-performing businesses. According to Gallup, organizations in the top quartile of employee engagement realize substantially better customer engagement, higher productivity, better retention, fewer accidents, and 21% higher profitability than organizations with low engagement. With median employee tenure now at only approximately four years, and 71% of millennials—the largest population of U.S. workers—not engaged at work, keeping employees engaged is all the more important. Individuals are more engaged at work when they have clarity. Clarity helps individuals better understand how their work connects to the organization’s objectives so they know where to focus their energy for maximum impact and find their work more rewarding and engaging.</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Organizations need a work management solution that provides transparency, clarity, and accountability so that individuals and teams know what work needs to get done, who is doing that work, and when that work will be done. This solution needs to scale across people, projects, and portfolios of projects across an entire organization so individuals, team leads, and executives can understand why and how work is getting done and quickly take action on opportunities and inefficiencies in real time.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Existing offerings fall short of delivering on these imperatives:</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b w:val="1"/>
          <w:bCs w:val="1"/>
          <w:i w:val="1"/>
          <w:iCs w:val="1"/>
          <w:color w:val="auto"/>
        </w:rPr>
        <w:t>Spreadsheets and email</w:t>
      </w:r>
      <w:r>
        <w:rPr>
          <w:rFonts w:ascii="Arial" w:cs="Arial" w:eastAsia="Arial" w:hAnsi="Arial"/>
          <w:sz w:val="17"/>
          <w:szCs w:val="17"/>
          <w:color w:val="auto"/>
        </w:rPr>
        <w:t>. Spreadsheets and email are poor tools for project management. These tools lack the required capabilities to help teams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effectively plan, manage, and orchestrate work at scale. Captured information quickly becomes out of date because it is not connected to the workstreams happening outside of these tools, requiring constant work about work to ensure teams stay on the same page.</w:t>
      </w:r>
    </w:p>
    <w:p>
      <w:pPr>
        <w:spacing w:after="0" w:line="16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b w:val="1"/>
          <w:bCs w:val="1"/>
          <w:i w:val="1"/>
          <w:iCs w:val="1"/>
          <w:color w:val="auto"/>
        </w:rPr>
        <w:t>Legacy project management tools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project management tools are difficult for many users to adopt. These tools were primarily designed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dedicated project managers, not everyday users who also need to coordinate work as part of their jobs. Everyday users often lack the skills to design a project, make customizations for a specific use case or integrate third-party applications with these difficult-to-use legacy project management tools. Additionally, they create information silos because they are not linked to the underlying work and communications about that work.</w:t>
      </w:r>
    </w:p>
    <w:p>
      <w:pPr>
        <w:spacing w:after="0" w:line="15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Vertical applications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Vertical applications are purpose-built for specific use cases, such as software development, ticketing,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planning. These generally operate in departmental silos and are not designed for teams to collaborate cross-functionally. These tools are also difficult to adapt to other use cases, either at all or without coding.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Asana:</w:t>
      </w:r>
    </w:p>
    <w:p>
      <w:pPr>
        <w:spacing w:after="0" w:line="131" w:lineRule="exact"/>
        <w:rPr>
          <w:sz w:val="20"/>
          <w:szCs w:val="20"/>
          <w:color w:val="auto"/>
        </w:rPr>
      </w:pPr>
    </w:p>
    <w:p>
      <w:pPr>
        <w:ind w:left="1080" w:right="60" w:hanging="532"/>
        <w:spacing w:after="0" w:line="296"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Individuals </w:t>
      </w:r>
      <w:r>
        <w:rPr>
          <w:rFonts w:ascii="Arial" w:cs="Arial" w:eastAsia="Arial" w:hAnsi="Arial"/>
          <w:sz w:val="16"/>
          <w:szCs w:val="16"/>
          <w:color w:val="auto"/>
        </w:rPr>
        <w:t>can manage and prioritize across each of their projects to maximize their effectiveness and reduce distractions. They can see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own view of tasks that need to be done, how their dependencies owned by teammates are tracking, and how their work contributes to the overall team and organization-wide goals. A new brand campaign, for example, may include daily tasks such as drafting an internal presentation, setting up a client meeting, designing a layout, updating social media channels, and preparing a budget. Individuals can also see their daily tasks across every project they are working on and can plan and prioritize their work in Asana.</w:t>
      </w:r>
    </w:p>
    <w:p>
      <w:pPr>
        <w:spacing w:after="0" w:line="66" w:lineRule="exact"/>
        <w:rPr>
          <w:rFonts w:ascii="Arial" w:cs="Arial" w:eastAsia="Arial" w:hAnsi="Arial"/>
          <w:sz w:val="16"/>
          <w:szCs w:val="16"/>
          <w:color w:val="auto"/>
        </w:rPr>
      </w:pPr>
    </w:p>
    <w:p>
      <w:pPr>
        <w:ind w:left="1080" w:right="80" w:hanging="532"/>
        <w:spacing w:after="0" w:line="275"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Teams </w:t>
      </w:r>
      <w:r>
        <w:rPr>
          <w:rFonts w:ascii="Arial" w:cs="Arial" w:eastAsia="Arial" w:hAnsi="Arial"/>
          <w:sz w:val="17"/>
          <w:szCs w:val="17"/>
          <w:color w:val="auto"/>
        </w:rPr>
        <w:t>can collaborate on a project with visibility into each team member’s responsibilities and progress. Team members can assign tasks,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map out steps to completion, define requirements and dependencies, and track project status and progress against due dates. When teammates are operating off a single, real-time plan of record, they do not need to ping each other for updates or sit through status meetings. They can get their work done faster, reducing time spent on work about work. When inevitable surprises or disruptions occur, it is easy for a team lead to adjust the plan, reallocate resources, and communicate updates in real time.</w:t>
      </w:r>
    </w:p>
    <w:p>
      <w:pPr>
        <w:spacing w:after="0" w:line="81" w:lineRule="exact"/>
        <w:rPr>
          <w:rFonts w:ascii="Arial" w:cs="Arial" w:eastAsia="Arial" w:hAnsi="Arial"/>
          <w:sz w:val="17"/>
          <w:szCs w:val="17"/>
          <w:color w:val="auto"/>
        </w:rPr>
      </w:pPr>
    </w:p>
    <w:p>
      <w:pPr>
        <w:ind w:left="1080" w:right="4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Team leads </w:t>
      </w:r>
      <w:r>
        <w:rPr>
          <w:rFonts w:ascii="Arial" w:cs="Arial" w:eastAsia="Arial" w:hAnsi="Arial"/>
          <w:sz w:val="18"/>
          <w:szCs w:val="18"/>
          <w:color w:val="auto"/>
        </w:rPr>
        <w:t>can manage work across a portfolio of projects or processes. A portfolio could include the new brand campaign, a user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a holiday promotion, and a product launch, all happening simultaneously, involving various cross-functional project teams. Team leads see progress, bottlenecks, resource constraints, and milestones without having to create work about work for teams to come up with this information in spreadsheets, email, or via a status meeting.</w:t>
      </w:r>
    </w:p>
    <w:p>
      <w:pPr>
        <w:spacing w:after="0" w:line="92"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Executives </w:t>
      </w:r>
      <w:r>
        <w:rPr>
          <w:rFonts w:ascii="Arial" w:cs="Arial" w:eastAsia="Arial" w:hAnsi="Arial"/>
          <w:sz w:val="18"/>
          <w:szCs w:val="18"/>
          <w:color w:val="auto"/>
        </w:rPr>
        <w:t>can oversee work across projects to gain real-time insights into which initiatives are on track or at risk. With this visibility,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proactively address inefficiencies, manage team workload, and reallocate work among teams or departments so that the company can stay on track to achieve its objectives.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22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who is doing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when it is due. Our multi-dimensional data model provides different views into a project or process, so individuals can not only see the tasks they are working on, but also understand how their individual work contributes to a broader project goal.</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Transparency. </w:t>
      </w:r>
      <w:r>
        <w:rPr>
          <w:rFonts w:ascii="Arial" w:cs="Arial" w:eastAsia="Arial" w:hAnsi="Arial"/>
          <w:sz w:val="18"/>
          <w:szCs w:val="18"/>
          <w:color w:val="auto"/>
        </w:rPr>
        <w:t>Our platform provides transparency into the work being done across a project or portfolio of projects so everyone can see progress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completion, manage deadlines, identify and resolve bottlenecks, and rebalance workloads if needed. Everyone has consistent access to the same data, so team members are on the same page all the time in real time.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Accountability. </w:t>
      </w:r>
      <w:r>
        <w:rPr>
          <w:rFonts w:ascii="Arial" w:cs="Arial" w:eastAsia="Arial" w:hAnsi="Arial"/>
          <w:sz w:val="18"/>
          <w:szCs w:val="18"/>
          <w:color w:val="auto"/>
        </w:rPr>
        <w:t>Our platform enables teams to assign work to individuals with completion dates and requirements, eliminating ambiguity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Individuals can track their action items across projects and manage their time more effectively.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Our Solution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Teams get work done faster using Asana. Organizations are more agile because they are able to respond to changing demands quickly, accelerate the pace of new offerings, and quickly align resources to achieve their goals. When structure is added to work, creating greater clarity, transparency, and accountability, teams are able to take action and be more efficient. According to a survey of over 3,000 customers that we conducted in the fourth quarter of fiscal 2020, by adopting our platform, our customers experience increased productivity and improved job performance, factors which generally reduce costs. Of the surveyed customers, 83% agreed that Asana improves their job performance, 77% agreed that Asana reduces wasted time at work, and 74% agreed that Asana helps them accomplish tasks more quickly.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Using Rules, individuals can auto-assign and triage tasks, trigger actions and notifications, and automatically populate due dates for templated projects. Rules can also be triggered from third-party applications such as Outlook, Gmail, and Slack. In the first 60 days of launching Rules, we automated over two million steps for our users.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users love Asana because they gain clarity into what they need to do and why their contribution is important to their organization. Employees are able to see that the work they do matters and understand how it connects to broader organizational goals. By eliminating much of the work about work, we give them back valuable hours in their day to focus on the work that matters, leading to higher productivity, higher engagement, and improved retention.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Using Asana, individuals reduce their anxiety about missing deadlines and having work fall through the cracks. Many people keep mental to-do lists and spend days and nights worrying about everything that needs to get done.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Easy for an entire team to adopt. </w:t>
      </w:r>
      <w:r>
        <w:rPr>
          <w:rFonts w:ascii="Arial" w:cs="Arial" w:eastAsia="Arial" w:hAnsi="Arial"/>
          <w:sz w:val="16"/>
          <w:szCs w:val="16"/>
          <w:color w:val="auto"/>
        </w:rPr>
        <w:t>We designed our platform to be easy to adopt and transition away from legacy project management tools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friction. For example, new users can import existing workflows from spreadsheets into Asana in a few clicks. We provide an intuitive interface that allows users, across any role or level of technical proficiency, to easily set up and navigate a process or project. We designed our platform with the everyday user in mind, incorporating common language navigation, flexible views, and easy point-and-click and drag-and-drop functionalities.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Applicable to individuals, team leads, and executives. </w:t>
      </w:r>
      <w:r>
        <w:rPr>
          <w:rFonts w:ascii="Arial" w:cs="Arial" w:eastAsia="Arial" w:hAnsi="Arial"/>
          <w:sz w:val="18"/>
          <w:szCs w:val="18"/>
          <w:color w:val="auto"/>
        </w:rPr>
        <w:t>Our multi-dimensional data model allows individuals, team leads, and executives to 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way they want, in the interface that is most applicable to them. Users across an organization realize different benefits from our platform, depending on their role:</w:t>
      </w:r>
    </w:p>
    <w:p>
      <w:pPr>
        <w:spacing w:after="0" w:line="8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individuals can view a task list to prioritize their work across projects and see how the work they depend on is progressing in real time;</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team leads can view the status of a project to identify dependencies or bottlenecks and manage workloads;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executives can see real-time updates on how their organization is tracking toward strategic objectives.</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b w:val="1"/>
          <w:bCs w:val="1"/>
          <w:i w:val="1"/>
          <w:iCs w:val="1"/>
          <w:color w:val="auto"/>
        </w:rPr>
        <w:t xml:space="preserve">Adaptable to virtually any use case. </w:t>
      </w:r>
      <w:r>
        <w:rPr>
          <w:rFonts w:ascii="Arial" w:cs="Arial" w:eastAsia="Arial" w:hAnsi="Arial"/>
          <w:sz w:val="16"/>
          <w:szCs w:val="16"/>
          <w:color w:val="auto"/>
        </w:rPr>
        <w:t>Asana has broad applicability to thousands of use cases, across many departments and industries.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seen strong initial adoption in our customer base particularly in marketing, sales, operations, human resources, product management, and design where there are many workstreams requiring cross-functional collaboration. Customers typically adopt Asana for a specific need within a department where there is no standardized solution in place. After initial adoption, teams often extend their usage of Asana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6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b w:val="1"/>
          <w:bCs w:val="1"/>
          <w:i w:val="1"/>
          <w:iCs w:val="1"/>
          <w:color w:val="auto"/>
        </w:rPr>
        <w:t xml:space="preserve">Loved by customers. </w:t>
      </w:r>
      <w:r>
        <w:rPr>
          <w:rFonts w:ascii="Arial" w:cs="Arial" w:eastAsia="Arial" w:hAnsi="Arial"/>
          <w:sz w:val="17"/>
          <w:szCs w:val="17"/>
          <w:color w:val="auto"/>
        </w:rPr>
        <w:t>We are intensely focused on customer experience, and in turn our customers love using Asana. We have fostered a vibrant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user community that is passionate about using Asana to orchestrate their work and is 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Efficient hybrid go-to-market model. </w:t>
      </w:r>
      <w:r>
        <w:rPr>
          <w:rFonts w:ascii="Arial" w:cs="Arial" w:eastAsia="Arial" w:hAnsi="Arial"/>
          <w:sz w:val="17"/>
          <w:szCs w:val="17"/>
          <w:color w:val="auto"/>
        </w:rPr>
        <w:t>Our hybrid self-service and direct sales model allows us to efficiently reach teams everywhere and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rapidly expand within our customer base. A majority of our paying customers initially adopt our platform through self-service and free trials. Individuals can try our products using a limited functionality free version or a free trial of one of our paid subscription plans for a limited period of time. This allows us to reach a broad user base in organizations of all sizes and across international markets, with a limited sales presence. Our adoption model has allowed us to efficiently turn non-paying customers into paying customers and in some cases, enterprise-wide paid deployments. Our free-to-paid conversion rate of registered users, as measured by the number of paid users divided by the total number of then-registered users, has increased from 3.6% as of January 31, 2018 to over 4.8% as of January 31, 2020.</w:t>
      </w:r>
    </w:p>
    <w:p>
      <w:pPr>
        <w:spacing w:after="0" w:line="17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High performance. </w:t>
      </w:r>
      <w:r>
        <w:rPr>
          <w:rFonts w:ascii="Arial" w:cs="Arial" w:eastAsia="Arial" w:hAnsi="Arial"/>
          <w:sz w:val="16"/>
          <w:szCs w:val="16"/>
          <w:color w:val="auto"/>
        </w:rPr>
        <w:t>We have architected our platform to be easy to use, extremely fast, and powerful. We have a modern architecture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intellectual property that enables flexible and fast queries that allow users to edit workflows, change views, and retrieve results.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5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i w:val="1"/>
          <w:iCs w:val="1"/>
          <w:color w:val="auto"/>
        </w:rPr>
        <w:t xml:space="preserve">Strong company culture. </w:t>
      </w:r>
      <w:r>
        <w:rPr>
          <w:rFonts w:ascii="Arial" w:cs="Arial" w:eastAsia="Arial" w:hAnsi="Arial"/>
          <w:sz w:val="17"/>
          <w:szCs w:val="17"/>
          <w:color w:val="auto"/>
        </w:rPr>
        <w:t>Our culture has been a critical component of our success since our founding. Our commitment to transparency,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distributed responsibility, and employee growth helps us attract and retain top quality talent from diverse backgrounds. We have seen strong retention rates overall, particularly across our engineering department, where our annual retention is over 90% despite competition for talent among software companies.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we believe helps drive our recruiting efforts. Our strong culture has led to high employee engagement as demonstrated by a survey conducted by Culture Amp, placing us in the top quartile of our peers.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b w:val="1"/>
          <w:bCs w:val="1"/>
          <w:i w:val="1"/>
          <w:iCs w:val="1"/>
          <w:color w:val="auto"/>
        </w:rPr>
        <w:t xml:space="preserve">Scalable and secure. </w:t>
      </w:r>
      <w:r>
        <w:rPr>
          <w:rFonts w:ascii="Arial" w:cs="Arial" w:eastAsia="Arial" w:hAnsi="Arial"/>
          <w:sz w:val="16"/>
          <w:szCs w:val="16"/>
          <w:color w:val="auto"/>
        </w:rPr>
        <w:t>We have built our platform using best practices for cloud-based, highly available, scalable, and secure applications.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tooling and automation to enable rapid feature deployment, with frequent code releases to production. We use horizontal-scaling as an architectural pattern across our servers and data storage, which allows us to easily add capacity for a growing customer base, and our systems can easily scale to millions of users. We have demonstrated reliability with over 99.9% average up-time during fiscal 2020 so that our customers can depend on Asana to manage critical projects. We have built security checks and mechanisms into all parts of our technology stack and embraced security practices, like a public bug bounty program and third-party penetration testing, to ensure we are protecting our customers’ data. We are SOC 2 Type II compliant and have implemented robust safeguards to protect the security of data uploaded to and shared within our platform.</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believe every team can benefit from improved coordination. Individuals and teams alike share a universal need for greater clarity, transparency, and accountability. As work continues to get more complex, we believe the shift to using work management solutions like Asana is inevitable. We are primarily replacing tools like spreadsheets and email that were not originally designed for project management, as well as a number of manual processes including phone calls and in-person meetings that people use today to get work done.</w:t>
      </w:r>
    </w:p>
    <w:p>
      <w:pPr>
        <w:spacing w:after="0" w:line="17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4"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significant whitespace opportunity. Additionally, we believe we have significant greenfield opportunities among addressable customers worldwide.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driven rapid adoption of our platform and intend to continue to promote our platform and its adoption through the following growth strategies:</w:t>
      </w:r>
    </w:p>
    <w:p>
      <w:pPr>
        <w:spacing w:after="0" w:line="5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Add more customers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over 75,000 paying customers as of January 31, 2020 and over 3.2 million free activated accounts since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we believe we have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 Separately, we also see a large opportunity to expand our international customer base. For fiscal 2020, 41% of our revenues came from international regions, with limited dedicated sales effort and no product customization outside of limited language translation and multi-currency capabilities. Within the past 12 months, we have opened offices in key regions across Europe and Asia, and expect to grow our customer base within these areas.</w:t>
      </w:r>
    </w:p>
    <w:p>
      <w:pPr>
        <w:spacing w:after="0" w:line="189"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i w:val="1"/>
          <w:iCs w:val="1"/>
          <w:color w:val="auto"/>
        </w:rPr>
        <w:t>Expand within our existing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typically adopt Asana for a specific use case within a department. After initial adoption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team, customers frequently expand to new use cases across departments and, in some instances, across an entire organization. As such, we have a significant opportunity to expand usage within our customer base. We believe we are less than 3% penetrated among addressable employees in our existing customer base. We are investing in our expansion efforts by growing our direct sales team, which has nearly doubled in size since January 31, 2019, promoting department-specific use cases, targeting organization-wide use cases such as employee onboarding and goal setting, and continually improving our interface to ease cross-team adoption.</w:t>
      </w:r>
    </w:p>
    <w:p>
      <w:pPr>
        <w:spacing w:after="0" w:line="19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Continue to innovate. </w:t>
      </w:r>
      <w:r>
        <w:rPr>
          <w:rFonts w:ascii="Arial" w:cs="Arial" w:eastAsia="Arial" w:hAnsi="Arial"/>
          <w:sz w:val="18"/>
          <w:szCs w:val="18"/>
          <w:color w:val="auto"/>
        </w:rPr>
        <w:t>Product innovation is critical to maintaining our success as a leader in work management. We will continue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product offerings and enhancing the features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functionality of our platform, particularly in the areas of integrations, automation, functional workflows, security, and organization-wide use cases. While we add new capabilities to our platform, we are also focused on simplifying our platform so that it becomes easier for teams to adopt with the added functionality. Since January 31, 2019, we have grown our engineering team by over 80% to drive product innovation.</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Keep building a high value brand. </w:t>
      </w:r>
      <w:r>
        <w:rPr>
          <w:rFonts w:ascii="Arial" w:cs="Arial" w:eastAsia="Arial" w:hAnsi="Arial"/>
          <w:sz w:val="18"/>
          <w:szCs w:val="18"/>
          <w:color w:val="auto"/>
        </w:rPr>
        <w:t>Our goal is to be the leader in work management. The work management market is still in the early stages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with greenfield opportunities for adoption among companies of all sizes. We will continue to invest in building our brand through customer experience, marketing, industry and analyst education, and broad customer engagement. In 2018, we were recognized by Forrester as a Leader in Collaborative Work Management Tools for the Enterprise based on a range of criteria, including the highest scores possible in customer satisfaction and pace of innovation criteria. In addition, G2 ranks Asana as the top Project Management software platform, leading the industry in market presence and customer satisfaction.</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Develop functional workflows. </w:t>
      </w:r>
      <w:r>
        <w:rPr>
          <w:rFonts w:ascii="Arial" w:cs="Arial" w:eastAsia="Arial" w:hAnsi="Arial"/>
          <w:sz w:val="17"/>
          <w:szCs w:val="17"/>
          <w:color w:val="auto"/>
        </w:rPr>
        <w:t>We have seen strong initial adoption in our customer base particularly in marketing, sales, operations, 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product management, and design where there are many workstreams requiring cross-functional collaboration. We have developed purpose-built templates and premium functionality that focuses on common projects and processes within these groups. We will continue to find ways to develop specific functional workflows where we see an opportunity for early and broad adoption of our platform.</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Develop organization-wide use cases. </w:t>
      </w:r>
      <w:r>
        <w:rPr>
          <w:rFonts w:ascii="Arial" w:cs="Arial" w:eastAsia="Arial" w:hAnsi="Arial"/>
          <w:sz w:val="17"/>
          <w:szCs w:val="17"/>
          <w:color w:val="auto"/>
        </w:rPr>
        <w:t>Customers use Asana for a number of use cases, from departmental projects to organization-wide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initiatives, including employee goal management, new employee onboarding, one-on-ones, and meeting agendas. Organization-wide initiatives represent a significant opportunity to expand our presence further within our customer base. Today, our customers can develop and implement organization-wide use cases on their own. Over time, we intend to productize and monetize organization-specific use cases on our platform.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Culture</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and inclusion programs, we help ensure that everyone can thrive and feel a sense of belonging, enabling us to better understand the needs of our diverse customer base and innovate in new and creative ways. We also use Asana ourselves, providing our employees with clarity into how their work contributes to our mission and enabling them to do their most impactful work.</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171450</wp:posOffset>
            </wp:positionV>
            <wp:extent cx="4543425" cy="22371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4342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On Glassdoor, we have a 4.8 out of 5.0 score and a 97% CEO approval rating. For the fourth consecutive year, Great Place to Work and FORTUNE have placed us in the top 5 Best Small and Medium Workplaces in the Bay Area. In 2019, we were awarded the Top 10 Best Small and Medium Workplaces; #3 Best Workplaces Technology; #5 Best Workplaces for Millennials; and #11 Best Workplaces for Women by Great Place to Work. As of January 31, 2020, we had 701 employees, representing growth of 65% since January 31, 2019.</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Features of our Platform</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Asana is a single unified platform that provides clarity at every level of an organization for individuals, team leads, and executives. Powered by a proprietary, multi-dimensional data model called the work graph, which captures and associates units of work, Asana provides dynamic views—List, Calendar, Board, Timeline, Portfolio, Reports—so that individuals can see work data in whatever way makes most sense to them. Any changes made to underlying data through one view is automatically updated in real time to all other views.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 Graph Hierarchy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Tasks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Tasks are the atomic unit of work within the Asana work graph. Within tasks, users can assign owners, set due dates and times, attach documents, and define custom fields for information about the task so that everyone knows who is doing what by when and has the information needed to complete the work. Custom fields are metadata that help users plan, sort, and organize work. Collaboration including comments, sharing, @-mentions, and image markup are natively built into tasks, ensuring that relevant updates and context stay with the work at hand. Changes in task information made in one view are automatically updated across all views where the task is visible so that users don’t have to re-enter information.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Projects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 project consists of a set of tasks, which can be organized into sections and arranged into dependencies that give teams clarity on plan and process.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Portfolios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Portfolio lets users organize projects into one centralized location, acting as the mission control so that team leads and executives have real-time visibility into how work is progressing across projects. Users can add or remove projects, check the status and progress of each project, view priorities, and assign relevant project owners. Individuals can click on any project to see a full summary overview of the project with the ability to edit due dates, view key milestones, link to the tasks and resources available, check or add status updates, and add comments for the team. They can also see all projects within the Portfolio on a Timeline to get a bird’s-eye view of when initiatives are kicking off and when they will be completed. Like many of the views in Asana, the layout of Portfolio can be customized based on individual preference. Portfolios can be made public or private, or can be shared only with specific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149860</wp:posOffset>
            </wp:positionV>
            <wp:extent cx="5194935" cy="3060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9493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Dynamic Views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My Tasks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31718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604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My Tasks provides a single, clear view of every deliverable and due date assigned to individuals so that they start their day knowing exactly what they need to do, by when. Items can be organized and dragged and dropped into different categories so that individuals can prioritize their part of a project or any process-related tasks.</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All individuals have their own My Tasks. Team members can view other team members’ tasks to see what they are working on. Individuals also have the option to create private tasks, which are only visible to themselves and the people they have explicitly added as collaborators.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Inbox</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Inbox is the notification center for Asana. It displays updates on all projects that individuals are a member of and tasks that they follow or are assigned so that they can stay on top of the work that matters. Task and project updates—such as when a task is marked complete, a comment is added, or the status of a project is updated—triggers a notification that appears in the Inbox of anyone who follows the task or belongs to the project. Individuals can filter their Inbox based on assigned tasks and @-mentions so they can focus on their top priorities.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40"/>
          </w:cols>
          <w:pgMar w:left="320" w:top="459" w:right="5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 View</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List view of a project lets individuals sort, organize into sections, and filter a list of tasks. Tasks can be dragged and dropped, and filtered and sorted according to what matters most so project teams can see all the work needed to complete a project and easily drill down into details. Keyboard shortcuts can be used to move tasks up or down the list, and a project toolbar allows users to adjust their project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3188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604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60"/>
          </w:cols>
          <w:pgMar w:left="320" w:top="459"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Calendar View</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Calendar view displays tasks within the project on a calendar based on due date and, optionally, start and end dates, so that individuals can see how many tasks are due within a time period and stay on top of their deadlines. Individuals can contribute tasks to a team calendar, plan their work on a schedule, and then easily drag and drop tasks to make adjustments. Individuals can see their personal task list, all the tasks within a specific project, as well as all tasks across projects relevant to a team on a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3566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604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View</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Boards provide individuals with a kanban-style display. Individuals use boards to plan and organize their work as if they were organizing sticky notes in columns on a wall so that they can quickly visualize the current stage of each task within a workstream. Tasks in the project are represented as cards within the columns and individuals commonly use the columns to represent stages in a workflow. As a task makes its way through the workflow, it moves from the left to the right. The tasks display due dates, assignee, custom fields, and previews of the latest attached files.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Boards can be customized to what matters most to the user, with the ability to add custom fields, filter, and sort by task, assignee, or due date. Additionally, tasks appearing in one board can be added to other projects so that work stays connected and up to date across initiatives without team members having to re-enter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197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Timeline View</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Timeline allows teams to create and visualize project plans over time so that individuals can identify bottlenecks and task dependencies and make real-time adjustments as needed. Our Timeline view is more powerful than a static Gantt chart because it is connected to the underlying work and updates dynamically as work progresses. When a deadline shifts, all subsequent deadlines can shift accordingly. Timeline helps ensure work stays on track and all team members have clear visibility over the steps involved and progress towards the end goal.</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40"/>
          </w:cols>
          <w:pgMar w:left="320" w:top="459" w:right="5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Timeline is particularly relevant for time-bounded initiatives which have timing and sequencing dependencies. Timeline gives executives and project stakeholders an at-a-glance view of project plans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3197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604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740"/>
          </w:cols>
          <w:pgMar w:left="320" w:top="459" w:right="8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Workload</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Workload visualizes the work, capacity, and trendline of each team member so that team leads have accurate and up-to-date information into the workload of their team members. The trendline is generated by number of tasks or numerical custom field values such as estimated hours or effort. Team leads can set capacity and be notified when team members are overloaded. Individuals can reallocate work from one team member to another with a drag-and-drop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6231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Automated Workflows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Processes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 process, or workflow, is the sequence of stages a piece of work passes through from initiation to completion. Asana provides pre-made templates for common processes around ongoing work within marketing, design, operations, sales, HR, product, engineering, and IT functions so that individuals and teams have a starting point for planning, managing, and executing their work.</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Teams have the ability to create and save custom templates so that they can standardize and provide clarity on all the necessary steps of their unique workflows. Additionally, teams can implement rules to automate repetitive, manual tasks in a workflow, such as auto-assigning a task based on custom field status or moving a task from one column to another in Board view.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Rules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Rules help automate tedious and repetitive tasks so that teams can reduce manual work and spend more time on the work that matters. Individuals can select from suggested pre-built rules from the rules gallery or they can create a custom rule. A rule consists of one or more triggers and actions, enabling an individual to create logic and multiple actions around business scenarios. Actions in third-party applications that are integrated with Asana, such as Outlook, Gmail, and Slack, can also trigger rules, making it easy to automate manual work across applications.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Reporting</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Asana provides reporting capabilities that automate and simplify the process of creating status reports and give individuals and teams a searchable history of their work data. Advanced Search allows individuals to specify search parameters to find data and conversations quickly and easily. The work graph enables users to find work based on various attributes, including who is involved, what projects a task may belong to, and even the status of dependencies. Search criteria can be saved as reports, and results can be viewed in a list or calendar.</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Integrations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Asana platform integrates with many third-party applications including:</w:t>
      </w:r>
    </w:p>
    <w:p>
      <w:pPr>
        <w:spacing w:after="0" w:line="131"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Microsoft apps such as Teams, Outlook, OneDrive, SharePoint, and Power Automate;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G-suite apps such as Gmail, Calendar, Chrome, Sheets, and Drive;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Functional tools such as Salesforce and Adobe Creative Cloud;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Communication apps such as Slack;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 sharing apps such as Box and Dropbox;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 apps such as GitHub and Jira;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Reporting apps such as Tableau.</w:t>
      </w:r>
    </w:p>
    <w:p>
      <w:pPr>
        <w:spacing w:after="0" w:line="22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Integrations connect applications to Asana, which provides a central hub for managing work. Teams save time by eliminating the need to switch between various sites and tools. By providing this centralized hub, Asana ensures that work in other tools is tracked and completed.</w:t>
      </w:r>
    </w:p>
    <w:p>
      <w:pPr>
        <w:spacing w:after="0" w:line="146"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Integrations with third-party applications are achieved through Asana Connect without sharing any usernames or passwords. Asana Connect enables seamless integration with third-party applications and gives users the ability to manage all of their work streams through a single platform. Asana Connect uses OAuth 2.0, an industry standard for authentication.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103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architecture we have built to power Asana is secure and scalable offering users a customized experience that is easy to navigate while handling complex data management behind the scenes. We designed our systems to allow flexible access to the work graph data, allowing us to build rich new functionality quickly and innovate in the work management space.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Extensible, Efficient Technology Platform</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cloud-native platform includes proprietary software services built on top of infrastructure provided by Amazon Web Services. We shard customer data in our distributed datastore to scale horizontally and provide high performance, and redundancy across multiple third-party data centers in several locations in the United States and Europe to protect against data loss and provide high availability. The distributed datastore allows flexible indexing across single or multiple attributes of the objects stored in it, thus efficiently supporting a wide variety of queries. Our platform services keep track of connected devices and data requests, automatically sending updates to devices as data is updated. This allows our client software to surface real-time information with minimal data transfer and round-trips to the servers, and provides a fast, responsive experience to our customers.</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provide our software as a service to customers, so the technology we build includes deployment tools to ensure we can publish software updates rapidly and safely, as well as monitoring and automation tools.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 to Security and Privacy</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Upholding the trust that we have established with our customers and gaining the trust of new customers remains a priority for us and as a result, we have implemented robust safeguards to protect the security of customer data. Our security program includes conducting risk assessments of all systems and networks that process customer data; monitoring for security events; maintaining incident response, disaster recovery, and business continuity plans that explicitly address and provide guidance to our personnel in furtherance of the security, confidentiality, integrity, and availability of customer data; and having a qualified third party perform security assessments on a periodic basis to test against widely recognized security standards and practices.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achieved and actively maintain certification of compliance to the SOC 2 (Type II) information security standard for the controls relevant to security, availability, and confidentiality. Service Organization Controls, or SOC, are standards established by the American Institute of Certified Public Accountants for reporting on internal control environments implemented within an organization. This means that an independent third party has both validated our processes and practices with respect to these criteria and confirmed our ability to maintain compliance with the controls we have implemented. We have built our platform with security features that are designed to be scalable as we develop and introduce new functionality, including but not limited to supporting encryption of user data in transit and at rest within our platform, and implementing strong access controls and multi-factor authentication to prevent unauthorized access to customer data. Additionally, our platform allows customers to implement their own granular access controls by giving them the ability to restrict access on a per task, per project, and per team basis.</w:t>
      </w:r>
    </w:p>
    <w:p>
      <w:pPr>
        <w:spacing w:after="0" w:line="17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In addition to security, we are deeply committed to privacy and to protecting and honoring the privacy rights of our customers. We have established a comprehensive privacy compliance program, aligning our practices with regulations such as the General Data Protection Regulation and the California Consumer Privacy Act, including by delivering periodic training to our employees on privacy best practices, reviewing and mapping the data we collect, use, and share, and creating a customer rights program and response process to honor the requests of our customers exercising their privacy rights. Above all, we strive to be transparent about our privacy practices, independent of legal obligations.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As of January 31, 2020, we had over 75,000 paying customers globally.</w:t>
      </w:r>
    </w:p>
    <w:p>
      <w:pPr>
        <w:spacing w:after="0" w:line="17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Our current customer base spans numerous industry categories, including technology, retail, education, non-profit, government, healthcare, media, and financial services. No individual customer represented more than 1% of our revenues in the years ended January 31, 2019 and 2020.</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employ a hybrid go-to-market approach, combining a self-service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Self-Service Model</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majority of our paying customers initially adopt our platform through self-service and free trials. To demonstrate the value of our platform to potential paying customers, we provide free trials of our paid Asana Premium and Business offerings in addition to our free Basic offering for teams of up to 15 people. As individuals, teams and their guests realize the productivity benefits we provide, Asana becomes an increasingly integral part of their day-to-day work and critical to helping them achieve their objectives.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 Sales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conjunction with our self-service model, we have a targeted direct sales team focused on promoting new use cases and expanding our footprint within our existing customer base. Our direct sales force has a global presence, and consists primarily of solutions sales teams focused primarily on strategic accounts with expansion opportunities including department-specific and organization-wide use cases such as employee onboarding and goal setting. Our direct sales team has nearly doubled in size since January 31, 2019.</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Marketing and Customer Success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market our platform through owned properties, such as our website and social media channels, media coverage, paid acquisition, and word of mouth to promote discovery and adoption. Our customers also have the ability to invite external parties to collaborate on specific Asana projects, which supports viral adoption of our platform.</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dedicated efforts to deliver remarkable customer and community experiences creates success stories that drive word of mouth. 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global community of customers and experts, Asana Together, connects customers, both online and offline, and creates champions. Through Asana Together, customers have access to our community Forum to ask questions and connect with peers. We also certify and support Asana Ambassadors (go-to enthusiasts who assist with and promote adoption within their networks) and Certified Pros (independent third-party Asana consultants who offer their services for a discretionary fee to help teams make the most of their experience on our platform). Through Asana Together, we have hosted multiple in-person events on five different continents.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Key to our success is the time, attention and investment we place on continued innovation in our platform. We will continue to invest in expanding our product offerings and enhancing the features and functionality of our platform, particularly in the areas of integrations, automation, functional workflows, security, and organization-wide use cases. We leverage the breadth of our customer base, and the diverse ways in which they use our platform, to recognize their needs quickly and guide future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 Since January 31, 2019, we have grown our engineering department by over 80% to drive product innovation.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market for work management platforms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The work management solutions market is rapidly evolving and highly competitive, with relatively low barriers to entry, and in the future there will likely be an increasing number of similar solutions offered by additional competitors. Our competition addresses the project management and work management categories, including, but not limited to, solutions around email, messaging, and spreadsheets. Our competitors fall into the following groups: companies specifically offering work management solutions; companies offering productivity suites; and companies specializing in vertical solutions.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3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adaptability to a broad range of use cases;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features and functionality of platform capabilities;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developments and enhancements of work management solutions;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efficient hybrid go-to-market model;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ease of use, performance, price, and reliability of solutions;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scalability and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brand strength;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ability to create easy to use integrations for, and robust, effective partnerships with, other larger enterprise software solutions and tools.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of January 31, 2020, we had been granted five U.S. patents, had 19 U.S. patent applications pending, and one notice of allowance. Our issued patents expire between January 2031 and December 2034.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current corporate headquarters, consisting of approximately 110,000 square feet of office space in San Francisco, California, is leased through October 2021. In February 2019, we entered into a new lease agreement, pursuant to which we will lease office space located in San Francisco, California consisting of 265,890 square feet for an initial term of 148 months commencing in May 2020. This new office building will house our new corporate headquarters, which we expect to begin occupying in the first quarter of fiscal 2022.</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lease additional offices in multiple locations in the United States and internationally, including in Dublin, London, Munich, New York, Reykjavik, Sydney, Tokyo, and Vancouver.</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As of January 31, 2020, we had 701 full-time employees. Of these employees, 573 were in the United States and 128 were in our international locations. None of our employees is represented by a labor union or covered by collective bargaining agreements. We have not experienced any work stoppages. We consider our relationship with our employees to be good.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January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3580" w:type="dxa"/>
            <w:vAlign w:val="bottom"/>
          </w:tcPr>
          <w:p>
            <w:pPr>
              <w:spacing w:after="0"/>
              <w:rPr>
                <w:sz w:val="14"/>
                <w:szCs w:val="14"/>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69"/>
        </w:trPr>
        <w:tc>
          <w:tcPr>
            <w:tcW w:w="2880" w:type="dxa"/>
            <w:vAlign w:val="bottom"/>
            <w:gridSpan w:val="2"/>
          </w:tcPr>
          <w:p>
            <w:pPr>
              <w:spacing w:after="0"/>
              <w:rPr>
                <w:sz w:val="20"/>
                <w:szCs w:val="20"/>
                <w:color w:val="auto"/>
              </w:rPr>
            </w:pPr>
            <w:r>
              <w:rPr>
                <w:rFonts w:ascii="Arial" w:cs="Arial" w:eastAsia="Arial" w:hAnsi="Arial"/>
                <w:sz w:val="18"/>
                <w:szCs w:val="18"/>
                <w:color w:val="auto"/>
              </w:rPr>
              <w:t>Dustin Moskovitz</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w w:val="91"/>
              </w:rPr>
              <w:t>Co-Founder, President, Chief Executive Officer, and Chair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Chris Farinacci</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Chief Operating Officer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Eleanor Lacey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General Counsel and Corporate Secretary</w:t>
            </w:r>
          </w:p>
        </w:tc>
      </w:tr>
      <w:tr>
        <w:trPr>
          <w:trHeight w:val="284"/>
        </w:trPr>
        <w:tc>
          <w:tcPr>
            <w:tcW w:w="2880" w:type="dxa"/>
            <w:vAlign w:val="bottom"/>
            <w:gridSpan w:val="2"/>
          </w:tcPr>
          <w:p>
            <w:pPr>
              <w:spacing w:after="0"/>
              <w:rPr>
                <w:sz w:val="20"/>
                <w:szCs w:val="20"/>
                <w:color w:val="auto"/>
              </w:rPr>
            </w:pPr>
            <w:r>
              <w:rPr>
                <w:rFonts w:ascii="Arial" w:cs="Arial" w:eastAsia="Arial" w:hAnsi="Arial"/>
                <w:sz w:val="18"/>
                <w:szCs w:val="18"/>
                <w:color w:val="auto"/>
              </w:rPr>
              <w:t>Tim Wan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324"/>
        </w:trPr>
        <w:tc>
          <w:tcPr>
            <w:tcW w:w="2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84"/>
        </w:trPr>
        <w:tc>
          <w:tcPr>
            <w:tcW w:w="2880" w:type="dxa"/>
            <w:vAlign w:val="bottom"/>
            <w:gridSpan w:val="2"/>
          </w:tcPr>
          <w:p>
            <w:pPr>
              <w:spacing w:after="0"/>
              <w:rPr>
                <w:sz w:val="20"/>
                <w:szCs w:val="20"/>
                <w:color w:val="auto"/>
              </w:rPr>
            </w:pPr>
            <w:r>
              <w:rPr>
                <w:rFonts w:ascii="Arial" w:cs="Arial" w:eastAsia="Arial" w:hAnsi="Arial"/>
                <w:sz w:val="18"/>
                <w:szCs w:val="18"/>
                <w:color w:val="auto"/>
              </w:rPr>
              <w:t>Anna Binder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People</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Alex Hood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Product</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Oliver Jay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Sales and Business Development</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Dave King</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Marketing</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Prashant Pandey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Engineering</w:t>
            </w:r>
          </w:p>
        </w:tc>
      </w:tr>
      <w:tr>
        <w:trPr>
          <w:trHeight w:val="324"/>
        </w:trPr>
        <w:tc>
          <w:tcPr>
            <w:tcW w:w="2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Matthew Cohler</w:t>
            </w:r>
            <w:r>
              <w:rPr>
                <w:rFonts w:ascii="Arial" w:cs="Arial" w:eastAsia="Arial" w:hAnsi="Arial"/>
                <w:sz w:val="15"/>
                <w:szCs w:val="15"/>
                <w:color w:val="auto"/>
              </w:rPr>
              <w:t>(1)(3)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4"/>
        </w:trPr>
        <w:tc>
          <w:tcPr>
            <w:tcW w:w="2880" w:type="dxa"/>
            <w:vAlign w:val="bottom"/>
            <w:gridSpan w:val="2"/>
          </w:tcPr>
          <w:p>
            <w:pPr>
              <w:spacing w:after="0"/>
              <w:rPr>
                <w:sz w:val="20"/>
                <w:szCs w:val="20"/>
                <w:color w:val="auto"/>
              </w:rPr>
            </w:pPr>
            <w:r>
              <w:rPr>
                <w:rFonts w:ascii="Arial" w:cs="Arial" w:eastAsia="Arial" w:hAnsi="Arial"/>
                <w:sz w:val="18"/>
                <w:szCs w:val="18"/>
                <w:color w:val="auto"/>
              </w:rPr>
              <w:t>Adam D’Angelo</w:t>
            </w:r>
            <w:r>
              <w:rPr>
                <w:rFonts w:ascii="Arial" w:cs="Arial" w:eastAsia="Arial" w:hAnsi="Arial"/>
                <w:sz w:val="15"/>
                <w:szCs w:val="15"/>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4"/>
        </w:trPr>
        <w:tc>
          <w:tcPr>
            <w:tcW w:w="2880" w:type="dxa"/>
            <w:vAlign w:val="bottom"/>
            <w:gridSpan w:val="2"/>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(2)(3)</w:t>
            </w: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Justin Rosenstein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Co-Founder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8"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Lead independent director.</w:t>
      </w:r>
    </w:p>
    <w:p>
      <w:pPr>
        <w:spacing w:after="0" w:line="3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Dustin Moskovitz </w:t>
      </w:r>
      <w:r>
        <w:rPr>
          <w:rFonts w:ascii="Arial" w:cs="Arial" w:eastAsia="Arial" w:hAnsi="Arial"/>
          <w:sz w:val="16"/>
          <w:szCs w:val="16"/>
          <w:color w:val="auto"/>
        </w:rPr>
        <w:t>co-founded Asana and has served as a member of our board of directors since December 2008, as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as our President since February 2019, and as our Chair since December 2019. Previously, Mr. Moskovitz served as our Chief Financial Officer from February 2009 to January 2017, and as our Secretary from February 2009 to October 2017. Prior to Asana, Mr. Moskovitz co-founded Facebook, Inc., a social media and networking company, and from February 2004 to November 2008, he served in a variety of senior roles, including Chief Technology Officer and Vice President of Engineering. Mr. Moskovitz attended Harvard University where he studied economics.</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that Mr. Moskovitz is qualified to serve as a member of our board of directors due to the perspective and experience he brings as our Chief Executive Officer and a co-founder and due to his extensive experience managing technology companies.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Chris Farinacci </w:t>
      </w:r>
      <w:r>
        <w:rPr>
          <w:rFonts w:ascii="Arial" w:cs="Arial" w:eastAsia="Arial" w:hAnsi="Arial"/>
          <w:sz w:val="18"/>
          <w:szCs w:val="18"/>
          <w:color w:val="auto"/>
        </w:rPr>
        <w:t>has served as our Chief Operating Officer since September 2015. Prior to joining Asana, Mr. Farinacci served as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Marketing for Google for Work and Google for Education, Alphabet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40"/>
          </w:cols>
          <w:pgMar w:left="320" w:top="459" w:right="5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Inc.’s enterprise and education businesses, from January 2011 to September 2015. From May 2009 to December 2010, Mr. Farinacci served as Chief Marketing Officer at Hara Software, Inc., an environmental and energy management software company. Prior to that, he served as Vice President, Application Marketing at Oracle Corporation, a provider of business software, from October 2007 until April 2009. Mr. Farinacci holds a B.S. in mechanical engineering from The Ohio State University.</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Eleanor Lacey </w:t>
      </w:r>
      <w:r>
        <w:rPr>
          <w:rFonts w:ascii="Arial" w:cs="Arial" w:eastAsia="Arial" w:hAnsi="Arial"/>
          <w:sz w:val="18"/>
          <w:szCs w:val="18"/>
          <w:color w:val="auto"/>
        </w:rPr>
        <w:t>has served as our General Counsel since July 2019 and as our Corporate Secretary since September 2019. Prior to joining Asana,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November 2016 to July 2019, Ms. Lacey served as the Executive Vice President and Chief Legal Officer of Sophos, Inc., an affiliated entity of Sophos Group plc, a security software and hardware company, and Group Company Secretary at Sophos Group plc. From July 2012 to November 2016, Ms. Lacey led the legal department of SurveyMonkey, Inc., an affiliated entity of SVMK Inc., a SaaS survey company, serving as Vice President, General Counsel, and Corporate Secretary from July 2012 to August 2016, and as Senior Vice President, General Counsel, and Corporate Secretary from August 2016 to November 2016. Ms. Lacey holds a B.A. in English literature and history from the University of Massachusetts, Amherst and a J.D. from Yale Law School.</w:t>
      </w:r>
    </w:p>
    <w:p>
      <w:pPr>
        <w:spacing w:after="0" w:line="19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i w:val="1"/>
          <w:iCs w:val="1"/>
          <w:color w:val="auto"/>
        </w:rPr>
        <w:t xml:space="preserve">Tim Wan </w:t>
      </w:r>
      <w:r>
        <w:rPr>
          <w:rFonts w:ascii="Arial" w:cs="Arial" w:eastAsia="Arial" w:hAnsi="Arial"/>
          <w:sz w:val="17"/>
          <w:szCs w:val="17"/>
          <w:color w:val="auto"/>
        </w:rPr>
        <w:t>has served as our Chief Financial Officer since January 2017, and he previously served as our Secretary from May 2018 to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Prior to joining Asana, Mr. Wan served as the Chief Financial Officer of Apigee Corporation, an API platform technology company, from March 2015 to January 2017. From June 2000 to February 2015, Mr. Wan served in a variety of senior roles at RealNetworks, Inc., a digital media and applications company, including as Senior Vice President, Chief Financial Officer, and Treasurer from April 2012 to February 2015, Vice President, Finance from September 2009 to April 2012, and various leadership positions from June 2000 to August 2009. Additionally, Mr. Wan has served on the board of directors of RealNetworks, Inc. since December 2019. Mr. Wan holds a B.A. in economics from the University of California, Los Angeles and an M.B.A. from the University of Southern California.</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Anna Binder </w:t>
      </w:r>
      <w:r>
        <w:rPr>
          <w:rFonts w:ascii="Arial" w:cs="Arial" w:eastAsia="Arial" w:hAnsi="Arial"/>
          <w:sz w:val="17"/>
          <w:szCs w:val="17"/>
          <w:color w:val="auto"/>
        </w:rPr>
        <w:t>has served as our Head of People since May 2016. Prior to joining Asana, Ms. Binder was the Vice President of People at MuleSoft,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software company, from August 2014 to February 2016. From May 2010 to June 2013, Ms. Binder served as Vice President of Client Services and Human Resources at ReadyForce, Inc., an information technology and services company, and before that, as the VP, People at IronPort Systems, Inc., an email and web security products provider acquired by Cisco Systems in 2007. Ms. Binder holds a B.A. in political science from the University of Oregon and an M.B.A. from IESE Business School at the University of Navarra.</w:t>
      </w:r>
    </w:p>
    <w:p>
      <w:pPr>
        <w:spacing w:after="0" w:line="17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Alex Hood </w:t>
      </w:r>
      <w:r>
        <w:rPr>
          <w:rFonts w:ascii="Arial" w:cs="Arial" w:eastAsia="Arial" w:hAnsi="Arial"/>
          <w:sz w:val="18"/>
          <w:szCs w:val="18"/>
          <w:color w:val="auto"/>
        </w:rPr>
        <w:t>has served as our Head of Product since January 2018. Prior to joining Asana, Mr. Hood served as the Vice President of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Small Business Segment Leader at Intuit Inc., a business and financial software company, from January 2016 to October 2017. From March 2014 to December 2015, Mr. Hood served as the Vice President of Products at TubeMogul Inc., an advertising software company. Mr. Hood holds a B.A. in economics and international relations from American University and an M.B.A. from Haas School of Business at the University of California, Berkeley.</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Oliver Jay </w:t>
      </w:r>
      <w:r>
        <w:rPr>
          <w:rFonts w:ascii="Arial" w:cs="Arial" w:eastAsia="Arial" w:hAnsi="Arial"/>
          <w:sz w:val="18"/>
          <w:szCs w:val="18"/>
          <w:color w:val="auto"/>
        </w:rPr>
        <w:t>has served as our Head of Sales and Business Development since November 2016. Prior to joining Asana, Mr. Jay was Head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APAC &amp; LATAM at Dropbox, Inc., a file hosting service company, from January 2014 to April 2016, and Head of Online Sales &amp; Inside Sales from September 2012 to January 2014. From August 2011 to September 2012, Mr. Jay served as Sales &amp; Partnerships Principal at Scientific Conservation, Inc., an analytics software company. Mr. Jay holds a B.A. in Philosophy, Politics &amp; Economics from the University of Pennsylvania and an M.B.A. from Harvard Business School.</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Dave King </w:t>
      </w:r>
      <w:r>
        <w:rPr>
          <w:rFonts w:ascii="Arial" w:cs="Arial" w:eastAsia="Arial" w:hAnsi="Arial"/>
          <w:sz w:val="18"/>
          <w:szCs w:val="18"/>
          <w:color w:val="auto"/>
        </w:rPr>
        <w:t>has served as our Head of Marketing since May 2017. Prior to joining Asana, Mr. King was Vice President of Marketing at Percolate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 marketing software company, from October 2015 to January 2017.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From February 2013 to February 2015, Mr. King led marketing teams at Highfive, Inc., a video conferencing company, and Salesforce.com, a customer relationship management software company, from June 2008 to October 2012. Mr. King holds a B.S. in psychology from Duke University and an M.B.A. from Stanford Graduate School of Business.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Prashant Pandey </w:t>
      </w:r>
      <w:r>
        <w:rPr>
          <w:rFonts w:ascii="Arial" w:cs="Arial" w:eastAsia="Arial" w:hAnsi="Arial"/>
          <w:sz w:val="18"/>
          <w:szCs w:val="18"/>
          <w:color w:val="auto"/>
        </w:rPr>
        <w:t>has served as our Head of Engineering since July 2015, and previously as our Head of Infrastructure since May 2014.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Asana, Mr. Pandey served as an Engineering Leader at Amazon.com, Inc., a multinational technology company, from October 2012 to May 2014. Mr. Pandey holds a Bachelor of Technology in computer science from the Birla Institute of Technology and Science, Pilani and an M.S. in computer science from the University of Illinois, Urbana Champaign.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Sydney Carey </w:t>
      </w:r>
      <w:r>
        <w:rPr>
          <w:rFonts w:ascii="Arial" w:cs="Arial" w:eastAsia="Arial" w:hAnsi="Arial"/>
          <w:sz w:val="17"/>
          <w:szCs w:val="17"/>
          <w:color w:val="auto"/>
        </w:rPr>
        <w:t>has served as a member of our board of directors since July 2019. Since November 2018, Ms. Carey has served as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Sumo Logic, Inc., a data analytics company. From December 2017 to October 2018, Ms. Carey served as the Chief Financial Officer for Duo Security, Inc., a software security company. From June 2016 to December 2017, she served as the Chief Financial Officer of Apttus Corporation, a business-to-business software company. From February 2015 to June 2016, she served as the Chief Financial Officer of Zscaler, Inc., an information security company, and from April 2013 to February 2015, she served as the Chief Financial Officer of MongoDB Inc., a software company. Ms. Carey served as a member of the board of directors of Bazaarvoice, Inc. from April 2012 to September 2017, and Proofpoint, Inc. from January 2014 to March 2015. Ms. Carey holds a B.A. in economics from Stanford University.</w:t>
      </w:r>
    </w:p>
    <w:p>
      <w:pPr>
        <w:spacing w:after="0" w:line="17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We believe that Ms. Carey is qualified to serve as a member of our board of directors because of her extensive finance background, including service as a chief financial officer of several companies, her experience as a director of public companies, and her knowledge of our industry.</w:t>
      </w:r>
    </w:p>
    <w:p>
      <w:pPr>
        <w:spacing w:after="0" w:line="12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Matthew Cohler </w:t>
      </w:r>
      <w:r>
        <w:rPr>
          <w:rFonts w:ascii="Arial" w:cs="Arial" w:eastAsia="Arial" w:hAnsi="Arial"/>
          <w:sz w:val="17"/>
          <w:szCs w:val="17"/>
          <w:color w:val="auto"/>
        </w:rPr>
        <w:t>has served as a member of our board of directors since November 2009. Mr. Cohler has been a Partner at Benchmark Capital,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capital firm, since June 2008. Before Benchmark Capital, Mr. Cohler served as the Vice President of Product Management at Facebook, Inc., a social media and networking company, from 2005 to June 2008, and as the Vice President of LinkedIn Corporation, an internet software company, from 2003 to 2005. Mr. Cohler previously served on the boards of directors of Domo, Inc. from July 2011 to March 2019, and Uber Technologies, Inc. from June 2017 to July 2019. Mr. Cohler holds a B.A. in music from Yale University.</w:t>
      </w:r>
    </w:p>
    <w:p>
      <w:pPr>
        <w:spacing w:after="0" w:line="176"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We believe that Mr. Cohler is qualified to serve as a member of our board of directors because of his extensive experience as an executive and board member of many technology, high-growth, consumer and digital companies, his investment experience, and his knowledge of our industry.</w:t>
      </w:r>
    </w:p>
    <w:p>
      <w:pPr>
        <w:spacing w:after="0" w:line="12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Adam D’Angelo </w:t>
      </w:r>
      <w:r>
        <w:rPr>
          <w:rFonts w:ascii="Arial" w:cs="Arial" w:eastAsia="Arial" w:hAnsi="Arial"/>
          <w:sz w:val="18"/>
          <w:szCs w:val="18"/>
          <w:color w:val="auto"/>
        </w:rPr>
        <w:t>has served as a member of our board of directors since December 2008. Mr. D’Angelo founded Quora Inc.,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question-and-answer website, and since June 2009, has served as its Chief Executive Officer. From June 2005 to June 2008, Mr. D’Angelo served in a variety of senior roles at Facebook, Inc., a social media and networking company, including Chief Technology Officer, from November 2006 to June 2008. Mr. D’Angelo holds a B.S. in computer science from the California Institute of Technology.</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believe that Mr. D’Angelo is qualified to serve as a member of our board of directors because of his significant knowledge of and history with our company, his extensive experience as an executive and board member of technology companies, and his knowledge of our industry.</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Lorrie Norrington </w:t>
      </w:r>
      <w:r>
        <w:rPr>
          <w:rFonts w:ascii="Arial" w:cs="Arial" w:eastAsia="Arial" w:hAnsi="Arial"/>
          <w:sz w:val="18"/>
          <w:szCs w:val="18"/>
          <w:color w:val="auto"/>
        </w:rPr>
        <w:t>has served as a member of our board of directors since July 2019. Ms. Norrington has served as an operating partner of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Edge Capital LLC, a growth equity investment firm, since October 2012. Ms. Norrington previously served in several senior management roles at eBay Inc., a multinational e-commerce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9"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publicly-traded company, from July 2006 to September 2010, including President of Global eBay Marketplaces, Chief Operating Officer of eBay Marketplaces, and President of eBay International. Ms. Norrington currently serves on the boards of directors of Autodesk, Inc., HubSpot, Inc., Colgate-Palmolive Company, and Eventbrite, Inc., and she also previously served on the board of directors of DirectTV, LLC from February 2011 to August 2015. Ms. Norrington holds a B.A. in business administration from the University of Maryland, College Park and an M.B.A. from Harvard University.</w:t>
      </w:r>
    </w:p>
    <w:p>
      <w:pPr>
        <w:spacing w:after="0" w:line="15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believe that Ms. Norrington is qualified to serve as a member of our board of directors because of her extensive experience as an executive and board member of many publicly-traded companies, including her business acumen and extensive global expertise, and her knowledge of our industry.</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Anne Raimondi </w:t>
      </w:r>
      <w:r>
        <w:rPr>
          <w:rFonts w:ascii="Arial" w:cs="Arial" w:eastAsia="Arial" w:hAnsi="Arial"/>
          <w:sz w:val="16"/>
          <w:szCs w:val="16"/>
          <w:color w:val="auto"/>
        </w:rPr>
        <w:t>has served as a member of our board of directors since February 2019 and as our lead independent director since December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Raimondi has served as the Chief Customer Officer of Guru Technologies, Inc., a knowledge management solution company, since May 2019. Prior to joining Guru, from August 2013 to November 2017, Ms. Raimondi served several roles at Zendesk, Inc., a customer service platform provider, including as Senior Vice President, Strategy, Senior Vice President, Operations, and Vice President, People Operations. Ms. Raimondi has also served on the board of directors of several other companies, including SendGrid, Inc. from February 2018 to February 2019, and Bloc, Inc. from June 2017 to April 2018. Ms. Raimondi holds a B.A. in economics and sociology and an M.B.A. from Stanford University.</w:t>
      </w:r>
    </w:p>
    <w:p>
      <w:pPr>
        <w:spacing w:after="0" w:line="16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that Ms. Raimondi is qualified to serve as a member of our board of directors because of her extensive experience as an executive and board member of many technology, high-growth companies and her knowledge of our industry.</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Justin Rosenstein </w:t>
      </w:r>
      <w:r>
        <w:rPr>
          <w:rFonts w:ascii="Arial" w:cs="Arial" w:eastAsia="Arial" w:hAnsi="Arial"/>
          <w:sz w:val="18"/>
          <w:szCs w:val="18"/>
          <w:color w:val="auto"/>
        </w:rPr>
        <w:t>co-founded Asana and has served as a member of our board of directors since December 2008. Mr. Rosenstein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from February 2009 to October 2010, and as our President from October 2010 to February 2019. Previously, Mr. Rosenstein served as an Engineer and Engineering Manager at Facebook, Inc., a social media and networking company, from May 2007 to November 2008, and as a Product Manager at Google Inc., a multinational technology company, from March 2004 to April 2007. Mr. Rosenstein holds a B.S. in mathematics from Stanford University.</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that Mr. Rosenstein is qualified to serve as a member of our board of directors due to the perspective and experience he brings as our co-founder and former President.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Pursuant to a voting agreement, Messrs. Cohler, Moskovitz, Rosenstein, and D’Angelo have been designated to serve as members of our board of directors. Mr. Cohler was designated as a representative of holders of our Series A preferred stock, and Mr. Moskovitz and Mr. Rosenstein were each designated as a representative of the holders of the common stock and Series 1 preferred stock. Mr. D’Angelo was designated by unanimous consent of Mr. Moskovitz and Mr. Rosenstein. Mmes. Carey, Raimondi, and Norrington were appointed by our board of directors as independent directors. The provisions of the voting agreement by which the directors are currently elected will terminate, and there will be no contractual obligations regarding the election of our directors, upon the effectiveness of the registration statement of which this prospectus forms a part.</w:t>
      </w:r>
    </w:p>
    <w:p>
      <w:pPr>
        <w:spacing w:after="0" w:line="164"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After the effectiveness of the registration statement of which this prospectus forms a part, the number of directors will be fixed by our board of directors, subject to the terms of our amended and restated bylaws and amended and restated certificate of incorporation that will become effective in connection with the effectiveness of the registration statement of which this prospectus forms a part.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which will be in effect upon the effectiveness of the registration statement of which this prospectus forms a part,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of stockholders following election. Our directors will be divided among the three classes as follows:</w:t>
      </w:r>
    </w:p>
    <w:p>
      <w:pPr>
        <w:spacing w:after="0" w:line="9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 and</w:t>
            </w:r>
          </w:p>
        </w:tc>
        <w:tc>
          <w:tcPr>
            <w:tcW w:w="6400" w:type="dxa"/>
            <w:vAlign w:val="bottom"/>
          </w:tcPr>
          <w:p>
            <w:pPr>
              <w:ind w:left="580"/>
              <w:spacing w:after="0"/>
              <w:rPr>
                <w:sz w:val="20"/>
                <w:szCs w:val="20"/>
                <w:color w:val="auto"/>
              </w:rPr>
            </w:pPr>
            <w:r>
              <w:rPr>
                <w:rFonts w:ascii="Arial" w:cs="Arial" w:eastAsia="Arial" w:hAnsi="Arial"/>
                <w:sz w:val="18"/>
                <w:szCs w:val="18"/>
                <w:color w:val="auto"/>
                <w:w w:val="92"/>
              </w:rPr>
              <w:t>, and their terms will expire at our first annual meeting of stockholders following</w:t>
            </w:r>
          </w:p>
        </w:tc>
      </w:tr>
      <w:tr>
        <w:trPr>
          <w:trHeight w:val="230"/>
        </w:trPr>
        <w:tc>
          <w:tcPr>
            <w:tcW w:w="300" w:type="dxa"/>
            <w:vAlign w:val="bottom"/>
          </w:tcPr>
          <w:p>
            <w:pPr>
              <w:spacing w:after="0"/>
              <w:rPr>
                <w:sz w:val="20"/>
                <w:szCs w:val="20"/>
                <w:color w:val="auto"/>
              </w:rPr>
            </w:pP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the effectiveness of the registration statement of which this prospectus forms a part;</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 directors will be</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and</w:t>
            </w:r>
          </w:p>
        </w:tc>
        <w:tc>
          <w:tcPr>
            <w:tcW w:w="68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 and their terms will expire at our second annual meeting of stockholders following the</w:t>
            </w:r>
          </w:p>
        </w:tc>
      </w:tr>
      <w:tr>
        <w:trPr>
          <w:trHeight w:val="230"/>
        </w:trPr>
        <w:tc>
          <w:tcPr>
            <w:tcW w:w="300" w:type="dxa"/>
            <w:vAlign w:val="bottom"/>
          </w:tcPr>
          <w:p>
            <w:pPr>
              <w:spacing w:after="0"/>
              <w:rPr>
                <w:sz w:val="20"/>
                <w:szCs w:val="20"/>
                <w:color w:val="auto"/>
              </w:rPr>
            </w:pP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 and</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and</w:t>
            </w:r>
          </w:p>
        </w:tc>
        <w:tc>
          <w:tcPr>
            <w:tcW w:w="460" w:type="dxa"/>
            <w:vAlign w:val="bottom"/>
          </w:tcPr>
          <w:p>
            <w:pPr>
              <w:spacing w:after="0"/>
              <w:rPr>
                <w:sz w:val="24"/>
                <w:szCs w:val="24"/>
                <w:color w:val="auto"/>
              </w:rPr>
            </w:pPr>
          </w:p>
        </w:tc>
        <w:tc>
          <w:tcPr>
            <w:tcW w:w="6400" w:type="dxa"/>
            <w:vAlign w:val="bottom"/>
          </w:tcPr>
          <w:p>
            <w:pPr>
              <w:jc w:val="center"/>
              <w:ind w:right="130"/>
              <w:spacing w:after="0"/>
              <w:rPr>
                <w:sz w:val="20"/>
                <w:szCs w:val="20"/>
                <w:color w:val="auto"/>
              </w:rPr>
            </w:pPr>
            <w:r>
              <w:rPr>
                <w:rFonts w:ascii="Arial" w:cs="Arial" w:eastAsia="Arial" w:hAnsi="Arial"/>
                <w:sz w:val="18"/>
                <w:szCs w:val="18"/>
                <w:color w:val="auto"/>
                <w:w w:val="92"/>
              </w:rPr>
              <w:t>, and their terms will expire at our third annual meeting of stockholders following the</w:t>
            </w:r>
          </w:p>
        </w:tc>
      </w:tr>
      <w:tr>
        <w:trPr>
          <w:trHeight w:val="230"/>
        </w:trPr>
        <w:tc>
          <w:tcPr>
            <w:tcW w:w="300" w:type="dxa"/>
            <w:vAlign w:val="bottom"/>
          </w:tcPr>
          <w:p>
            <w:pPr>
              <w:spacing w:after="0"/>
              <w:rPr>
                <w:sz w:val="20"/>
                <w:szCs w:val="20"/>
                <w:color w:val="auto"/>
              </w:rPr>
            </w:pP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w:t>
            </w:r>
          </w:p>
        </w:tc>
      </w:tr>
    </w:tbl>
    <w:p>
      <w:pPr>
        <w:spacing w:after="0" w:line="20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Mmes. Carey, Norrington, and Raimondi and Messrs. Cohler and D’Angelo do not have relationships that would interfere with the exercise of independent judgment in carrying out the responsibilities of a</w:t>
      </w:r>
    </w:p>
    <w:p>
      <w:pPr>
        <w:spacing w:after="0" w:line="2" w:lineRule="exact"/>
        <w:rPr>
          <w:sz w:val="20"/>
          <w:szCs w:val="20"/>
          <w:color w:val="auto"/>
        </w:rPr>
      </w:pPr>
    </w:p>
    <w:p>
      <w:pPr>
        <w:ind w:left="120" w:right="20"/>
        <w:spacing w:after="0" w:line="295" w:lineRule="auto"/>
        <w:rPr>
          <w:sz w:val="20"/>
          <w:szCs w:val="20"/>
          <w:color w:val="auto"/>
        </w:rPr>
      </w:pPr>
      <w:r>
        <w:rPr>
          <w:rFonts w:ascii="Arial" w:cs="Arial" w:eastAsia="Arial" w:hAnsi="Arial"/>
          <w:sz w:val="16"/>
          <w:szCs w:val="16"/>
          <w:color w:val="auto"/>
        </w:rPr>
        <w:t>director and that each of these directors is “independent” as that term is defined under the listing standards of the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audit committee consists of Sydney Carey, Matthew Cohler, and Lorrie Norrington. Our board of directors has determined that each member</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of the audit committee satisfies the independence requirements under the listing standards of the and Rule 10A-3(b)(1) of the Exchange Act. The chair of our audit committee is Ms. Carey. Our board of directors has determined that Ms. Carey is an “audit committee financial expert” within the meaning of SEC regulations. Each member of our audit committee can read and understand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fundamental financial statements in accordance with applicable requirements. In arriving at these determinations, our board of directors has examined each audit committee member’s scope of experience or the nature of his or her employment.</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control procedures, any material issues with such procedures, and any steps taken to deal with such issues when required by applicable law; and</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approving or, as required, pre-approving audit and permissible non-audit services to be performed by the independent registered public accounting firm.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audit committee will operate under a written charter, to be effective prior to the effectiveness of the registration statement of which this</w:t>
      </w:r>
    </w:p>
    <w:p>
      <w:pPr>
        <w:spacing w:after="0" w:line="35" w:lineRule="exact"/>
        <w:rPr>
          <w:sz w:val="20"/>
          <w:szCs w:val="20"/>
          <w:color w:val="auto"/>
        </w:rPr>
      </w:pPr>
    </w:p>
    <w:p>
      <w:pPr>
        <w:ind w:left="120"/>
        <w:spacing w:after="0"/>
        <w:tabs>
          <w:tab w:leader="none" w:pos="6260" w:val="left"/>
        </w:tabs>
        <w:rPr>
          <w:sz w:val="20"/>
          <w:szCs w:val="20"/>
          <w:color w:val="auto"/>
        </w:rPr>
      </w:pPr>
      <w:r>
        <w:rPr>
          <w:rFonts w:ascii="Arial" w:cs="Arial" w:eastAsia="Arial" w:hAnsi="Arial"/>
          <w:sz w:val="18"/>
          <w:szCs w:val="18"/>
          <w:color w:val="auto"/>
        </w:rPr>
        <w:t>prospectus forms a part, that satisfies the applicable listing standards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compensation committee consists of Sydney Carey, Adam D’Angelo, and Anne Raimondi. The chair of our compensation committee is</w:t>
      </w:r>
    </w:p>
    <w:p>
      <w:pPr>
        <w:spacing w:after="0" w:line="35" w:lineRule="exact"/>
        <w:rPr>
          <w:sz w:val="20"/>
          <w:szCs w:val="20"/>
          <w:color w:val="auto"/>
        </w:rPr>
      </w:pPr>
    </w:p>
    <w:p>
      <w:pPr>
        <w:ind w:left="660" w:hanging="539"/>
        <w:spacing w:after="0" w:line="260" w:lineRule="auto"/>
        <w:rPr>
          <w:sz w:val="20"/>
          <w:szCs w:val="20"/>
          <w:color w:val="auto"/>
        </w:rPr>
      </w:pPr>
      <w:r>
        <w:rPr>
          <w:rFonts w:ascii="Arial" w:cs="Arial" w:eastAsia="Arial" w:hAnsi="Arial"/>
          <w:sz w:val="18"/>
          <w:szCs w:val="18"/>
          <w:color w:val="auto"/>
        </w:rPr>
        <w:t>Ms. Raimondi. Our board of directors has determined that each member of the compensation committee is independent under the listing standards of the , and a “non-employee director” as defined in Rule 16b-3 promulgated under the Exchange Act.</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31" w:lineRule="exact"/>
        <w:rPr>
          <w:sz w:val="20"/>
          <w:szCs w:val="20"/>
          <w:color w:val="auto"/>
        </w:rPr>
      </w:pPr>
    </w:p>
    <w:p>
      <w:pPr>
        <w:ind w:left="1080" w:right="26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approving, and determining, or recommending to our board of directors, the compensation of our chief executive officer and other executive officers;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adopting, amending, and terminating, or recommending to our board of directors, incentive compensation and equity plans, severance agreements, profit sharing plans, bonus plans, change-of-control protections, and any other compensatory arrangements for our executive officers and other senior management;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compensation committee will operate under a written charter, to be effective prior to the effectiveness of the registration statement of which</w:t>
      </w:r>
    </w:p>
    <w:p>
      <w:pPr>
        <w:spacing w:after="0" w:line="46" w:lineRule="exact"/>
        <w:rPr>
          <w:sz w:val="20"/>
          <w:szCs w:val="20"/>
          <w:color w:val="auto"/>
        </w:rPr>
      </w:pPr>
    </w:p>
    <w:p>
      <w:pPr>
        <w:ind w:left="120"/>
        <w:spacing w:after="0"/>
        <w:tabs>
          <w:tab w:leader="none" w:pos="6740" w:val="left"/>
        </w:tabs>
        <w:rPr>
          <w:sz w:val="20"/>
          <w:szCs w:val="20"/>
          <w:color w:val="auto"/>
        </w:rPr>
      </w:pPr>
      <w:r>
        <w:rPr>
          <w:rFonts w:ascii="Arial" w:cs="Arial" w:eastAsia="Arial" w:hAnsi="Arial"/>
          <w:sz w:val="18"/>
          <w:szCs w:val="18"/>
          <w:color w:val="auto"/>
        </w:rPr>
        <w:t>this prospectus forms a part, that satisfies the applicable listing standards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Our nominating and corporate governance committee consists of Matthew Cohler, Lorrie Norrington, and Anne Raimondi. The chair of our nominating and governance committee is Ms. Norrington. Our board of directors has determined that each member of the nominating and corporate</w:t>
      </w:r>
    </w:p>
    <w:p>
      <w:pPr>
        <w:ind w:left="120"/>
        <w:spacing w:after="0"/>
        <w:tabs>
          <w:tab w:leader="none" w:pos="6120" w:val="left"/>
        </w:tabs>
        <w:rPr>
          <w:sz w:val="20"/>
          <w:szCs w:val="20"/>
          <w:color w:val="auto"/>
        </w:rPr>
      </w:pPr>
      <w:r>
        <w:rPr>
          <w:rFonts w:ascii="Arial" w:cs="Arial" w:eastAsia="Arial" w:hAnsi="Arial"/>
          <w:sz w:val="18"/>
          <w:szCs w:val="18"/>
          <w:color w:val="auto"/>
        </w:rPr>
        <w:t>governance committee is independent under the listing standards of the</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80" w:right="40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leadership of our board of directors and its committees;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developing, and making recommendations to our board of directors regarding corporate governance guidelines and matters;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nominating and corporate governance committee will operate under a written charter, to be effective prior to the effectiveness of the</w:t>
      </w:r>
    </w:p>
    <w:p>
      <w:pPr>
        <w:spacing w:after="0" w:line="35" w:lineRule="exact"/>
        <w:rPr>
          <w:sz w:val="20"/>
          <w:szCs w:val="20"/>
          <w:color w:val="auto"/>
        </w:rPr>
      </w:pPr>
    </w:p>
    <w:p>
      <w:pPr>
        <w:ind w:left="120"/>
        <w:spacing w:after="0"/>
        <w:tabs>
          <w:tab w:leader="none" w:pos="9020" w:val="left"/>
        </w:tabs>
        <w:rPr>
          <w:sz w:val="20"/>
          <w:szCs w:val="20"/>
          <w:color w:val="auto"/>
        </w:rPr>
      </w:pPr>
      <w:r>
        <w:rPr>
          <w:rFonts w:ascii="Arial" w:cs="Arial" w:eastAsia="Arial" w:hAnsi="Arial"/>
          <w:sz w:val="18"/>
          <w:szCs w:val="18"/>
          <w:color w:val="auto"/>
        </w:rPr>
        <w:t>registration statement of which this prospectus forms a part, that satisfies the applicable listing standards of the</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We have adopted a code of business conduct and ethics that will apply to our directors, officers, and employees, including our principal executive officer, principal financial officer, principal accounting officer or controller, or persons performing similar functions. Upon the effectiveness of the registration statement of which this prospectus forms a part, our code of business conduct and ethics will be available under the Corporate Governance section of our website at https://asana.com. In addition, we intend to post on our website all disclosures that are required by law or the listing standards</w:t>
      </w:r>
    </w:p>
    <w:p>
      <w:pPr>
        <w:spacing w:after="0" w:line="1" w:lineRule="exact"/>
        <w:rPr>
          <w:sz w:val="20"/>
          <w:szCs w:val="20"/>
          <w:color w:val="auto"/>
        </w:rPr>
      </w:pPr>
    </w:p>
    <w:p>
      <w:pPr>
        <w:ind w:left="120" w:right="420"/>
        <w:spacing w:after="0" w:line="255" w:lineRule="auto"/>
        <w:rPr>
          <w:sz w:val="20"/>
          <w:szCs w:val="20"/>
          <w:color w:val="auto"/>
        </w:rPr>
      </w:pPr>
      <w:r>
        <w:rPr>
          <w:rFonts w:ascii="Arial" w:cs="Arial" w:eastAsia="Arial" w:hAnsi="Arial"/>
          <w:sz w:val="18"/>
          <w:szCs w:val="18"/>
          <w:color w:val="auto"/>
        </w:rPr>
        <w:t>of the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fiscal 2020, other than Dustin Moskovitz, our Chief Executive Officer, and Justin Rosenstein, who served as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President until February 2019. Neither Mr. Moskovitz nor Mr. Rosenstein received any additional compensation for service as a director for fiscal 2020. The compensation of Mr. Moskovitz, as a named executive officer, is set forth below under “Executive Compensation—Summary Compensation Table.”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760" w:type="dxa"/>
            <w:vAlign w:val="bottom"/>
            <w:vMerge w:val="restart"/>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760" w:type="dxa"/>
            <w:vAlign w:val="bottom"/>
            <w:vMerge w:val="continue"/>
          </w:tcPr>
          <w:p>
            <w:pPr>
              <w:spacing w:after="0"/>
              <w:rPr>
                <w:sz w:val="15"/>
                <w:szCs w:val="15"/>
                <w:color w:val="auto"/>
              </w:rPr>
            </w:pPr>
          </w:p>
        </w:tc>
        <w:tc>
          <w:tcPr>
            <w:tcW w:w="9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(2)</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$ 217,061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$ 217,061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Matthew Cohler</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D’Angelo</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Colin le Duc</w:t>
            </w:r>
            <w:r>
              <w:rPr>
                <w:rFonts w:ascii="Arial" w:cs="Arial" w:eastAsia="Arial" w:hAnsi="Arial"/>
                <w:sz w:val="15"/>
                <w:szCs w:val="15"/>
                <w:color w:val="auto"/>
              </w:rPr>
              <w:t>(3)</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106,340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106,340</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(5)</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217,061</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217,061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20" w:hanging="424"/>
        <w:spacing w:after="0" w:line="224"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reported in these columns represent the aggregate grant-date fair value of equity awards granted under our Amended and Restated 2012 Stock Plan to our directors during fiscal 2020, as computed in accordance with FASB ASC Topic 718. The assumptions used in calculating the dollar amount recognized for financial statement reporting purposes of the equity awards reported in these columns are set forth in Note 10 to our consolidated financial statements included elsewhere in this prospectus. Note that the amounts reported in these columns reflect the accounting cost for these equity awards and do not correspond to the actual economic value that may be received by our directors from the equity awards. As of January 31, 2020, none of our non-employee directors held any equity awards. The option awards granted to Mmes. Carey, Raimondi, and Norrington in fiscal 2020 were early exercised.</w:t>
      </w:r>
    </w:p>
    <w:p>
      <w:pPr>
        <w:spacing w:after="0" w:line="1"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Ms. Carey was appointed to our board of directors in July 2019.</w:t>
      </w:r>
    </w:p>
    <w:p>
      <w:pPr>
        <w:ind w:left="540" w:hanging="424"/>
        <w:spacing w:after="0" w:line="221"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le Duc resigned from our board of directors in November 2019.</w:t>
      </w:r>
    </w:p>
    <w:p>
      <w:pPr>
        <w:ind w:left="540" w:hanging="424"/>
        <w:spacing w:after="0" w:line="221"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Ms. Raimondi was appointed to our board of directors in February 2019.</w:t>
      </w:r>
    </w:p>
    <w:p>
      <w:pPr>
        <w:ind w:left="540" w:hanging="424"/>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Ms. Norrington was appointed to our board of directors in July 2019.</w:t>
      </w:r>
    </w:p>
    <w:p>
      <w:pPr>
        <w:spacing w:after="0" w:line="19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Prior to the effectiveness of the registration statement of which this prospectus forms a part, we did not have a formal policy with respect to compensation payable to our non-employee directors for service as directors. From time to time, we have granted equity awards to certain non-employee directors for their service on our board of directors. In connection with the appointment of each of Ms. Carey, Ms. Norrington, and Ms. Raimondi to our board of directors, we granted the director an early-exercisable option to purchase 50,000 shares of our common stock with an exercise price per share equal to $4.02, $4.02, and $3.70, respectively. Each option vests and becomes exercisable in equal monthly installments over four years from the date the director was appointed to our board, subject to continued service on our board of directors.</w:t>
      </w:r>
    </w:p>
    <w:p>
      <w:pPr>
        <w:spacing w:after="0" w:line="17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also have reimbursed our directors for expenses associated with attending meetings of our board of directors and committees of our board of directors. We anticipate adopting a formal compensation policy for our non-employee directors to provide cash and equity compensation to them following effectiveness of the registration statement of which this prospectus forms a part.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120" w:right="240" w:firstLine="440"/>
        <w:spacing w:after="0" w:line="342" w:lineRule="auto"/>
        <w:rPr>
          <w:sz w:val="20"/>
          <w:szCs w:val="20"/>
          <w:color w:val="auto"/>
        </w:rPr>
      </w:pPr>
      <w:r>
        <w:rPr>
          <w:rFonts w:ascii="Arial" w:cs="Arial" w:eastAsia="Arial" w:hAnsi="Arial"/>
          <w:sz w:val="16"/>
          <w:szCs w:val="16"/>
          <w:color w:val="auto"/>
        </w:rPr>
        <w:t>The following table provides information concerning all plan and non-plan compensation awarded to, earned by, or paid to our Chief Executive Officer and each of our two other most highly compensated officers, whom we collectively refer to as “named executive officers,” during fiscal 2020.</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Non-Equity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980" w:type="dxa"/>
            <w:vAlign w:val="bottom"/>
            <w:vMerge w:val="restart"/>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9"/>
              </w:rPr>
              <w:t>Fiscal Year</w:t>
            </w: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580" w:type="dxa"/>
            <w:vAlign w:val="bottom"/>
            <w:gridSpan w:val="3"/>
          </w:tcPr>
          <w:p>
            <w:pPr>
              <w:jc w:val="center"/>
              <w:ind w:right="560"/>
              <w:spacing w:after="0" w:line="158"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Dustin Moskovitz</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2020</w:t>
            </w: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Chief Executive Officer, and Chair</w:t>
            </w:r>
          </w:p>
        </w:tc>
        <w:tc>
          <w:tcPr>
            <w:tcW w:w="6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740" w:type="dxa"/>
            <w:vAlign w:val="bottom"/>
            <w:gridSpan w:val="2"/>
          </w:tcPr>
          <w:p>
            <w:pPr>
              <w:spacing w:after="0"/>
              <w:rPr>
                <w:sz w:val="20"/>
                <w:szCs w:val="20"/>
                <w:color w:val="auto"/>
              </w:rPr>
            </w:pPr>
            <w:r>
              <w:rPr>
                <w:rFonts w:ascii="Arial" w:cs="Arial" w:eastAsia="Arial" w:hAnsi="Arial"/>
                <w:sz w:val="18"/>
                <w:szCs w:val="18"/>
                <w:color w:val="auto"/>
              </w:rPr>
              <w:t>Eleanor Lacey</w:t>
            </w:r>
            <w:r>
              <w:rPr>
                <w:rFonts w:ascii="Arial" w:cs="Arial" w:eastAsia="Arial" w:hAnsi="Arial"/>
                <w:sz w:val="15"/>
                <w:szCs w:val="15"/>
                <w:color w:val="auto"/>
              </w:rPr>
              <w:t>(3)</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40" w:type="dxa"/>
            <w:vAlign w:val="bottom"/>
            <w:gridSpan w:val="2"/>
          </w:tcPr>
          <w:p>
            <w:pPr>
              <w:ind w:left="180"/>
              <w:spacing w:after="0"/>
              <w:rPr>
                <w:sz w:val="20"/>
                <w:szCs w:val="20"/>
                <w:color w:val="auto"/>
              </w:rPr>
            </w:pPr>
            <w:r>
              <w:rPr>
                <w:rFonts w:ascii="Arial" w:cs="Arial" w:eastAsia="Arial" w:hAnsi="Arial"/>
                <w:sz w:val="18"/>
                <w:szCs w:val="18"/>
                <w:i w:val="1"/>
                <w:iCs w:val="1"/>
                <w:color w:val="auto"/>
              </w:rPr>
              <w:t>General Counsel and Corporate Secretary</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185,769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1,736,491</w:t>
            </w:r>
          </w:p>
        </w:tc>
        <w:tc>
          <w:tcPr>
            <w:tcW w:w="120" w:type="dxa"/>
            <w:vAlign w:val="bottom"/>
          </w:tcPr>
          <w:p>
            <w:pPr>
              <w:spacing w:after="0"/>
              <w:rPr>
                <w:sz w:val="21"/>
                <w:szCs w:val="21"/>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62,754</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1,985,014</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Tim Wan</w:t>
            </w: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333,333</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414,424</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180,600</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928,357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240" w:hanging="424"/>
        <w:spacing w:after="0" w:line="224"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stock options granted under our Amended and Restated 2012 Stock Plan to our named executive officers in fiscal 2020 as computed in accordance with FASB ASC Topic 718. The assumptions used in calculating the dollar amount recognized for financial statement reporting purposes of the equity awards reported in this column are set forth in Note 10 to our consolidated financial statements included elsewhere in this prospectus. Note that the amounts reported in this column reflect the accounting value for these equity awards and may not correspond to the actual economic value that may be received by our named executive officers from the equity awards.</w:t>
      </w:r>
    </w:p>
    <w:p>
      <w:pPr>
        <w:spacing w:after="0" w:line="3" w:lineRule="exact"/>
        <w:rPr>
          <w:rFonts w:ascii="Arial" w:cs="Arial" w:eastAsia="Arial" w:hAnsi="Arial"/>
          <w:sz w:val="14"/>
          <w:szCs w:val="14"/>
          <w:color w:val="auto"/>
        </w:rPr>
      </w:pPr>
    </w:p>
    <w:p>
      <w:pPr>
        <w:ind w:left="540" w:right="320" w:hanging="424"/>
        <w:spacing w:after="0" w:line="221"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 disclosed represents the executive officer’s total bonuses earned for fiscal 2020, as described below under “—Non-Equity Incentive Plan Compensation—Fiscal 2020 Executive Incentive Plan.”</w:t>
      </w:r>
    </w:p>
    <w:p>
      <w:pPr>
        <w:ind w:left="540" w:hanging="424"/>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 Lacey commenced employment with us in July 2019.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Year-End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information regarding the outstanding stock option awards held by our named executive officers as of January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4"/>
          </w:tcPr>
          <w:p>
            <w:pPr>
              <w:ind w:left="4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40" w:type="dxa"/>
            <w:vAlign w:val="bottom"/>
            <w:tcBorders>
              <w:top w:val="single" w:sz="8" w:color="auto"/>
            </w:tcBorders>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2"/>
              </w:rPr>
              <w:t>Number of Securities</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40" w:type="dxa"/>
            <w:vAlign w:val="bottom"/>
            <w:gridSpan w:val="4"/>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Shares that</w:t>
            </w:r>
          </w:p>
        </w:tc>
        <w:tc>
          <w:tcPr>
            <w:tcW w:w="760" w:type="dxa"/>
            <w:vAlign w:val="bottom"/>
            <w:gridSpan w:val="2"/>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Shares that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980" w:type="dxa"/>
            <w:vAlign w:val="bottom"/>
            <w:gridSpan w:val="3"/>
            <w:vMerge w:val="restart"/>
          </w:tcPr>
          <w:p>
            <w:pPr>
              <w:jc w:val="center"/>
              <w:spacing w:after="0" w:line="151"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30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rPr>
              <w:t>Grant</w:t>
            </w:r>
          </w:p>
        </w:tc>
        <w:tc>
          <w:tcPr>
            <w:tcW w:w="1980" w:type="dxa"/>
            <w:vAlign w:val="bottom"/>
            <w:tcBorders>
              <w:bottom w:val="single" w:sz="8" w:color="auto"/>
            </w:tcBorders>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9"/>
              </w:rPr>
              <w:t>Expiration</w:t>
            </w:r>
          </w:p>
        </w:tc>
        <w:tc>
          <w:tcPr>
            <w:tcW w:w="10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5"/>
              </w:rPr>
              <w:t>Have Not</w:t>
            </w:r>
          </w:p>
        </w:tc>
        <w:tc>
          <w:tcPr>
            <w:tcW w:w="7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89"/>
              </w:rPr>
              <w:t>Name</w:t>
            </w:r>
          </w:p>
        </w:tc>
        <w:tc>
          <w:tcPr>
            <w:tcW w:w="3240" w:type="dxa"/>
            <w:vAlign w:val="bottom"/>
          </w:tcPr>
          <w:p>
            <w:pPr>
              <w:spacing w:after="0"/>
              <w:rPr>
                <w:sz w:val="15"/>
                <w:szCs w:val="15"/>
                <w:color w:val="auto"/>
              </w:rPr>
            </w:pPr>
          </w:p>
        </w:tc>
        <w:tc>
          <w:tcPr>
            <w:tcW w:w="130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(1)</w:t>
            </w:r>
          </w:p>
        </w:tc>
        <w:tc>
          <w:tcPr>
            <w:tcW w:w="11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Exercisable</w:t>
            </w:r>
          </w:p>
        </w:tc>
        <w:tc>
          <w:tcPr>
            <w:tcW w:w="102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88"/>
              </w:rPr>
              <w:t>Unexercisable</w:t>
            </w:r>
          </w:p>
        </w:tc>
        <w:tc>
          <w:tcPr>
            <w:tcW w:w="180" w:type="dxa"/>
            <w:vAlign w:val="bottom"/>
          </w:tcPr>
          <w:p>
            <w:pPr>
              <w:spacing w:after="0"/>
              <w:rPr>
                <w:sz w:val="15"/>
                <w:szCs w:val="15"/>
                <w:color w:val="auto"/>
              </w:rPr>
            </w:pPr>
          </w:p>
        </w:tc>
        <w:tc>
          <w:tcPr>
            <w:tcW w:w="86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Price</w:t>
            </w: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Vested</w:t>
            </w: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Dustin Moskovitz</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Eleanor Lacey</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7/30/2019</w:t>
            </w:r>
            <w:r>
              <w:rPr>
                <w:rFonts w:ascii="Arial" w:cs="Arial" w:eastAsia="Arial" w:hAnsi="Arial"/>
                <w:sz w:val="15"/>
                <w:szCs w:val="15"/>
                <w:color w:val="auto"/>
                <w:w w:val="97"/>
              </w:rPr>
              <w:t>(2)</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375,000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  4.02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7/29/2029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Wan</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5/3/2017</w:t>
            </w:r>
            <w:r>
              <w:rPr>
                <w:rFonts w:ascii="Arial" w:cs="Arial" w:eastAsia="Arial" w:hAnsi="Arial"/>
                <w:sz w:val="15"/>
                <w:szCs w:val="15"/>
                <w:color w:val="auto"/>
              </w:rPr>
              <w:t>(3)</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1,145,899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5/02/2027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4/29/2019</w:t>
            </w:r>
            <w:r>
              <w:rPr>
                <w:rFonts w:ascii="Arial" w:cs="Arial" w:eastAsia="Arial" w:hAnsi="Arial"/>
                <w:sz w:val="15"/>
                <w:szCs w:val="15"/>
                <w:color w:val="auto"/>
                <w:w w:val="97"/>
              </w:rPr>
              <w:t>(4)</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189,660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3.70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4/28/2029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100" w:hanging="424"/>
        <w:spacing w:after="0" w:line="244" w:lineRule="auto"/>
        <w:tabs>
          <w:tab w:leader="none" w:pos="5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All of the outstanding equity awards were granted under our Amended and Restated 2012 Stock Plan and are subject to acceleration of vesting as described in “—Employment, Severance, and Change of Control Arrangements” below. 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w:t>
      </w:r>
    </w:p>
    <w:p>
      <w:pPr>
        <w:spacing w:after="0" w:line="1" w:lineRule="exact"/>
        <w:rPr>
          <w:rFonts w:ascii="Arial" w:cs="Arial" w:eastAsia="Arial" w:hAnsi="Arial"/>
          <w:sz w:val="13"/>
          <w:szCs w:val="13"/>
          <w:color w:val="auto"/>
        </w:rPr>
      </w:pPr>
    </w:p>
    <w:p>
      <w:pPr>
        <w:ind w:left="540" w:right="380" w:hanging="424"/>
        <w:spacing w:after="0" w:line="221"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1/4th of the shares subject to the option will vest on July 22, 2020 and an additional 1/48th of the shares will vest monthly thereafter, subject to continued service to us as of each vesting date.</w:t>
      </w:r>
    </w:p>
    <w:p>
      <w:pPr>
        <w:ind w:left="540" w:right="120" w:hanging="424"/>
        <w:spacing w:after="0" w:line="221"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1/4th of the shares subject to the option vested on January 17, 2018 and an additional 1/48th of the shares vest monthly thereafter, subject to continued service to us as of each vesting date.</w:t>
      </w:r>
    </w:p>
    <w:p>
      <w:pPr>
        <w:ind w:left="540" w:right="60" w:hanging="424"/>
        <w:spacing w:after="0" w:line="237"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1/24th of the shares subject to the option will vest on March 1, 2021 and an additional 1/24th of the shares vest monthly thereafter, subject to continued service to us as of each vesting date.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Severance, and Change of Control Arrangements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Offer Letters and Employment Agreements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have entered into offer letters with Mr. Moskovitz, Ms. Lacey, and Mr. Wan. Each of these arrangements provide for at-will employment and generally include the named executive officer’s initial base salary and, in the cases of Ms. Lacey and Mr. Wan, an indication of eligibility for an annual cash incentive award opportunity, and an initial grant of equity awards. In addition, each of our named executive officers has executed our standard confidential information and invention assignment agreement. As discussed in “—Potential Payments upon Termination or Change of Control” below, under our offer letters with Ms. Lacey and Mr. Wan, we have agreed to accelerate the vesting of equity awards if we terminate her or him, as the case may be, under certain circumstances.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offer letters with Ms. Lacey and Mr. Wan provide that if the executive officer is terminated (A) upon the consummation of, or within 12 months following, a change in control transaction and (B) by us without cause or as a result of her or his resignation for good reason, then 100% of the then unvested shares subject to her or his equity awards will immediately vest and become exercisable upon the date of such termination; provided, however, if our successor or any affiliate of such successor does not agree to assume, substitute, or otherwise continue the equity awards at the time of a change in control transaction, and she or he does not voluntarily resign in connection with such change in control transaction without good reason, then 100% of the then unvested shares subject to her or his equity awards shall fully vest and become exercisable immediately prior to, and contingent upon, the consummation of such change in control transaction.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2020 Executive Incentive Plan</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approved an executive incentive plan for our executive leadership team for fiscal 2020, or the FY2020 Bonus Plan. Each participant in the FY2020 Bonus Plan was eligible to receive cash bonuses based on the achievement of certain financial and strategic goals. In addition, to be eligible to earn a bonus under the FY2020 Bonus Plan, a participant had to remain continually employed by, and in good standing with, us through the applicable bonus payment date. Ms. Lacey, our General Counsel and Corporate Secretary, and Mr. Wan, our Chief Financial Officer, participated in our FY2020 Bonus Plan and earned cash bonuses totaling $62,754 and $180,600, respectively, thereunder.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Equity Incentive Plan</w:t>
      </w:r>
    </w:p>
    <w:p>
      <w:pPr>
        <w:sectPr>
          <w:pgSz w:w="11900" w:h="16838" w:orient="portrait"/>
          <w:cols w:equalWidth="0" w:num="1">
            <w:col w:w="11060"/>
          </w:cols>
          <w:pgMar w:left="320" w:top="459" w:right="519" w:bottom="1440" w:gutter="0" w:footer="0" w:header="0"/>
        </w:sectPr>
      </w:pPr>
    </w:p>
    <w:p>
      <w:pPr>
        <w:spacing w:after="0" w:line="117" w:lineRule="exact"/>
        <w:rPr>
          <w:sz w:val="20"/>
          <w:szCs w:val="20"/>
          <w:color w:val="auto"/>
        </w:rPr>
      </w:pPr>
    </w:p>
    <w:p>
      <w:pPr>
        <w:ind w:left="560"/>
        <w:spacing w:after="0"/>
        <w:tabs>
          <w:tab w:leader="none" w:pos="9120" w:val="left"/>
        </w:tabs>
        <w:rPr>
          <w:sz w:val="20"/>
          <w:szCs w:val="20"/>
          <w:color w:val="auto"/>
        </w:rPr>
      </w:pPr>
      <w:r>
        <w:rPr>
          <w:rFonts w:ascii="Arial" w:cs="Arial" w:eastAsia="Arial" w:hAnsi="Arial"/>
          <w:sz w:val="18"/>
          <w:szCs w:val="18"/>
          <w:color w:val="auto"/>
        </w:rPr>
        <w:t>Our board of directors adopted and our stockholders approved our 2020 Equity Incentive Plan, or 2020 Plan, on</w:t>
      </w:r>
      <w:r>
        <w:rPr>
          <w:sz w:val="20"/>
          <w:szCs w:val="20"/>
          <w:color w:val="auto"/>
        </w:rPr>
        <w:tab/>
      </w:r>
      <w:r>
        <w:rPr>
          <w:rFonts w:ascii="Arial" w:cs="Arial" w:eastAsia="Arial" w:hAnsi="Arial"/>
          <w:sz w:val="16"/>
          <w:szCs w:val="16"/>
          <w:color w:val="auto"/>
        </w:rPr>
        <w:t>, 2020 and 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0120" w:space="540"/>
            <w:col w:w="400"/>
          </w:cols>
          <w:pgMar w:left="320" w:top="459" w:right="519" w:bottom="1440" w:gutter="0" w:footer="0" w:header="0"/>
          <w:type w:val="continuous"/>
        </w:sectPr>
      </w:pPr>
    </w:p>
    <w:p>
      <w:pPr>
        <w:ind w:left="120" w:right="540"/>
        <w:spacing w:after="0" w:line="260" w:lineRule="auto"/>
        <w:rPr>
          <w:sz w:val="20"/>
          <w:szCs w:val="20"/>
          <w:color w:val="auto"/>
        </w:rPr>
      </w:pPr>
      <w:r>
        <w:rPr>
          <w:rFonts w:ascii="Arial" w:cs="Arial" w:eastAsia="Arial" w:hAnsi="Arial"/>
          <w:sz w:val="18"/>
          <w:szCs w:val="18"/>
          <w:color w:val="auto"/>
        </w:rPr>
        <w:t>2020, respectively. The 2020 Plan will become effective, and no stock awards may be granted under the 2020 Plan until immediately prior to the effectiveness of the registration statement of which this prospectus forms a part.</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The 2020 Plan provides for the grant of incentive stock options, within the meaning of Section 422 of the Code, or ISOs,</w:t>
      </w:r>
      <w:r>
        <w:rPr>
          <w:rFonts w:ascii="Arial" w:cs="Arial" w:eastAsia="Arial" w:hAnsi="Arial"/>
          <w:sz w:val="18"/>
          <w:szCs w:val="18"/>
          <w:i w:val="1"/>
          <w:iCs w:val="1"/>
          <w:color w:val="auto"/>
        </w:rPr>
        <w:t xml:space="preserve"> </w:t>
      </w:r>
      <w:r>
        <w:rPr>
          <w:rFonts w:ascii="Arial" w:cs="Arial" w:eastAsia="Arial" w:hAnsi="Arial"/>
          <w:sz w:val="18"/>
          <w:szCs w:val="18"/>
          <w:color w:val="auto"/>
        </w:rPr>
        <w:t>nonstatutory stock options, or NSOs, stock appreciation rights, restricted stock awards, RSU awards, performance-based stock awards, and other forms of equity compensation, which are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9" w:right="51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collectively referred to as stock awards. Additionally, the 2020 Plan provides for the grant of performance cash awards. ISOs may be granted only to our employees and to any of our parent or subsidiary corporation’s employees. All other awards may be granted to employees, including officers, and to non-employee directors and consultants of ours and any of our affiliates.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Initially, the aggregate number of shares of our Class A common stock that may be issued pursuant to stock awards under the 2020</w:t>
      </w:r>
    </w:p>
    <w:p>
      <w:pPr>
        <w:spacing w:after="0" w:line="46"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color w:val="auto"/>
        </w:rPr>
        <w:t>Plan is shares. The maximum number of shares that may be issued upon the exercise of ISOs under our 2020 Plan is shares. Additionally, the number of shares of our Class A common stock reserved for issuance under the 2020 Plan will automatically increase on the first day of each fiscal year for 10 years, starting February 1, 2021 (assuming the 2020 Plan becomes effective in fiscal 2021) and ending on and</w:t>
      </w:r>
    </w:p>
    <w:p>
      <w:pPr>
        <w:ind w:left="120"/>
        <w:spacing w:after="0"/>
        <w:tabs>
          <w:tab w:leader="none" w:pos="5020" w:val="left"/>
        </w:tabs>
        <w:rPr>
          <w:sz w:val="20"/>
          <w:szCs w:val="20"/>
          <w:color w:val="auto"/>
        </w:rPr>
      </w:pPr>
      <w:r>
        <w:rPr>
          <w:rFonts w:ascii="Arial" w:cs="Arial" w:eastAsia="Arial" w:hAnsi="Arial"/>
          <w:sz w:val="18"/>
          <w:szCs w:val="18"/>
          <w:color w:val="auto"/>
        </w:rPr>
        <w:t>including February 1, 2030, in an amount equal to the least of (1)</w:t>
      </w:r>
      <w:r>
        <w:rPr>
          <w:sz w:val="20"/>
          <w:szCs w:val="20"/>
          <w:color w:val="auto"/>
        </w:rPr>
        <w:tab/>
      </w:r>
      <w:r>
        <w:rPr>
          <w:rFonts w:ascii="Arial" w:cs="Arial" w:eastAsia="Arial" w:hAnsi="Arial"/>
          <w:sz w:val="16"/>
          <w:szCs w:val="16"/>
          <w:color w:val="auto"/>
        </w:rPr>
        <w:t>% of the total number of shares of our capital stock outstanding on the last day of</w:t>
      </w:r>
    </w:p>
    <w:p>
      <w:pPr>
        <w:spacing w:after="0" w:line="9"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8"/>
          <w:szCs w:val="18"/>
          <w:color w:val="auto"/>
        </w:rPr>
        <w:t>the prior fiscal year, (2)</w:t>
      </w:r>
      <w:r>
        <w:rPr>
          <w:sz w:val="20"/>
          <w:szCs w:val="20"/>
          <w:color w:val="auto"/>
        </w:rPr>
        <w:tab/>
      </w:r>
      <w:r>
        <w:rPr>
          <w:rFonts w:ascii="Arial" w:cs="Arial" w:eastAsia="Arial" w:hAnsi="Arial"/>
          <w:sz w:val="16"/>
          <w:szCs w:val="16"/>
          <w:color w:val="auto"/>
        </w:rPr>
        <w:t>shares, or (3) a number of shares approved by our board of directors.</w:t>
      </w:r>
    </w:p>
    <w:p>
      <w:pPr>
        <w:spacing w:after="0" w:line="21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a stock award granted under the 2020 Plan expires or otherwise terminates without being exercised in full, or is settled in cash, the shares of our Class A common stock not acquired pursuant to the stock award again will become available for subsequent issuance under the 2020 Plan. In addition, the following types of shares under the 2020 Plan may become available for the grant of new stock awards under the 2020 Plan: (1) shares that are forfeited to or repurchased by us prior to becoming fully vested; (2) shares withheld to satisfy income or employment withholding taxes; or (3) shares used to pay the exercise or purchase price of a stock award. Shares issued under the 2020 Plan may be previously unissued shares or reacquired shares bought by us on the open market.</w:t>
      </w:r>
    </w:p>
    <w:p>
      <w:pPr>
        <w:spacing w:after="0" w:line="192"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maximum number of shares of Class A common stock subject to stock awards granted under the 2020 Plan or otherwise during any one calendar year to any non-employee director, taken together with any cash fees paid by us to such non-employee director during such calendar year for</w:t>
      </w:r>
    </w:p>
    <w:p>
      <w:pPr>
        <w:ind w:left="120" w:right="100"/>
        <w:spacing w:after="0" w:line="281" w:lineRule="auto"/>
        <w:rPr>
          <w:sz w:val="20"/>
          <w:szCs w:val="20"/>
          <w:color w:val="auto"/>
        </w:rPr>
      </w:pPr>
      <w:r>
        <w:rPr>
          <w:rFonts w:ascii="Arial" w:cs="Arial" w:eastAsia="Arial" w:hAnsi="Arial"/>
          <w:sz w:val="16"/>
          <w:szCs w:val="16"/>
          <w:color w:val="auto"/>
        </w:rPr>
        <w:t>service on the board of directors, will not exceed $ in total value (calculating the value of any such stock awards based on the grant date fair value of such stock awards for financial reporting purposes), or, with respect to the calendar year in which a non-employee director is first appointed or</w:t>
      </w:r>
    </w:p>
    <w:p>
      <w:pPr>
        <w:spacing w:after="0" w:line="1" w:lineRule="exact"/>
        <w:rPr>
          <w:sz w:val="20"/>
          <w:szCs w:val="20"/>
          <w:color w:val="auto"/>
        </w:rPr>
      </w:pPr>
    </w:p>
    <w:p>
      <w:pPr>
        <w:ind w:left="120"/>
        <w:spacing w:after="0"/>
        <w:tabs>
          <w:tab w:leader="none" w:pos="3120" w:val="left"/>
        </w:tabs>
        <w:rPr>
          <w:sz w:val="20"/>
          <w:szCs w:val="20"/>
          <w:color w:val="auto"/>
        </w:rPr>
      </w:pPr>
      <w:r>
        <w:rPr>
          <w:rFonts w:ascii="Arial" w:cs="Arial" w:eastAsia="Arial" w:hAnsi="Arial"/>
          <w:sz w:val="18"/>
          <w:szCs w:val="18"/>
          <w:color w:val="auto"/>
        </w:rPr>
        <w:t>elected to our board of directors,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a duly authorized committee thereof, has the authority to administer the 2020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also delegate to one or more of our officers the authority to (1) designate employees (other than other officers) to be recipients of certain stock awards, (2) determine the number of shares of Class A common stock to be subject to such stock awards, and (3) specify the other terms and conditions, including the strike price or purchase price and vesting schedule, applicable to such awards. Subject to the terms of the 2020 Plan, our board of directors or the authorized committee, referred to as the plan administrator, determines recipients, dates of grant, the numbers and types of stock awards to be granted, and the terms and conditions of the stock awards, including the period of their exercisability and the vesting schedule applicable to a stock award. Subject to the limitations set forth below, the plan administrator will also determine the exercise price, strike price, or purchase price of stock awards granted, and the types of consideration to be paid for the stock award.</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plan administrator has the authority to modify outstanding stock awards under our 2020 Plan. Subject to the terms of our 2020 Plan, the plan administrator has the authority, without stockholder approval,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evidenced by stock option agreements adopted by the plan administrator. The plan administrator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for a stock option, within the terms and conditions of the 2020 Plan, provided that the exercise price of a stock option generally cannot be less than 100% of the fair market value of our Class A common stock on the date of grant. Options granted under the 2020 Plan vest at the rate specified by the plan administrator.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plan administrator determines the term of stock options granted under the 2020 Plan, up to a maximum of 10 years. Unless the terms of an option holder’s stock option agreement provide otherwise, if an option holder’s service relationship with us, or any of our affiliates, ceases for any reason other than disability, death, or cause, the option holder may generally exercise any vested options for a period of three months following the cessation of service. The option term will automatically be extended in the event that exercise of the option following such a termination of service is prohibited by applicable securities laws or our insider trading policy. If an option holder’s service relationship with us or any of our affiliates ceases due to disability or death, or an option holder dies within a certain period following cessation of service, the option holder or a beneficiary may generally exercise any vested options for a period of 12 months in the event of disability and 18 months in the event of death. In the event of a termination for cause, options generally terminate immediately. In no event may an option be exercised beyond the expiration of its term.</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our Class A common stock previously owned by the option holder, (4) a net exercise of the option if it is an NSO, and (5) other legal consideration approved by the plan administrator.</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the laws of descent and distribution, or pursuant to a domestic relations order. An option holder may designate a beneficiary, however, who may exercise the option following the option holder’s death.</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are evidenced by restricted stock award agreements adopted by the plan administrator.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may be granted in consideration for (1) cash, check, bank draft, or money order, (2) services rendered to us or our affiliates, or (3) any other form of legal consideration. Common stock acquired under a restricted stock award may, but need not, be subject to a share repurchase option in our favor in accordance with a vesting schedule as determined by the plan administrator. Rights to acquire shares under a restricted stock award may be transferred only upon such terms and conditions as set by the plan administrator. Except as otherwise provided in the applicable award agreement, restricted stock awards that have not vested will be forfeited upon the participant’s cessation of continuous service for any reason.</w:t>
      </w:r>
    </w:p>
    <w:p>
      <w:pPr>
        <w:spacing w:after="0" w:line="164" w:lineRule="exact"/>
        <w:rPr>
          <w:sz w:val="20"/>
          <w:szCs w:val="20"/>
          <w:color w:val="auto"/>
        </w:rPr>
      </w:pPr>
    </w:p>
    <w:p>
      <w:pPr>
        <w:ind w:left="120" w:right="440" w:firstLine="440"/>
        <w:spacing w:after="0" w:line="272"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RSU awards are evidenced by RSU award agreements adopted by the plan administrator. RSU awards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in consideration for any form of legal consideration or for no consideration.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Rights under an RSU award may be transferred only upon such terms and conditions as set by the plan administrator. RSU awards may be subject to vesting as determined by the plan administrator. Except as otherwise provided in the applicable award agreement, RSUs that have not vested will be forfeited upon the participant’s cessation of continuous service for any reason.</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evidenced by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strike price for a stock appreciation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right, which generally cannot be less than 100% of the fair market value of our Class A common stock on the date of grant. Upon the exercise of a stock appreciation right, we will pay the participant an amount in cash or stock equal to (1) the excess of the per share fair market value of our Class A common stock on the date of exercise over the strike price, multiplied by (2) the number of shares of Class A common stock with respect to which the stock appreciation right is exercised. A stock appreciation right granted under the 2020 Plan vests at the rate specified in the stock appreciation right agreement as determined by the plan administrator.</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plan administrator determines the term of stock appreciation rights granted under the 2020 Plan, up to a maximum of 10 years. Unless the terms of a participant’s stock appreciation right agreement provides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will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Unless the plan administrator provides otherwise, stock appreciation rights generally are not transferable except by will, the laws of descent and distribution, or pursuant to a domestic relations order. A stock appreciation right holder may designate a beneficiary, however, who may exercise the stock appreciation right following the holder’s death.</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Our 2020 Plan permits the grant of performance-based stock and cash awards. The performance goals may be any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of performance selected by our board of directors or a committee thereof for the performance period.</w:t>
      </w:r>
    </w:p>
    <w:p>
      <w:pPr>
        <w:spacing w:after="0" w:line="170"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Class A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adjust or eliminate the compensation or economic benefit due upon attainment of the goals. The performance goals may differ from participant to participant and from award to award.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our Class A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stock split or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(1) the class and maximum number of shares reserved for issuance under the 2020 Plan, (2) the class and maximum number of shares by which the share reserve may increase automatically each year, (3) the class and number of shares that may be issued upon the exercise of ISOs, and (4) the class and number of shares and exercise price, strike price, or purchase price, if applicable, of all outstanding stock awards.</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specified significant corporate transactions, the plan administrator has the discretion to take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actions with respect to stock awards:</w:t>
      </w:r>
    </w:p>
    <w:p>
      <w:pPr>
        <w:spacing w:after="0" w:line="76"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entity or parent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the surviving or acquiring entity or parent company;</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accelerate the vesting of the stock award and provide for its termination prior to the effective time of the corporate transaction;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 held by us;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in exchange for such cash consideration, if any, as our board of directors may deem appropriate; or</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 payment equal to the excess of (1) the value of the property the participant would have received upon exercise of the stock award over (2) the exercise price or strike price otherwise payable in connection with the stock award.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plan administrator is not obligated to treat all stock awards, even those that are of the same type, in the same manner.</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Under the 2020 Plan, a significant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8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The plan administrator may provide, in an individual award agreement or in any other written agreement between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and us, that the stock award will be subject to additional acceleration of vesting and exercisability or settlement in the event of a change in control. Under the 2020 Plan, a change in control is generally (1) the acquisition by a person or entity of more than 50% of our combined voting power other than by merger, consolidation, or similar transaction, (2) a consummated merger, consolidation, or similar transaction immediately after which our stockholders cease to own more than 50% of the combined voting power of the surviving entity, (3) a consummated sale, lease, or exclusive license or other disposition of all or substantially all of our consolidated assets, and (4) certain dissolutions, liquidations, and changes in the board of directors.</w:t>
      </w:r>
    </w:p>
    <w:p>
      <w:pPr>
        <w:spacing w:after="0" w:line="16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has the authority to amend, suspend, or terminate our 2020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and provided further that certain types of amendments will require the approval of our stockholders. No ISOs may be granted after the tenth anniversary of the date our board of directors adopts our 2020 Plan.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2009 Stock Plan</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adopted our 2009 Stock Plan on February 4, 2009, which our stockholders approved on the same date, and which has been amended from time to time thereafter. Our 2009 Stock Plan provides for the grant of incentive stock options under Section 422 of the Code to our employees (and those of our subsidiaries) and for the grant of nonstatutory stock options and restricted stock to our employees, directors, and consultants (and those of our subsidiaries). We primarily granted stock options under our 2009 Stock Plan, though we have granted restricted stock under our 2009 Stock Plan as well. We ceased issuing awards under our 2009 Stock Plan upon the implementation of the 2012 Plan, which is described below. However, any outstanding awards granted under our 2009 Stock Plan remain outstanding, subject to the terms of our 2009 Stock Plan and applicable award agreements, until they are exercised or terminated, or until they expire by their terms.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2012 Stock Plan</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board of directors adopted, and our stockholders approved, the 2012 Plan in July 2012. The 2012 Plan has been periodically</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was most recently amended and restated in September 2019. The 2012 Plan will be terminated in connection with, and contingent upon, the effectiveness of the registration statement of which this prospectus forms a part. All outstanding awards granted under the 2012 Plan will remain subject to the terms of the 2012 Plan.</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As of January 31, 2020, there were 4,786,996 shares remaining available for the future grant of stock awards under our 2012 Plan.</w:t>
      </w:r>
      <w:r>
        <w:rPr>
          <w:rFonts w:ascii="Arial" w:cs="Arial" w:eastAsia="Arial" w:hAnsi="Arial"/>
          <w:sz w:val="17"/>
          <w:szCs w:val="17"/>
          <w:i w:val="1"/>
          <w:iCs w:val="1"/>
          <w:color w:val="auto"/>
        </w:rPr>
        <w:t xml:space="preserve"> </w:t>
      </w:r>
      <w:r>
        <w:rPr>
          <w:rFonts w:ascii="Arial" w:cs="Arial" w:eastAsia="Arial" w:hAnsi="Arial"/>
          <w:sz w:val="17"/>
          <w:szCs w:val="17"/>
          <w:color w:val="auto"/>
        </w:rPr>
        <w:t>As of January 31, 2020, stock options covering 33,660,264 shares of our common stock and RSUs covering 90,936 shares of our common stock were outstanding under our 2012 Plan. In general, if an award granted under our 2012 Plan is canceled or terminated or otherwise forfeited by a participant, then the number of shares underlying such award will again become available for awards under the 2012 Plan. Following the effectiveness of our 2020 Plan, such shares will again become available for awards under our 2020 Plan.</w:t>
      </w:r>
    </w:p>
    <w:p>
      <w:pPr>
        <w:spacing w:after="0" w:line="176"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The 2012 Plan provides for the grant of incentive stock options, nonstatutory stock options, restricted shares, and RSUs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employees of any parent or our subsidiary or affiliate companies, our directors, and to consultants engaged by us, any parent, or our subsidiary or affiliate companies; provided that incentive stock options may only be granted to our employees and employees of any parent or our subsidiary companies.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plan administrator may grant incentive and/or non-statutory stock options under our 2012 Plan, provided that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are only granted to employees. The exercise price of such options must generally be equal to at least the fair market value of our Class A common stock on the date of grant. The term of an option must not exceed 10 years; provided, however, that an incentive stock option held by a participant who owns more than 10% of the total combined voting power of all classes of our stock, or of certain of our subsidiary corporations, must not have a term in excess of five years and must have an exercise price of at least 110% of the fair market value of our Class A common stock on the grant date. The plan administrator determines the methods of payment of the exercise price of an option. In addition, the plan administrator determines the vesting schedule applicable to options, together with any vesting acceleration, and the terms of the option agreements for use under our 2012 Plan.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w:t>
      </w:r>
    </w:p>
    <w:p>
      <w:pPr>
        <w:spacing w:after="0" w:line="17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2012 Plan. Restricted stock awards are grants of shares of our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subject to various restrictions, including restrictions 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transferability and forfeiture provisions. Shares of restricted stock will vest and the restrictions on such shares will lapse in accordance with terms and conditions established by the plan administrator. The plan administrator, in its sole discretion, may accelerate the time at which any restrictions will lapse or be removed. Recipients of restricted stock awards generally will have the same rights as other stockholders with respect to such shares upon grant without regard to vesting, subject to any applicable agreements. Shares of restricted stock that do not vest for any reason will be subject to our right of repurchase or forfeited by the recipient and will revert to us. The specific terms will be set forth in an award agreement.</w:t>
      </w:r>
    </w:p>
    <w:p>
      <w:pPr>
        <w:spacing w:after="0" w:line="16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RSUs may be granted under our 2012 Plan. Each RSU granted is a bookkeeping entry representing an amount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one share of our Class A common stock. The administrator determines the terms and conditions of RSUs,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(referred to as the plan administrator for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2012 Plan), administers and interprets the provisions of the 2012 Plan. Under the 2012 Plan, the plan administrator has the authority to, among other things, accelerate the vesting of awards and institute and determine the terms of an option exchange program under which outstanding stock options are exchanged for stock options with a lower exercise price or restricted stock or are amended to decrease the exercise price as a result of a decline in the fair market value of our Class A common stock.</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certain corporate events or changes in our capitalization, the plan administrator will make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one or more of the number and class of shares that may be delivered under the 2012 Plan and/or the number, class, and price of shares covered by each outstanding award.</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dissolution or liquidation, each award will terminate immediately prior to the consummation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unless otherwise determined by the plan administrator.</w:t>
      </w:r>
    </w:p>
    <w:p>
      <w:pPr>
        <w:spacing w:after="0" w:line="170"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(1) a transfer of all or substantially all of our assets, (2) a merger, consolidation, or other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or business combination of us with or into another corporation, entity, or person, or (3) the consummation of a transaction, or series of related transactions, in which any person becomes the beneficial owner, directly or indirectly, of more than 50% of our then outstanding capital stock, each outstanding award shall be treated as the plan administrator determines. Such determination may provide that such outstanding awards will be</w:t>
      </w:r>
    </w:p>
    <w:p>
      <w:pPr>
        <w:spacing w:after="0" w:line="1" w:lineRule="exact"/>
        <w:rPr>
          <w:sz w:val="20"/>
          <w:szCs w:val="20"/>
          <w:color w:val="auto"/>
        </w:rPr>
      </w:pPr>
    </w:p>
    <w:p>
      <w:pPr>
        <w:jc w:val="both"/>
        <w:ind w:left="120" w:right="140" w:hanging="4"/>
        <w:spacing w:after="0" w:line="253" w:lineRule="auto"/>
        <w:tabs>
          <w:tab w:leader="none" w:pos="3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continued if we are the surviving corporation, (2) assumed by the surviving corporation or its parent, (3) substituted by the surviving corporation or its parent for a new award, (4) canceled in exchange for a payment equal to the excess of the fair market value of our shares subject to such award over the exercise price or purchase price paid for such shares, if any, or if such award is “underwater,” canceled for no consideration, or (5) canceled for no consideration.</w:t>
      </w:r>
    </w:p>
    <w:p>
      <w:pPr>
        <w:spacing w:after="0" w:line="193"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may at any time amend or terminate the 2012 Plan, provided such action does not materially</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adversely affect the rights of any participant without his or her consent.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 employees are able to defer compensation up to certain limits imposed by the Code.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Section 501(a) of the Code. As a tax-qualified retirement plan, and contributions and earnings on those amounts are generally not taxable to a participating employee until withdrawn or distributed from the 401(k) plan.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Liability and Indemnification Matters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Following the effectiveness of the registration statement of which this prospectus forms a part,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92"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Our amended and restated certificate of incorporation that will be in effect following the effectiveness of the registration statement of which this prospectus forms a part will authorize us to indemnify our directors, officers, employees, and other agents to the fullest extent permitted by Delaware law. Our amended and restated bylaws that will be in effect following the effectiveness of the registration statement of which this prospectus forms a part will provide that we are required to indemnify our directors and officers to the fullest extent permitted by Delaware law and may indemnify our other employees and agents. Our amended and restated bylaws that will be in effect following the effectiveness of the registration statement of which this prospectus forms a part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In addition to the compensation arrangements, including employment and termination of employment arrangements and indemnification agreements described in “Executive Compensation” and the registration rights described in “Description of Capital Stock—Registration Rights,” the following is a description of each transaction since February 1, 2017 and each currently proposed transaction in which:</w:t>
      </w:r>
    </w:p>
    <w:p>
      <w:pPr>
        <w:spacing w:after="0" w:line="71"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 involved exceeds $120,000; and</w:t>
      </w:r>
    </w:p>
    <w:p>
      <w:pPr>
        <w:spacing w:after="0" w:line="130" w:lineRule="exact"/>
        <w:rPr>
          <w:rFonts w:ascii="Arial" w:cs="Arial" w:eastAsia="Arial" w:hAnsi="Arial"/>
          <w:sz w:val="18"/>
          <w:szCs w:val="18"/>
          <w:color w:val="auto"/>
        </w:rPr>
      </w:pPr>
    </w:p>
    <w:p>
      <w:pPr>
        <w:ind w:left="1080" w:right="140" w:hanging="532"/>
        <w:spacing w:after="0" w:line="308"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owners of more than 5% of our capital stock, or any immediate family member of or person sharing the household with any of these individuals, had or will have a direct or indirect material interest.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2017 Convertible Note Financing</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May 2017, we entered into a convertible note purchase agreement with Dustin A. Moskovitz TTEE Dustin A. Moskovitz Trust DTD 12/27/05, or the Dustin Moskovitz Trust. The Dustin Moskovitz Trust is an affiliated trust of Dustin Moskovitz, our President, Chief Executive Officer, and Chair of our board of directors. Pursuant to the convertible note purchase agreement, we agreed to issue and sell convertible notes having an aggregate principal amount of up to $25.0 million to the Dustin Moskovitz Trust. In August 2017, we issued and sold to the Dustin Moskovitz Trust a convertible promissory note in the principal amount of $15.0 million, or the 2017 Note. The 2017 Note accrued interest at 4.25%, compounded annually. The aggregate principal amount and accrued interest on the 2017 Note converted into 2,923,425 shares of our Series D preferred stock at a conversion price of $5.23 per share upon the closing of our Series D preferred stock financing in January 2018.</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D Preferred Stock Financing</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two closings in January 2018, we sold an aggregate of 11,429,642 shares of our Series D preferred stock at a purchase price of $5.23 per share for an aggregate purchase price of approximately $59.7 million. The purchasers of our Series D preferred stock are entitled to specified registration rights. For additional information, see “Description of Capital Stock—Registration Rights.”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summarizes the Series D preferred stock purchased by our directors, executive officers, and beneficial owners of more than 5% of our capital stock. The terms of these purchases were the same for all purchasers of our Series D preferred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stockholder</w:t>
            </w:r>
          </w:p>
        </w:tc>
        <w:tc>
          <w:tcPr>
            <w:tcW w:w="6860" w:type="dxa"/>
            <w:vAlign w:val="bottom"/>
            <w:vMerge w:val="restart"/>
          </w:tcPr>
          <w:p>
            <w:pPr>
              <w:spacing w:after="0"/>
              <w:rPr>
                <w:sz w:val="14"/>
                <w:szCs w:val="1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Shares of Series D</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6860" w:type="dxa"/>
            <w:vAlign w:val="bottom"/>
            <w:vMerge w:val="continue"/>
          </w:tcPr>
          <w:p>
            <w:pPr>
              <w:spacing w:after="0"/>
              <w:rPr>
                <w:sz w:val="15"/>
                <w:szCs w:val="15"/>
                <w:color w:val="auto"/>
              </w:rPr>
            </w:pPr>
          </w:p>
        </w:tc>
        <w:tc>
          <w:tcPr>
            <w:tcW w:w="16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w w:val="99"/>
              </w:rPr>
              <w:t>Preferred Stock</w:t>
            </w:r>
          </w:p>
        </w:tc>
        <w:tc>
          <w:tcPr>
            <w:tcW w:w="12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3"/>
        </w:trPr>
        <w:tc>
          <w:tcPr>
            <w:tcW w:w="8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Dustin A. Moskovitz</w:t>
            </w:r>
            <w:r>
              <w:rPr>
                <w:rFonts w:ascii="Arial" w:cs="Arial" w:eastAsia="Arial" w:hAnsi="Arial"/>
                <w:sz w:val="15"/>
                <w:szCs w:val="15"/>
                <w:color w:val="auto"/>
              </w:rPr>
              <w:t>(1)</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7,109,553</w:t>
            </w:r>
          </w:p>
        </w:tc>
        <w:tc>
          <w:tcPr>
            <w:tcW w:w="4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$ 37,149,995.20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(2)</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6,698,099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34,999,998.69</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(3)</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47,843</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249,997.06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Consists of the Dustin Moskovitz Trust, the Dustin A Moskovitz 2008 Annuity Trust DTD 3/10/08, and Moskovitz Investment Holdings, LLC, each of which are affiliated with</w:t>
      </w:r>
    </w:p>
    <w:p>
      <w:pPr>
        <w:ind w:left="540" w:right="40"/>
        <w:spacing w:after="0" w:line="221" w:lineRule="auto"/>
        <w:rPr>
          <w:rFonts w:ascii="Arial" w:cs="Arial" w:eastAsia="Arial" w:hAnsi="Arial"/>
          <w:sz w:val="14"/>
          <w:szCs w:val="14"/>
          <w:color w:val="auto"/>
        </w:rPr>
      </w:pPr>
      <w:r>
        <w:rPr>
          <w:rFonts w:ascii="Arial" w:cs="Arial" w:eastAsia="Arial" w:hAnsi="Arial"/>
          <w:sz w:val="14"/>
          <w:szCs w:val="14"/>
          <w:color w:val="auto"/>
        </w:rPr>
        <w:t>Mr. Moskovitz. In addition, as noted above, the accrued interest and principal amount of the 2017 Note converted into an additional 2,923,425 shares of our Series D preferred stock in connection with the closing of the Series D preferred stock financing.</w:t>
      </w:r>
    </w:p>
    <w:p>
      <w:pPr>
        <w:ind w:left="540" w:right="260" w:hanging="424"/>
        <w:spacing w:after="0" w:line="221"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540" w:hanging="424"/>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Consists of The Founders Fund IV, LP and The Founders Fund IV Principals Fund, LP.</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 Convertible Note Purchase Agreement</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January 2018, we entered into a convertible note purchase agreement with the Dustin Moskovitz Trust pursuant to which we agreed to issue and sell convertible notes up to an aggregate principal amount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$75.0 million to the Dustin Moskovitz Trust. The parties amended the agreement in June 2019 to increase the borrowing capacity thereunder from $75.0 million to $125.0 million and terminated the agreement upon the issuance of the 2020 Note as defined and described below. No convertible notes were issued or sold pursuant to the convertible note purchase agreement prior to its termination.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E Preferred Stock Financing</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November 2018, we sold an aggregate of 6,229,843 shares of our Series E preferred stock at a purchase price of $8.19 per share for an aggregate purchase price of approximately $51.0 million. The purchasers of our Series E preferred stock are entitled to specified registration rights. For additional information, see “Description of Capital Stock—Registration Rights.”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summarizes the Series E preferred stock purchased by our directors, executive officers, and beneficial owners of more than 5% of our capital stock. The terms of these purchases were the same for all purchasers of our Series E preferred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 of Series E</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Total Purchase</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6720" w:type="dxa"/>
            <w:vAlign w:val="bottom"/>
            <w:vMerge w:val="restart"/>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6720" w:type="dxa"/>
            <w:vAlign w:val="bottom"/>
            <w:vMerge w:val="continue"/>
          </w:tcPr>
          <w:p>
            <w:pPr>
              <w:spacing w:after="0"/>
              <w:rPr>
                <w:sz w:val="15"/>
                <w:szCs w:val="15"/>
                <w:color w:val="auto"/>
              </w:rPr>
            </w:pPr>
          </w:p>
        </w:tc>
        <w:tc>
          <w:tcPr>
            <w:tcW w:w="16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5"/>
                <w:szCs w:val="15"/>
                <w:color w:val="auto"/>
              </w:rPr>
            </w:pPr>
          </w:p>
        </w:tc>
        <w:tc>
          <w:tcPr>
            <w:tcW w:w="124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The Dustin Moskovitz Trust</w:t>
            </w:r>
            <w:r>
              <w:rPr>
                <w:rFonts w:ascii="Arial" w:cs="Arial" w:eastAsia="Arial" w:hAnsi="Arial"/>
                <w:sz w:val="15"/>
                <w:szCs w:val="15"/>
                <w:color w:val="auto"/>
              </w:rPr>
              <w:t>(1)</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855,076</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6,999,995.03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(2)</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3,053,845</w:t>
            </w: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24,999,999.77</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 Capital Partners VI, L.P.</w:t>
            </w:r>
            <w:r>
              <w:rPr>
                <w:rFonts w:ascii="Arial" w:cs="Arial" w:eastAsia="Arial" w:hAnsi="Arial"/>
                <w:sz w:val="15"/>
                <w:szCs w:val="15"/>
                <w:color w:val="auto"/>
              </w:rPr>
              <w:t>(3)</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366,461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2,999,996.70</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(4)</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122,153</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999,993.46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Dustin Moskovitz Trust is affiliated with Mr. Moskovitz.</w:t>
      </w:r>
    </w:p>
    <w:p>
      <w:pPr>
        <w:ind w:left="540" w:right="260" w:hanging="424"/>
        <w:spacing w:after="0" w:line="221" w:lineRule="auto"/>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540" w:right="580" w:hanging="424"/>
        <w:spacing w:after="0" w:line="221" w:lineRule="auto"/>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Benchmark Capital Partners VI, L.P. is a greater than 5% stockholder, and Matthew Cohler, a member of our board of directors, is a managing member of Benchmark Capital Management Co. VI, L.L.C., the general partner of Benchmark Capital Partners VI, L.P.</w:t>
      </w:r>
    </w:p>
    <w:p>
      <w:pPr>
        <w:ind w:left="540" w:hanging="424"/>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The Founders Fund IV, LP and The Founders Fund IV Principals Fund, LP., which together beneficially hold greater than 5% of our capital stock.</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Mandatory Convertible Promissory Note Financing</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January 2020, we issued and sold to the Dustin Moskovitz Trust an unsecured senior mandatory convertible promissory note for an aggregate principal amount of $300.0 million, or the 2020 Note. The Dustin Moskovitz Trust is a trust affiliated with Mr. Moskovitz. The 2020 Note accrues interest at a rate of 3.5% per annum, which will compound annually and (other than in connection with our bankruptcy, insolvency, or other similar events) will mandatorily convert into shares of our Class B common stock. The 2020 Note matures on January 30, 2025, or the Maturity Date, and on the Maturity Date, depending on the trading price of our Class A common stock, we will issue between 11,282,390 and 18,051,810 shares of our Class B common stock upon mandatory conversion of the 2020 Note, subject to customary anti-dilution and other adjustments. However, we may convert the 2020 Note in advance of the Maturity Date, at our option, into 11,282,390 shares of our Class B common stock, subject to customary anti-dilution and other adjustments, if the trading price of our Class A common stock exceeds $31.58 per share (subject to customary anti-dilution and other adjustments in connection with certain extraordinary transactions) for at least 20 trading days in the 30 consecutive trading day period ending on the last trading day of the immediately preceding calendar quarter. The 2020 Note is not transferable except to affiliates, contains no financial or restrictive covenants, and is expressly subordinated in right of payment to any of our existing or future secured indebtedness. Consistent with the terms of the 2020 Note, in April 2020, the trust affiliated with Mr. Moskovitz entered into a subordination agreement with Silicon Valley Bank to confirm the parties’ agreement that the 2020 Note is subordinated to the five-year $40.0 million secured term loan facility. For additional information about the 2020 Note, please refer to the section titled “Description of Capital Stock” or to the 2020 Note, which is included as an exhibit to the registration statement of which this prospectus forms a part.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Transfers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July 23, 2018, entities affiliated with Mr. Moskovitz purchased an aggregate of 58,602 shares of our outstanding Series C preferred stock from a stockholder, at a purchase price of $5.23 per share, for an aggregate purchase price of approximately $0.3 million.</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September 11, 2019, entities affiliated with Mr. Moskovitz purchased an aggregate of 2,344,093 shares of our outstanding Series C preferred stock and 1,777,388 shares of our outstanding Series D preferred stock from other entities affiliated with Mr. Moskovitz, for an aggregate purchase price of approximately $24.7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Offers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April 2018, we entered into a participation agreement with the Dustin Moskovitz Trust, pursuant to which we agreed to waive certain transfer restrictions in connection with a tender offer that the Dustin Moskovitz Trust proposed to commence. In June 2018, the Dustin Moskovitz Trust conducted a tender offer for shares of our outstanding Class A common stock and Class B common stock from our stockholders and purchased an aggregate of approximately 1.5 million shares of our outstanding Class A common stock and Class B common stock from our stockholders, at a purchase price of $4.70 per share, for an aggregate purchase price of approximately $7.1 million. Chris Farinacci, our Chief Operating Officer, sold an aggregate of 212,766 shares of our outstanding Class B common stock for an aggregate purchase price of approximately $1.0 million in the tender offer.</w:t>
      </w:r>
    </w:p>
    <w:p>
      <w:pPr>
        <w:spacing w:after="0" w:line="16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parties conducted a tender offer for shares of our outstanding Class B common stock and Class A common stock from our stockholders and purchased an aggregate of approximately 4.6 million shares of our outstanding Class A common stock and Class B common stock, at a purchase price of $15.82 per share, for an aggregate purchase price of approximately $73.5 million. While Lorrie Norrington, a member of our board of directors, is an operating partner of Lead Edge Capital, she is not an affiliate of Lead Edge Capital. Chris Farinacci and Tim Wan, our Chief Financial Officer, sold 357,969 and 200,000 shares of our outstanding Class B common stock, respectively, for an aggregate purchase price of approximately $8.8 million in the tender offer.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connection with our preferred stock financings, we entered into investors’ rights, voting, and right of first refusal and co-sale agreements containing registration rights, voting rights, and rights of first refusal, among other things, with certain holders of our preferred stock and certain holders of our common stock. The parties to these agreements include entities affiliated with Generation IM Climate Solutions Fund II, L.P., Benchmark Capital Partners VI, L.P., and The Founders Fund, each of which owns more than 5% of our outstanding capital stock, entities affiliated with Mr. Moskovitz and our directors, Adam D’Angelo and Justin Rosenstein. These stockholder agreements will terminate upon the effectiveness of the registration statement of which this prospectus forms a part, except for the registration rights granted under our investors’ rights agreement, as more fully described in “Description of Capital Stock—Registration Rights.” Since February 1, 2017, we have waived our right of first refusal in connection with the sale of certain shares of our capital stock. See the section titled “Principal and Registered Stockholders” for additional information regarding beneficial ownership of our capital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Guaranty of Office Lease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February 2019, Mr. Moskovitz entered into a personal guaranty in favor of the landlord under the office lease for our office space located at 633 Folsom Street, San Francisco, California, in which he has agreed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guarantee unconditionally the full and prompt payment and performance of our obligations to the landlord under the initial 148-month term of the office lease. In addition, we entered into a reimbursement agreement with Mr. Moskovitz which provides, among other things, that we will agree to (i) assign the office lease to Mr. Moskovitz in the event that we fail to reimburse Mr. Moskovitz for certain amounts owed under the reimbursement agreement within 60 days of Mr. Moskovitz’s request therefor, (ii) not amend the office lease in any way that could increase Mr. Moskovitz’s potential obligations thereunder without the prior written consent of Mr. Moskovitz, and (iii) endeavor to find a replacement guarantor in the event that Mr. Moskovitz no longer controls at least 20% of our voting securities, in each case, subject to the terms and conditions therein.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intend to adopt a written related party transactions policy stating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or ratification, as applicable, of our audit committee or the disinterested members of our audit committee in the event it is inappropriate for any member of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or the disinterested members of our audit committee in the event it is inappropriate for any member of our audit committee to review such transaction due to a conflict of interest, for review, consideration, and approval or ratification, as applicable. In approving or rejecting any such proposal, we expect that our audit committee or the disinterested members of our audit committee in the event it is inappropriate for any member of our audit committee to review such transaction due to a conflict of interest, will consider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spacing w:after="0" w:line="186"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Although we have not had a written policy for the review and approval of transactions with related parties to date, our board of directors has historically reviewed and approved any transaction where a director or executive officer had a financial interest, including all of the transactions described above. Prior to approving such a transaction, the material facts as to a director’s or executive officer’s relationship or interest as to the agreement or transaction were disclosed to our board of directors. Our board of directors has taken this information into account when evaluating the transaction and in determining whether such transaction was fair to our company and in the best interest of all of our stockholders.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AND REGISTERED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1080" w:hanging="532"/>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information with respect to the beneficial ownership of our common stock as of January 31, 2020, for: (i) each of our named executive officers; (ii) each of our directors; (iii) all of our directors and executive officers as a group; and (iv) each person known by us to be the beneficial owner of more than five percent of any class of our voting securities;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number of shares of common stock held by and registered for resale by means of this prospectus for the Registered Stockholders.</w:t>
      </w:r>
    </w:p>
    <w:p>
      <w:pPr>
        <w:spacing w:after="0" w:line="248"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Registered Stockholders include (i) our affiliates and certain other stockholders with “restricted securities” (as defined in Rule 144 under the Securities Act)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who acquired shares from us within the prior 12 months under Rule 701 and hold “restricted securities” (as defined in Rule 144 under the Securities Act). The Registered Stockholders may, or may not, elect to sell their shares of Class A common stock covered by this prospectus, as and to the extent</w:t>
      </w:r>
    </w:p>
    <w:p>
      <w:pPr>
        <w:spacing w:after="0" w:line="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they may determine. Such sales, if any, will be made through brokerage transactions on the at prevailing market prices. As such, we will have no input if and when any Registered Stockholder may, or may not, elect to sell their shares of common stock or the prices at which any such sales may occur. Prior to any sales of shares of Class A common stock, Registered Stockholders who hold Class B common stock must convert their shares of Class B common stock into shares of Class A common stock. See the section titled “Plan of Distribution.”</w:t>
      </w:r>
    </w:p>
    <w:p>
      <w:pPr>
        <w:spacing w:after="0" w:line="1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Information concerning the Registered Stockholders may change from time to time and any changed information will be set forth in supplements to this prospectus, if and when necessary. Because the Registered Stockholders who hold Class B common stock may convert their shares of Class B common stock into Class A common stock at any time and the Registered Stockholders may sell all, some, or none of the shares of Class A common stock covered by this prospectus, we cannot determine the number of such shares of Class A common stock that will be sold by the Registered Stockholders, or the amount or percentage of shares of common stock that will be held by the Registered Stockholders, either as Class A common stock or Class B common stock, upon consummation of any particular sale. In addition, the Registered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Registered Stockholders have not, nor have they within the past three years had, any position, office, or other material relationship with us, other than as disclosed in this prospectus. See the sections titled “Management” and “Certain Relationships and Related Party Transactions” for further information regarding the Registered Stockholders.</w:t>
      </w:r>
    </w:p>
    <w:p>
      <w:pPr>
        <w:spacing w:after="0" w:line="18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After the listing of our Class A common stock on the , certain of the Registered Stockholders are entitled to registration rights with respect to their shares of Class B common stock, as described in the section titled “Description of Capital Stock—Registration Rights” at any time beginning 180 days after the date that the registration statement of which this prospectus forms a part is declared effective by the SEC.</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currently intend to use our reasonable efforts to keep the Registration Statement effective for a period of 90 days after the effectiveness of the Registration Statement. As a result, we have registered shares of Class A common stock and Class B common stock currently held by Registered Stockholders, as well as shares of Class A common stock of our affiliates that can vest and settle while the registration statement of which this prospectus forms a part is effective.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are not party to any arrangement with any Registered Stockholder or any broker-dealer with respect to sales of the shares of Class A common stock by the Registered Stockholders. However, we have engaged financial advisors with respect to certain other matters relating to the listing of our</w:t>
      </w:r>
    </w:p>
    <w:p>
      <w:pPr>
        <w:ind w:left="120"/>
        <w:spacing w:after="0"/>
        <w:tabs>
          <w:tab w:leader="none" w:pos="2560" w:val="left"/>
        </w:tabs>
        <w:rPr>
          <w:sz w:val="20"/>
          <w:szCs w:val="20"/>
          <w:color w:val="auto"/>
        </w:rPr>
      </w:pPr>
      <w:r>
        <w:rPr>
          <w:rFonts w:ascii="Arial" w:cs="Arial" w:eastAsia="Arial" w:hAnsi="Arial"/>
          <w:sz w:val="18"/>
          <w:szCs w:val="18"/>
          <w:color w:val="auto"/>
        </w:rPr>
        <w:t>Class A common stock on</w:t>
      </w:r>
      <w:r>
        <w:rPr>
          <w:sz w:val="20"/>
          <w:szCs w:val="20"/>
          <w:color w:val="auto"/>
        </w:rPr>
        <w:tab/>
      </w:r>
      <w:r>
        <w:rPr>
          <w:rFonts w:ascii="Arial" w:cs="Arial" w:eastAsia="Arial" w:hAnsi="Arial"/>
          <w:sz w:val="16"/>
          <w:szCs w:val="16"/>
          <w:color w:val="auto"/>
        </w:rPr>
        <w:t>. See the section titled “Plan of Distribution.”</w:t>
      </w:r>
    </w:p>
    <w:p>
      <w:pPr>
        <w:spacing w:after="0" w:line="21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that are currently exercisable or exercisable within 60 days of January 31, 2020 to be outstanding and to be beneficially owned by the person holding the option for the purpose of computing the percentage ownership of that person. We have deemed shares of our common stock subject to RSUs for which the service condition has been satisfied or would be satisfied within 60 days of January 31, 2020 to be outstanding and to be beneficially owned by the person holding the RSUs for the purpose of computing the percentage ownership of that person. However, we did not deem these shares subject to stock options or RSUs outstanding for the purpose of computing the percentage ownership of any other person.</w:t>
      </w:r>
    </w:p>
    <w:p>
      <w:pPr>
        <w:spacing w:after="0" w:line="19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based percentage ownership of our common stock on 15,498,109 shares of our Class A common stock and 134,766,855 shares of our Class B common stock outstanding as of January 31, 2020, which includes 73,577,455 shares of Class B common stock resulting from the automatic conversion of all outstanding shares of our preferred stock upon the effectiveness of the registration statement of which this prospectus forms a part, as if this conversion had occurred as of January 31, 2020. Unless otherwise indicated, the address of each of the individuals and entities named below is c/o Asana, Inc., 1550 Bryant Street, Suite 200, San Francisco, California 94103.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w w:val="91"/>
              </w:rPr>
              <w:t>Shares Beneficially Owned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6"/>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Percentage</w:t>
            </w:r>
          </w:p>
        </w:tc>
        <w:tc>
          <w:tcPr>
            <w:tcW w:w="8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Class A</w:t>
            </w: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Class B</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 Total</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88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vMerge w:val="restart"/>
          </w:tcPr>
          <w:p>
            <w:pPr>
              <w:jc w:val="center"/>
              <w:ind w:right="260"/>
              <w:spacing w:after="0" w:line="113" w:lineRule="exact"/>
              <w:rPr>
                <w:sz w:val="20"/>
                <w:szCs w:val="20"/>
                <w:color w:val="auto"/>
              </w:rPr>
            </w:pPr>
            <w:r>
              <w:rPr>
                <w:rFonts w:ascii="Arial" w:cs="Arial" w:eastAsia="Arial" w:hAnsi="Arial"/>
                <w:sz w:val="13"/>
                <w:szCs w:val="13"/>
                <w:b w:val="1"/>
                <w:bCs w:val="1"/>
                <w:color w:val="auto"/>
                <w:w w:val="98"/>
              </w:rPr>
              <w:t>Voting</w:t>
            </w:r>
          </w:p>
        </w:tc>
        <w:tc>
          <w:tcPr>
            <w:tcW w:w="800" w:type="dxa"/>
            <w:vAlign w:val="bottom"/>
            <w:gridSpan w:val="2"/>
            <w:vMerge w:val="restart"/>
          </w:tcPr>
          <w:p>
            <w:pPr>
              <w:jc w:val="center"/>
              <w:ind w:right="80"/>
              <w:spacing w:after="0" w:line="113" w:lineRule="exact"/>
              <w:rPr>
                <w:sz w:val="20"/>
                <w:szCs w:val="20"/>
                <w:color w:val="auto"/>
              </w:rPr>
            </w:pPr>
            <w:r>
              <w:rPr>
                <w:rFonts w:ascii="Arial" w:cs="Arial" w:eastAsia="Arial" w:hAnsi="Arial"/>
                <w:sz w:val="13"/>
                <w:szCs w:val="13"/>
                <w:b w:val="1"/>
                <w:bCs w:val="1"/>
                <w:color w:val="auto"/>
                <w:w w:val="97"/>
              </w:rPr>
              <w:t>Stock being</w:t>
            </w: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3880" w:type="dxa"/>
            <w:vAlign w:val="bottom"/>
            <w:vMerge w:val="continue"/>
          </w:tcPr>
          <w:p>
            <w:pPr>
              <w:spacing w:after="0"/>
              <w:rPr>
                <w:sz w:val="5"/>
                <w:szCs w:val="5"/>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4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4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3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Power</w:t>
            </w: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190"/>
        </w:trPr>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right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Dustin A. Moskovitz</w:t>
            </w:r>
            <w:r>
              <w:rPr>
                <w:rFonts w:ascii="Arial" w:cs="Arial" w:eastAsia="Arial" w:hAnsi="Arial"/>
                <w:sz w:val="15"/>
                <w:szCs w:val="15"/>
                <w:color w:val="auto"/>
              </w:rPr>
              <w:t>(1)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1,561,779</w:t>
            </w:r>
          </w:p>
        </w:tc>
        <w:tc>
          <w:tcPr>
            <w:tcW w:w="86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52,930,914</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39.3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Eleanor Lacey</w:t>
            </w:r>
            <w:r>
              <w:rPr>
                <w:rFonts w:ascii="Arial" w:cs="Arial" w:eastAsia="Arial" w:hAnsi="Arial"/>
                <w:sz w:val="15"/>
                <w:szCs w:val="15"/>
                <w:color w:val="auto"/>
              </w:rPr>
              <w:t>(2)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400,000</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Tim Wan</w:t>
            </w:r>
            <w:r>
              <w:rPr>
                <w:rFonts w:ascii="Arial" w:cs="Arial" w:eastAsia="Arial" w:hAnsi="Arial"/>
                <w:sz w:val="15"/>
                <w:szCs w:val="15"/>
                <w:color w:val="auto"/>
              </w:rPr>
              <w:t>(3)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1,748,059</w:t>
            </w:r>
          </w:p>
        </w:tc>
        <w:tc>
          <w:tcPr>
            <w:tcW w:w="86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Rosenstein</w:t>
            </w:r>
            <w:r>
              <w:rPr>
                <w:rFonts w:ascii="Arial" w:cs="Arial" w:eastAsia="Arial" w:hAnsi="Arial"/>
                <w:sz w:val="15"/>
                <w:szCs w:val="15"/>
                <w:color w:val="auto"/>
              </w:rPr>
              <w:t>(4)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575,984</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23,793,011</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Adam D’Angelo</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1,126,580</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Matthew Cohler</w:t>
            </w:r>
            <w:r>
              <w:rPr>
                <w:rFonts w:ascii="Arial" w:cs="Arial" w:eastAsia="Arial" w:hAnsi="Arial"/>
                <w:sz w:val="15"/>
                <w:szCs w:val="15"/>
                <w:color w:val="auto"/>
              </w:rPr>
              <w:t>(6)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14,012,703</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86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(10 persons)</w:t>
            </w:r>
            <w:r>
              <w:rPr>
                <w:rFonts w:ascii="Arial" w:cs="Arial" w:eastAsia="Arial" w:hAnsi="Arial"/>
                <w:sz w:val="15"/>
                <w:szCs w:val="15"/>
                <w:color w:val="auto"/>
              </w:rPr>
              <w:t>(9)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6,913,680</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91,863,208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 Capital Partners VI, L.P.</w:t>
            </w:r>
            <w:r>
              <w:rPr>
                <w:rFonts w:ascii="Arial" w:cs="Arial" w:eastAsia="Arial" w:hAnsi="Arial"/>
                <w:sz w:val="15"/>
                <w:szCs w:val="15"/>
                <w:color w:val="auto"/>
              </w:rPr>
              <w:t>(6)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14,012,703</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(10)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9,751,944</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8,713,329</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Other Registered Stockholders: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Non-Executive Officer and Non-Director Service Providers Holding</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4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All Other Registered Stockholders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 of common stock.</w:t>
      </w:r>
    </w:p>
    <w:p>
      <w:pPr>
        <w:ind w:left="540" w:right="140" w:hanging="424"/>
        <w:spacing w:after="0" w:line="237"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(a) 29,450,115 shares held of record by the Dustin Moskovitz Trust, (b) 2,604,170 shares held of record by the Dustin Moskovitz Roth IRA, and (c) 42,578 shares held of record by Moskovitz Investment Holdings, LLC. Mr. Moskovitz is the trustee of the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80"/>
        <w:spacing w:after="0" w:line="242" w:lineRule="auto"/>
        <w:rPr>
          <w:sz w:val="20"/>
          <w:szCs w:val="20"/>
          <w:color w:val="auto"/>
        </w:rPr>
      </w:pPr>
      <w:r>
        <w:rPr>
          <w:rFonts w:ascii="Arial" w:cs="Arial" w:eastAsia="Arial" w:hAnsi="Arial"/>
          <w:sz w:val="13"/>
          <w:szCs w:val="13"/>
          <w:color w:val="auto"/>
        </w:rPr>
        <w:t>Dustin Moskovitz Trust. Therefore, Mr. Moskovitz may be deemed to have voting power and dispositive power over the shares held by the Dustin Moskovitz Trust. Mr. Moskovitz may be deemed to have voting power and dispositive power over the shares held by the Dustin Moskovitz Roth IRA. Mr. Moskovitz, Adam Moskovitz, and Richard Druckman, the managing members of Moskovitz Investment Holdings, LLC, have shared voting and dispositive power with respect to these shares. The address for Moskovitz Investment Holdings, LLC is 394 Pacific Avenue, 2nd Fl, San Francisco, CA 94111. Does not include between 11,282,390 and 18,051,810 shares of Class B common stock that are issuable on January 30, 2025, the maturity date of a senior mandatory convertible promissory note dated January 30, 2020 held by the Dustin Moskovitz Trust.</w:t>
      </w:r>
    </w:p>
    <w:p>
      <w:pPr>
        <w:spacing w:after="0" w:line="1" w:lineRule="exact"/>
        <w:rPr>
          <w:sz w:val="20"/>
          <w:szCs w:val="20"/>
          <w:color w:val="auto"/>
        </w:rPr>
      </w:pPr>
    </w:p>
    <w:p>
      <w:pPr>
        <w:ind w:left="540" w:right="80" w:hanging="424"/>
        <w:spacing w:after="0" w:line="22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(a) 25,000 shares of Class A common stock, all of which are unvested and subject to repurchase by us, and (b) 375,000 shares of Class A common stock issuable upon the exercise of stock options that are exercisable within 60 days of January 31, 2020, all of which are unvested and subject to repurchase by us.</w:t>
      </w:r>
    </w:p>
    <w:p>
      <w:pPr>
        <w:ind w:left="540" w:right="240" w:hanging="424"/>
        <w:spacing w:after="0" w:line="22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(a) 412,500 shares of Class A common stock, and (b) 1,335,559 shares of Class A common stock issuable upon the exercise of stock options that are exercisable within 60 days of January 31, 2020, of which 555,994 shares are unvested and subject to repurchase by us.</w:t>
      </w:r>
    </w:p>
    <w:p>
      <w:pPr>
        <w:ind w:left="540" w:right="320" w:hanging="424"/>
        <w:spacing w:after="0" w:line="22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(a) 23,793,011 shares of Class B common stock held directly by Mr. Rosenstein and (b) 575,984 shares of Class A common stock issuable to Mr. Rosenstein upon the exercise of stock options that are exercisable within 60 days of January 31, 2020.</w:t>
      </w:r>
    </w:p>
    <w:p>
      <w:pPr>
        <w:ind w:left="540" w:hanging="424"/>
        <w:spacing w:after="0" w:line="22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50,000 shares of Class A common stock, of which 43,750 shares are unvested and subject to repurchase by us.</w:t>
      </w:r>
    </w:p>
    <w:p>
      <w:pPr>
        <w:ind w:left="540" w:right="20" w:hanging="424"/>
        <w:spacing w:after="0" w:line="22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14,012,703 shares of Class B common stock held of record by Benchmark Capital Partners VI, L.P. or BCP VI, for itself and as nominee for Benchmark Founders’ Fund VI, L.P., or BFF VI, Benchmark Founders’ Fund VI-B, L.P., or BFF VI-B, and related individuals. Benchmark Capital Management Co. VI, L.L.C., or BCMC VI, is the general partner of each of BCP VI, BFF VI, and BFF VI-B. Matthew R. Cohler, one of our directors, Alexandre Balkanski, Bruce W. Dunlevie, J. William Gurley, Kevin R. Harvey, Robert C. Kagle, Mitchell H. Lasky, and Steven M. Spurlock are the managing members of BCMC VI and, therefore, may be deemed to hold voting and dispositive power over the shares held by BCP VI. The address of these entities is 2965 Woodside Road, Woodside, CA 94062.</w:t>
      </w:r>
    </w:p>
    <w:p>
      <w:pPr>
        <w:spacing w:after="0" w:line="1"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50,000 shares of Class A common stock, of which 37,500 shares are unvested and subject to repurchase by us.</w:t>
      </w:r>
    </w:p>
    <w:p>
      <w:pPr>
        <w:ind w:left="540" w:hanging="424"/>
        <w:spacing w:after="0" w:line="221"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50,000 shares of Class A common stock, of which 43,750 shares are unvested and subject to repurchase by us.</w:t>
      </w:r>
    </w:p>
    <w:p>
      <w:pPr>
        <w:ind w:left="540" w:hanging="424"/>
        <w:spacing w:after="0"/>
        <w:tabs>
          <w:tab w:leader="none" w:pos="5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(a) 2,302,467 shares of Class A common stock, of which 150,000 shares are unvested and subject to repurchase by us, (b) 91,863,208 shares of Class B common stock, and</w:t>
      </w:r>
    </w:p>
    <w:p>
      <w:pPr>
        <w:spacing w:after="0" w:line="10" w:lineRule="exact"/>
        <w:rPr>
          <w:rFonts w:ascii="Arial" w:cs="Arial" w:eastAsia="Arial" w:hAnsi="Arial"/>
          <w:sz w:val="12"/>
          <w:szCs w:val="12"/>
          <w:color w:val="auto"/>
        </w:rPr>
      </w:pPr>
    </w:p>
    <w:p>
      <w:pPr>
        <w:ind w:left="540" w:right="380"/>
        <w:spacing w:after="0" w:line="221" w:lineRule="auto"/>
        <w:rPr>
          <w:rFonts w:ascii="Arial" w:cs="Arial" w:eastAsia="Arial" w:hAnsi="Arial"/>
          <w:sz w:val="12"/>
          <w:szCs w:val="12"/>
          <w:color w:val="auto"/>
        </w:rPr>
      </w:pPr>
      <w:r>
        <w:rPr>
          <w:rFonts w:ascii="Arial" w:cs="Arial" w:eastAsia="Arial" w:hAnsi="Arial"/>
          <w:sz w:val="14"/>
          <w:szCs w:val="14"/>
          <w:color w:val="auto"/>
        </w:rPr>
        <w:t>(c) 4,611,213 shares of Class A common stock issuable upon the exercise of stock options that are exercisable within 60 days of January 31, 2020, of which 1,722,927 shares are unvested and subject to repurchase by us.</w:t>
      </w:r>
    </w:p>
    <w:p>
      <w:pPr>
        <w:ind w:left="540" w:right="80" w:hanging="424"/>
        <w:spacing w:after="0" w:line="238" w:lineRule="auto"/>
        <w:tabs>
          <w:tab w:leader="none" w:pos="5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Consists of 9,751,944 shares of Class B common stock held of record by Generation IM Climate Solutions Fund II, L.P., or Generation Fund II. The general partner of Generation Fund II is Generation IM Climate Solutions II GP Ltd, which is a wholly owned subsidiary of Generation Investment Management LLP, or Generation Management. Generation Management serves as the investment manager of Generation Fund II. Generation Management, upon approval by its investment committee, makes investment decisions on behalf of Generation Fund II. Colin le Duc, a former member of our board of directors, Hans Mehn, and David Lowish are portfolio managers and make investment proposals on behalf of Generation Fund II. The address for Generation Fund II is P.O. Box 309, Ugland House, Grand Cayman, KY1-1104, Cayman Islands.</w:t>
      </w:r>
    </w:p>
    <w:p>
      <w:pPr>
        <w:spacing w:after="0" w:line="1" w:lineRule="exact"/>
        <w:rPr>
          <w:rFonts w:ascii="Arial" w:cs="Arial" w:eastAsia="Arial" w:hAnsi="Arial"/>
          <w:sz w:val="13"/>
          <w:szCs w:val="13"/>
          <w:color w:val="auto"/>
        </w:rPr>
      </w:pPr>
    </w:p>
    <w:p>
      <w:pPr>
        <w:ind w:left="540" w:right="180" w:hanging="424"/>
        <w:spacing w:after="0" w:line="237" w:lineRule="auto"/>
        <w:tabs>
          <w:tab w:leader="none" w:pos="5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(i) 6,595,990 shares held of record by The Founders Fund IV, LP and (ii) 2,117,339 shares held of record by The Founders Fund IV Principals Fund, LP. The address for the Founders Fund entities is One Letterman Drive, Building D, 5th Floor, San Francisco, CA 94129.</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following description summarizes the most important terms of our capital stock, as they are expected to be in effect following the effectiveness of the registration statement of which this prospectus forms a part. We expect to adopt an amended and restated certificate of incorporation and amended and restated bylaws in connection with this registration,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our amended and restated investor rights’ agreement, which are or will be included as exhibits to the registration statement of which this prospectus forms a part, and to the applicable provisions of Delaware law. Following the effectiveness of the registration statement of which this prospectus forms a part, our authorized capital stock will consist of:</w:t>
      </w:r>
    </w:p>
    <w:p>
      <w:pPr>
        <w:spacing w:after="0" w:line="84" w:lineRule="exact"/>
        <w:rPr>
          <w:sz w:val="20"/>
          <w:szCs w:val="20"/>
          <w:color w:val="auto"/>
        </w:rPr>
      </w:pPr>
    </w:p>
    <w:p>
      <w:pPr>
        <w:ind w:left="1620" w:hanging="1072"/>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of Class A common stock, $0.00001 par value per share,</w:t>
      </w:r>
    </w:p>
    <w:p>
      <w:pPr>
        <w:spacing w:after="0" w:line="130" w:lineRule="exact"/>
        <w:rPr>
          <w:rFonts w:ascii="Arial" w:cs="Arial" w:eastAsia="Arial" w:hAnsi="Arial"/>
          <w:sz w:val="18"/>
          <w:szCs w:val="18"/>
          <w:color w:val="auto"/>
        </w:rPr>
      </w:pPr>
    </w:p>
    <w:p>
      <w:pPr>
        <w:ind w:left="1620" w:hanging="1072"/>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of Class B common stock, $0.00001 par value per share, and</w:t>
      </w:r>
    </w:p>
    <w:p>
      <w:pPr>
        <w:spacing w:after="0" w:line="130" w:lineRule="exact"/>
        <w:rPr>
          <w:rFonts w:ascii="Arial" w:cs="Arial" w:eastAsia="Arial" w:hAnsi="Arial"/>
          <w:sz w:val="18"/>
          <w:szCs w:val="18"/>
          <w:color w:val="auto"/>
        </w:rPr>
      </w:pPr>
    </w:p>
    <w:p>
      <w:pPr>
        <w:ind w:left="1620" w:hanging="1072"/>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 of undesignated preferred stock, $0.00001 par value per share.</w:t>
      </w:r>
    </w:p>
    <w:p>
      <w:pPr>
        <w:spacing w:after="0" w:line="225" w:lineRule="exact"/>
        <w:rPr>
          <w:sz w:val="20"/>
          <w:szCs w:val="20"/>
          <w:color w:val="auto"/>
        </w:rPr>
      </w:pPr>
    </w:p>
    <w:p>
      <w:pPr>
        <w:ind w:left="120" w:right="160" w:firstLine="440"/>
        <w:spacing w:after="0" w:line="287" w:lineRule="auto"/>
        <w:rPr>
          <w:sz w:val="20"/>
          <w:szCs w:val="20"/>
          <w:color w:val="auto"/>
        </w:rPr>
      </w:pPr>
      <w:r>
        <w:rPr>
          <w:rFonts w:ascii="Arial" w:cs="Arial" w:eastAsia="Arial" w:hAnsi="Arial"/>
          <w:sz w:val="16"/>
          <w:szCs w:val="16"/>
          <w:color w:val="auto"/>
        </w:rPr>
        <w:t>Assuming the conversion of all outstanding shares of our preferred stock into shares of our Class B common stock, which will occur upon the effectiveness of the registration statement of which this prospectus forms a part, as of January 31, 2020, there were 15,498,109 shares of our Class A common stock and 134,766,855 shares of Class B common stock outstanding, held by 303 stockholders of record, and no shares of our preferred stock</w:t>
      </w:r>
    </w:p>
    <w:p>
      <w:pPr>
        <w:spacing w:after="0" w:line="2"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color w:val="auto"/>
        </w:rPr>
        <w:t>outstanding. Our board of directors is authorized, without stockholder approval except as required by the listing standards of the , to issue additional shares of our capital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have two classes of authorized common stock, Class A common stock and Class B common stock. Upon the effectiveness of the registration statement of which this prospectus forms a part, all outstanding shares of our preferred stock will be converted into shares of our Class B common stock.</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right="440" w:firstLine="440"/>
        <w:spacing w:after="0" w:line="311" w:lineRule="auto"/>
        <w:rPr>
          <w:sz w:val="20"/>
          <w:szCs w:val="20"/>
          <w:color w:val="auto"/>
        </w:rPr>
      </w:pPr>
      <w:r>
        <w:rPr>
          <w:rFonts w:ascii="Arial" w:cs="Arial" w:eastAsia="Arial" w:hAnsi="Arial"/>
          <w:sz w:val="16"/>
          <w:szCs w:val="16"/>
          <w:color w:val="auto"/>
        </w:rPr>
        <w:t>Subject to preferences that may apply to any shares of preferred stock outstanding at the time, the holders of our Class A common stock and Class B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Holders of our Class A common stock are entitled to one vote per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3" w:lineRule="exact"/>
        <w:rPr>
          <w:sz w:val="20"/>
          <w:szCs w:val="20"/>
          <w:color w:val="auto"/>
        </w:rPr>
      </w:pPr>
    </w:p>
    <w:p>
      <w:pPr>
        <w:ind w:left="1080" w:right="30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Our amended and restated certificate of incorporation will not provide for cumulative voting for the election of directors.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effectiveness of the registration statement of which this prospectus forms a part, except for certain permitted transfers, described in the paragraph that immediately follows this paragraph and further described in our amended and restated certificate of incorporation. Once converted into Class B common stock, the Class A common stock will not be reissued. In addition, each share of Class B common stock will convert</w:t>
      </w:r>
    </w:p>
    <w:p>
      <w:pPr>
        <w:spacing w:after="0" w:line="2" w:lineRule="exact"/>
        <w:rPr>
          <w:sz w:val="20"/>
          <w:szCs w:val="20"/>
          <w:color w:val="auto"/>
        </w:rPr>
      </w:pPr>
    </w:p>
    <w:p>
      <w:pPr>
        <w:ind w:left="120"/>
        <w:spacing w:after="0"/>
        <w:tabs>
          <w:tab w:leader="none" w:pos="7320" w:val="left"/>
          <w:tab w:leader="none" w:pos="10500" w:val="left"/>
        </w:tabs>
        <w:rPr>
          <w:sz w:val="20"/>
          <w:szCs w:val="20"/>
          <w:color w:val="auto"/>
        </w:rPr>
      </w:pPr>
      <w:r>
        <w:rPr>
          <w:rFonts w:ascii="Arial" w:cs="Arial" w:eastAsia="Arial" w:hAnsi="Arial"/>
          <w:sz w:val="18"/>
          <w:szCs w:val="18"/>
          <w:color w:val="auto"/>
        </w:rPr>
        <w:t>automatically into one share of Class A common stock upon the earlier of (i) the date that is</w:t>
      </w:r>
      <w:r>
        <w:rPr>
          <w:sz w:val="20"/>
          <w:szCs w:val="20"/>
          <w:color w:val="auto"/>
        </w:rPr>
        <w:tab/>
      </w:r>
      <w:r>
        <w:rPr>
          <w:rFonts w:ascii="Arial" w:cs="Arial" w:eastAsia="Arial" w:hAnsi="Arial"/>
          <w:sz w:val="18"/>
          <w:szCs w:val="18"/>
          <w:color w:val="auto"/>
        </w:rPr>
        <w:t>or (ii) the later of the date that is (x)</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860" w:hanging="744"/>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over which such holder of Class B common stock retains sole dispositive power and voting control, provided the holder of Class B common stock does not receive consideration in exchange for the transfer (other than as a settlor or beneficiary of such trust); (ii) to a trust for the benefit of persons other than the holder of Class B common stock so long as the holder of Class B common stock retains sole dispositive power and voting control, provided the holder of Class B common stock does not receive consideration in exchange for the transfer (other than as a settlor or beneficiary of such trust);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or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(except as noted above), redemption, or sinking fund provisions.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outstanding shares of our Class A common stock and Class B common stock are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After the effectiveness of the registration statement of which this prospectus forms a part, all of our previously outstanding shares of redeemable convertible preferred stock will have been converted into common stock, there will be no authorized shares of our redeemable convertible preferred stock and we will have no shares of preferred stock outstanding. Under the terms of our amended and restated certificate of incorporation, which will be in effect following the effectiveness of the registration statement of which this prospectus forms a part, our board of directors has the authority, without</w:t>
      </w:r>
    </w:p>
    <w:p>
      <w:pPr>
        <w:spacing w:after="0" w:line="1"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further action by our stockholders, to issue up to shares of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w:t>
      </w:r>
    </w:p>
    <w:p>
      <w:pPr>
        <w:spacing w:after="0" w:line="193"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Class A common stock and the voting and other rights of the holders of Class A and Class B common stock. We have no current plans to issue any shares of preferred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January 31, 2020, we had outstanding options under our equity incentive plans to purchase an aggregate of 33,660,264 shares of our Class A common stock, with a weighted-average exercise price of $2.6120 per share, and an aggregate of 857,226 shares of our Class B common stock, with a weighted-average exercise price of $0.1671 per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of January 31, 2020, we had outstanding RSUs representing an aggregate of 90,936 shares of our Class A common stock, issued pursuant to our 2012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Mandatory Convertible Promissory Note</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As of January 31, 2020, we had outstanding an unsecured senior mandatory convertible promissory note issued to the Dustin Moskovitz Trust for an aggregate principal amount of $300.0 million, or the 2020 Note. The 2020 Note accrues interest at a rate of 3.5% per annum, which will compound annually and (other than in connection with our bankruptcy, insolvency, or other similar events) will mandatorily convert into shares of our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Class B common stock. The 2020 Note matures on January 30, 2025, or the Maturity Date, and on the Maturity Date, the amount of principal and accrued interest will equal $356.3 million, which we refer to as the Conversion Amount.</w:t>
      </w:r>
    </w:p>
    <w:p>
      <w:pPr>
        <w:spacing w:after="0" w:line="17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outstanding at the Maturity Date, the Conversion Amount under the 2020 Note will mandatorily convert into shares of our Class B common stock at a rate equal to the greater of (i) 31.6649 shares per each $1,000 of the Conversion Amount, or the Minimum Conversion Rate, and (ii) the lesser of (a) $1,000 divided by the volume-weighted average price of our Class A common stock for the 20 trading days ending on the last trading day immediately preceding the Maturity Date per $1,000 of the Conversion Amount, and (b) 50.6638 shares per each $1,000 of the Conversion Amount, or the Maximum Conversion Rate. On the Maturity Date, depending on the trading price of our Class A common stock, we will issue between 11,282,390 and 18,051,810 shares of our Class B common stock upon mandatory conversion of the 2020 Note, subject to customary anti-dilution and other adjustments.</w:t>
      </w:r>
    </w:p>
    <w:p>
      <w:pPr>
        <w:spacing w:after="0" w:line="19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in advance of the Maturity Date, at our option, we may convert the Conversion Amount under the 2020 Note into shares of our Class B common stock at the Minimum Conversion Rate at any time during a calendar quarter (prior to the second scheduled trading day immediately preceding the Maturity Date) if the closing trading price of our Class A common stock equals or exceeds $1,000 divided by the Minimum Conversion Rate (initially $31.58 per share subject to customary anti-dilution and other adjustments in connection with certain extraordinary transactions) for 20 or more trading days in the 30 consecutive trading day period ending on the last trading day of the immediately preceding calendar quarter. In the event we experience a change in control, the Conversion Amount under the 2020 Note will convert into shares of our Class B common stock in connection with such acquisition at the Maximum Conversion Rate.</w:t>
      </w:r>
    </w:p>
    <w:p>
      <w:pPr>
        <w:spacing w:after="0" w:line="19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2020 Note is not transferable except to affiliates, contains no financial or restrictive covenants, and is expressly subordinated in right of payment to any of our existing or future secured indebtedness, including our five-year $40.00 million senior secured term loan facility from Silicon Valley Bank. Additionally, the 2020 Note contains limited events of default, including our bankruptcy or insolvency, upon which the principal amount outstanding under the 2020 Note, together with all accrued unpaid interest, become immediately due and payable.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party to an amended and restated investors’ rights agreement that provides that certain holders of our preferred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registration rights set forth in the amended and restated investors’ rights agreement will expire five years following the listing of our Class A</w:t>
      </w:r>
    </w:p>
    <w:p>
      <w:pPr>
        <w:spacing w:after="0" w:line="46" w:lineRule="exact"/>
        <w:rPr>
          <w:sz w:val="20"/>
          <w:szCs w:val="20"/>
          <w:color w:val="auto"/>
        </w:rPr>
      </w:pPr>
    </w:p>
    <w:p>
      <w:pPr>
        <w:ind w:left="120"/>
        <w:spacing w:after="0"/>
        <w:tabs>
          <w:tab w:leader="none" w:pos="2180" w:val="left"/>
        </w:tabs>
        <w:rPr>
          <w:sz w:val="20"/>
          <w:szCs w:val="20"/>
          <w:color w:val="auto"/>
        </w:rPr>
      </w:pPr>
      <w:r>
        <w:rPr>
          <w:rFonts w:ascii="Arial" w:cs="Arial" w:eastAsia="Arial" w:hAnsi="Arial"/>
          <w:sz w:val="18"/>
          <w:szCs w:val="18"/>
          <w:color w:val="auto"/>
        </w:rPr>
        <w:t>common stock on the</w:t>
      </w:r>
      <w:r>
        <w:rPr>
          <w:sz w:val="20"/>
          <w:szCs w:val="20"/>
          <w:color w:val="auto"/>
        </w:rPr>
        <w:tab/>
      </w:r>
      <w:r>
        <w:rPr>
          <w:rFonts w:ascii="Arial" w:cs="Arial" w:eastAsia="Arial" w:hAnsi="Arial"/>
          <w:sz w:val="16"/>
          <w:szCs w:val="16"/>
          <w:color w:val="auto"/>
        </w:rPr>
        <w:t>, or, with respect to any particular stockholder, when such stockholder is able to sell all of its shares pursuant to Rule 144(b)</w:t>
      </w:r>
    </w:p>
    <w:p>
      <w:pPr>
        <w:spacing w:after="0" w:line="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(1)(i) of the Securities Act or holds 1% or less of our common stock and is able to sell all of its Registrable Securities, as defined in the amended and restated investors’ rights agreement, without registration pursuant to Rule 144 of the Securities Act during any three-month period. We will pay the registration expenses (other than underwriting discounts and selling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After the effectiveness of the registration statement of which this prospectus forms a part, the holders of an aggregate of Class B common stock will be entitled to certain demand registration rights. At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shares of our</w:t>
      </w:r>
    </w:p>
    <w:p>
      <w:pPr>
        <w:spacing w:after="0" w:line="408" w:lineRule="exact"/>
        <w:rPr>
          <w:sz w:val="20"/>
          <w:szCs w:val="20"/>
          <w:color w:val="auto"/>
        </w:rPr>
      </w:pPr>
    </w:p>
    <w:p>
      <w:pPr>
        <w:sectPr>
          <w:pgSz w:w="11900" w:h="16838" w:orient="portrait"/>
          <w:cols w:equalWidth="0" w:num="2">
            <w:col w:w="9180" w:space="600"/>
            <w:col w:w="134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20"/>
          </w:cols>
          <w:pgMar w:left="320" w:top="459" w:right="4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any time beginning the six months after the effectiveness of the registration statement of which this prospectus forms a part,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$15.0 million.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After the effectiveness of the registration statement of which this prospectus forms a part, in the event that we propose to register any of our</w:t>
      </w:r>
    </w:p>
    <w:p>
      <w:pPr>
        <w:spacing w:after="0" w:line="35" w:lineRule="exact"/>
        <w:rPr>
          <w:sz w:val="20"/>
          <w:szCs w:val="20"/>
          <w:color w:val="auto"/>
        </w:rPr>
      </w:pPr>
    </w:p>
    <w:p>
      <w:pPr>
        <w:jc w:val="both"/>
        <w:ind w:left="120" w:right="160"/>
        <w:spacing w:after="0" w:line="281" w:lineRule="auto"/>
        <w:rPr>
          <w:sz w:val="20"/>
          <w:szCs w:val="20"/>
          <w:color w:val="auto"/>
        </w:rPr>
      </w:pPr>
      <w:r>
        <w:rPr>
          <w:rFonts w:ascii="Arial" w:cs="Arial" w:eastAsia="Arial" w:hAnsi="Arial"/>
          <w:sz w:val="16"/>
          <w:szCs w:val="16"/>
          <w:color w:val="auto"/>
        </w:rPr>
        <w:t>securities under the Securities Act, either for our own account or for the account of other security holders, the holders of shares of our Class B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w:t>
      </w:r>
    </w:p>
    <w:p>
      <w:pPr>
        <w:spacing w:after="0" w:line="2" w:lineRule="exact"/>
        <w:rPr>
          <w:sz w:val="20"/>
          <w:szCs w:val="20"/>
          <w:color w:val="auto"/>
        </w:rPr>
      </w:pPr>
    </w:p>
    <w:p>
      <w:pPr>
        <w:ind w:left="120" w:right="80" w:hanging="4"/>
        <w:spacing w:after="0" w:line="292" w:lineRule="auto"/>
        <w:tabs>
          <w:tab w:leader="none" w:pos="37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registration relating solely to the sale of securities to participants in our stock plan, (2) a registration relating to a transaction covered by Rule 145 under the Securities Act, (3) a registration in which the only stock being registered is common stock upon conversion of debt securities also being registered, or (4)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560"/>
        <w:spacing w:after="0"/>
        <w:tabs>
          <w:tab w:leader="none" w:pos="9760" w:val="left"/>
        </w:tabs>
        <w:rPr>
          <w:sz w:val="20"/>
          <w:szCs w:val="20"/>
          <w:color w:val="auto"/>
        </w:rPr>
      </w:pPr>
      <w:r>
        <w:rPr>
          <w:rFonts w:ascii="Arial" w:cs="Arial" w:eastAsia="Arial" w:hAnsi="Arial"/>
          <w:sz w:val="18"/>
          <w:szCs w:val="18"/>
          <w:color w:val="auto"/>
        </w:rPr>
        <w:t>After the effectiveness of the registration statement of which this prospectus forms a part, the holders of an aggregate of</w:t>
      </w:r>
      <w:r>
        <w:rPr>
          <w:sz w:val="20"/>
          <w:szCs w:val="20"/>
          <w:color w:val="auto"/>
        </w:rPr>
        <w:tab/>
      </w:r>
      <w:r>
        <w:rPr>
          <w:rFonts w:ascii="Arial" w:cs="Arial" w:eastAsia="Arial" w:hAnsi="Arial"/>
          <w:sz w:val="15"/>
          <w:szCs w:val="15"/>
          <w:color w:val="auto"/>
        </w:rPr>
        <w:t>shares of our</w:t>
      </w:r>
    </w:p>
    <w:p>
      <w:pPr>
        <w:spacing w:after="0" w:line="23"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8"/>
          <w:szCs w:val="18"/>
          <w:color w:val="auto"/>
        </w:rPr>
        <w:t>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$10.0 million. We will not be required to effect more than two registrations on Form S-3 within any 12-month period.</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chairperson of the board, chief executive officer, or president, or by a resolution adopted by a majority of our board of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 (1) any derivative action or proceeding brought on our behalf; (2) any action asserting a claim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The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Charter Provisions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560"/>
        <w:spacing w:after="0"/>
        <w:tabs>
          <w:tab w:leader="none" w:pos="6120" w:val="left"/>
          <w:tab w:leader="none" w:pos="7860" w:val="left"/>
        </w:tabs>
        <w:rPr>
          <w:sz w:val="20"/>
          <w:szCs w:val="20"/>
          <w:color w:val="auto"/>
        </w:rPr>
      </w:pPr>
      <w:r>
        <w:rPr>
          <w:rFonts w:ascii="Arial" w:cs="Arial" w:eastAsia="Arial" w:hAnsi="Arial"/>
          <w:sz w:val="18"/>
          <w:szCs w:val="18"/>
          <w:color w:val="auto"/>
        </w:rPr>
        <w:t>We intend to apply for the listing of our Class A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transfer agent and registrar for our Class and Class B common stock is Computershare Trust Company, N.A. The transfer agent’s address is 250 Royall Street, Canton, Massachusetts 02021, and its telephone number is (800) 962-4284.</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Prior to the listing of our Class A common stock on the ,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Sales of substantial amounts of our Class A common stock in the public market following our listing on</w:t>
      </w:r>
    </w:p>
    <w:p>
      <w:pPr>
        <w:spacing w:after="0" w:line="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the , or the perception that such sales could occur, could adversely affect the trading price of our Class A common stock and may make it more difficult for you to sell your Class A common stock at a time and price that you deem appropriate. We will have no input if and when any Registered Stockholder may, or may not, elect to sell its shares of Class A common stock or the prices at which any such sales may occur. Future sales of our Class A common stock in the public market, or the availability of such shares for sale in the public market, could adversely affect the trading prices of shares of our Class A common stock prevailing from time to time.</w:t>
      </w:r>
    </w:p>
    <w:p>
      <w:pPr>
        <w:spacing w:after="0" w:line="191"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Upon the effectiveness of the registration statement of which this prospectus forms a part, based on the number of shares of our capital stock outstanding as of January 31, 2020, we will have a total of 15,498,109 shares of our Class A common stock and 134,766,855 shares of our Class B common stock outstanding, assuming the automatic conversion of all outstanding shares of our preferred stock into 73,577,455 shares of our Class B common stock upon the effectiveness of the registration statement of which this prospectus forms a part.</w:t>
      </w:r>
    </w:p>
    <w:p>
      <w:pPr>
        <w:spacing w:after="0" w:line="171" w:lineRule="exact"/>
        <w:rPr>
          <w:sz w:val="20"/>
          <w:szCs w:val="20"/>
          <w:color w:val="auto"/>
        </w:rPr>
      </w:pPr>
    </w:p>
    <w:p>
      <w:pPr>
        <w:ind w:left="120" w:right="280" w:firstLine="440"/>
        <w:spacing w:after="0" w:line="287" w:lineRule="auto"/>
        <w:rPr>
          <w:sz w:val="20"/>
          <w:szCs w:val="20"/>
          <w:color w:val="auto"/>
        </w:rPr>
      </w:pPr>
      <w:r>
        <w:rPr>
          <w:rFonts w:ascii="Arial" w:cs="Arial" w:eastAsia="Arial" w:hAnsi="Arial"/>
          <w:sz w:val="16"/>
          <w:szCs w:val="16"/>
          <w:color w:val="auto"/>
        </w:rPr>
        <w:t>Shares of our Class A common stock and Class B common stock will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Following the listing of our Class A common stock on the</w:t>
      </w:r>
    </w:p>
    <w:p>
      <w:pPr>
        <w:spacing w:after="0" w:line="2" w:lineRule="exact"/>
        <w:rPr>
          <w:sz w:val="20"/>
          <w:szCs w:val="20"/>
          <w:color w:val="auto"/>
        </w:rPr>
      </w:pPr>
    </w:p>
    <w:p>
      <w:pPr>
        <w:ind w:left="120" w:right="360" w:firstLine="536"/>
        <w:spacing w:after="0" w:line="260" w:lineRule="auto"/>
        <w:tabs>
          <w:tab w:leader="none" w:pos="7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of our Class A common stock may be sold either by the Registered Stockholders pursuant to this prospectus or by our other existing stockholders in accordance with Rule 144 of the Securities Act.</w:t>
      </w:r>
    </w:p>
    <w:p>
      <w:pPr>
        <w:spacing w:after="0" w:line="18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As further described below, until we have been a reporting company for at least 90 days, only non-affiliates who have beneficially owned their shares of common stock for a period of at least one year will be able to sell their shares of Class A common stock under Rule 144, which is expected to</w:t>
      </w:r>
    </w:p>
    <w:p>
      <w:pPr>
        <w:ind w:left="120"/>
        <w:spacing w:after="0"/>
        <w:tabs>
          <w:tab w:leader="none" w:pos="2240" w:val="left"/>
        </w:tabs>
        <w:rPr>
          <w:sz w:val="20"/>
          <w:szCs w:val="20"/>
          <w:color w:val="auto"/>
        </w:rPr>
      </w:pPr>
      <w:r>
        <w:rPr>
          <w:rFonts w:ascii="Arial" w:cs="Arial" w:eastAsia="Arial" w:hAnsi="Arial"/>
          <w:sz w:val="18"/>
          <w:szCs w:val="18"/>
          <w:color w:val="auto"/>
        </w:rPr>
        <w:t>include approximately</w:t>
      </w:r>
      <w:r>
        <w:rPr>
          <w:sz w:val="20"/>
          <w:szCs w:val="20"/>
          <w:color w:val="auto"/>
        </w:rPr>
        <w:tab/>
      </w:r>
      <w:r>
        <w:rPr>
          <w:rFonts w:ascii="Arial" w:cs="Arial" w:eastAsia="Arial" w:hAnsi="Arial"/>
          <w:sz w:val="16"/>
          <w:szCs w:val="16"/>
          <w:color w:val="auto"/>
        </w:rPr>
        <w:t>shares of common stock immediately after our registration.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7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within any three-month period, a number of shares that does not exceed the greater of:</w:t>
      </w:r>
    </w:p>
    <w:p>
      <w:pPr>
        <w:sectPr>
          <w:pgSz w:w="11900" w:h="16838" w:orient="portrait"/>
          <w:cols w:equalWidth="0" w:num="1">
            <w:col w:w="11100"/>
          </w:cols>
          <w:pgMar w:left="320" w:top="459" w:right="479" w:bottom="1440" w:gutter="0" w:footer="0" w:header="0"/>
        </w:sectPr>
      </w:pP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shares of our Class A common stock then outstanding, which will equal approximately after the effectiveness of the registration statement of which this prospectus forms a part; 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69" w:lineRule="exact"/>
        <w:rPr>
          <w:sz w:val="20"/>
          <w:szCs w:val="20"/>
          <w:color w:val="auto"/>
        </w:rPr>
      </w:pPr>
    </w:p>
    <w:p>
      <w:pPr>
        <w:sectPr>
          <w:pgSz w:w="11900" w:h="16838" w:orient="portrait"/>
          <w:cols w:equalWidth="0" w:num="3">
            <w:col w:w="620" w:space="460"/>
            <w:col w:w="7780" w:space="540"/>
            <w:col w:w="1700"/>
          </w:cols>
          <w:pgMar w:left="320" w:top="459" w:right="479" w:bottom="1440" w:gutter="0" w:footer="0" w:header="0"/>
          <w:type w:val="continuous"/>
        </w:sectPr>
      </w:pPr>
    </w:p>
    <w:p>
      <w:pPr>
        <w:ind w:left="1080" w:right="12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tabs>
          <w:tab w:leader="none" w:pos="7320" w:val="left"/>
        </w:tabs>
        <w:rPr>
          <w:sz w:val="20"/>
          <w:szCs w:val="20"/>
          <w:color w:val="auto"/>
        </w:rPr>
      </w:pPr>
      <w:r>
        <w:rPr>
          <w:rFonts w:ascii="Arial" w:cs="Arial" w:eastAsia="Arial" w:hAnsi="Arial"/>
          <w:sz w:val="18"/>
          <w:szCs w:val="18"/>
          <w:color w:val="auto"/>
        </w:rPr>
        <w:t>Pursuant to our amended and restated investors’ rights agreement, the holders of up to</w:t>
      </w:r>
      <w:r>
        <w:rPr>
          <w:sz w:val="20"/>
          <w:szCs w:val="20"/>
          <w:color w:val="auto"/>
        </w:rPr>
        <w:tab/>
      </w:r>
      <w:r>
        <w:rPr>
          <w:rFonts w:ascii="Arial" w:cs="Arial" w:eastAsia="Arial" w:hAnsi="Arial"/>
          <w:sz w:val="16"/>
          <w:szCs w:val="16"/>
          <w:color w:val="auto"/>
        </w:rPr>
        <w:t>shares of our Class B common stock (including</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shares issuable upon the conversion of our outstanding preferred stock upon the effectiveness of the registration statement of which this prospectus forms a part),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to register all of the shares of our Class A common stock and Class B common stock issuable or reserved for issuance under our 2009 Plan, 2012 Plan, and our 2020 Plan. Shares covered by such registration statement will be eligible for sale in the public market, subject to the Rule 144 limitations and vesting restrictions. As of January 31, 2020, options to purchase a total of 857,226 shares of our Class B common stock pursuant to our 2009 Plan, RSUs and options to purchase a total of 33,660,264 shares of our Class A common stock pursuant to our 2012 Plan were outstanding, and no options or other equity awards were outstanding or exercisable under our 2020 Plan.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SALE PRICE HISTORY OF OUR CAPITAL STOCK</w:t>
      </w:r>
    </w:p>
    <w:p>
      <w:pPr>
        <w:spacing w:after="0" w:line="229"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We intend to apply to list our Class A common stock on the . Prior to the initial listing, no public market existed for our Class A common stock. However, our Class A and Class B common stock (on an as-converted to common stock basis) have a history of trading in private transactions, although such history is limited, as we only recently lifted transfer restrictions on our capital stock in February 2020. The table below shows the high and low sales prices for our Class A and Class B common stock (on an as-converted to common stock basis) in private transactions by our stockholders, for the indicated periods, as well as the volume-weighted average price per share, based on information available to us. This information may have little or no relation to the broader market demand for our Class A common stock and thus the opening trading price and subsequent trading price of our</w:t>
      </w:r>
    </w:p>
    <w:tbl>
      <w:tblPr>
        <w:tblLayout w:type="fixed"/>
        <w:tblInd w:w="120" w:type="dxa"/>
        <w:tblCellMar>
          <w:top w:w="0" w:type="dxa"/>
          <w:left w:w="0" w:type="dxa"/>
          <w:bottom w:w="0" w:type="dxa"/>
          <w:right w:w="0" w:type="dxa"/>
        </w:tblCellMar>
      </w:tblPr>
      <w:tr>
        <w:trPr>
          <w:trHeight w:val="206"/>
        </w:trPr>
        <w:tc>
          <w:tcPr>
            <w:tcW w:w="2400" w:type="dxa"/>
            <w:vAlign w:val="bottom"/>
          </w:tcPr>
          <w:p>
            <w:pPr>
              <w:spacing w:after="0" w:line="206" w:lineRule="exact"/>
              <w:rPr>
                <w:sz w:val="20"/>
                <w:szCs w:val="20"/>
                <w:color w:val="auto"/>
              </w:rPr>
            </w:pPr>
            <w:r>
              <w:rPr>
                <w:rFonts w:ascii="Arial" w:cs="Arial" w:eastAsia="Arial" w:hAnsi="Arial"/>
                <w:sz w:val="18"/>
                <w:szCs w:val="18"/>
                <w:color w:val="auto"/>
                <w:w w:val="99"/>
              </w:rPr>
              <w:t>Class A common stock on the</w:t>
            </w:r>
          </w:p>
        </w:tc>
        <w:tc>
          <w:tcPr>
            <w:tcW w:w="8620" w:type="dxa"/>
            <w:vAlign w:val="bottom"/>
            <w:gridSpan w:val="14"/>
          </w:tcPr>
          <w:p>
            <w:pPr>
              <w:ind w:left="280"/>
              <w:spacing w:after="0" w:line="206" w:lineRule="exact"/>
              <w:rPr>
                <w:sz w:val="20"/>
                <w:szCs w:val="20"/>
                <w:color w:val="auto"/>
              </w:rPr>
            </w:pPr>
            <w:r>
              <w:rPr>
                <w:rFonts w:ascii="Arial" w:cs="Arial" w:eastAsia="Arial" w:hAnsi="Arial"/>
                <w:sz w:val="18"/>
                <w:szCs w:val="18"/>
                <w:color w:val="auto"/>
                <w:w w:val="94"/>
              </w:rPr>
              <w:t>. As a result, you should not place reliance on these historical private sales prices as they may differ materially</w:t>
            </w:r>
          </w:p>
        </w:tc>
        <w:tc>
          <w:tcPr>
            <w:tcW w:w="0" w:type="dxa"/>
            <w:vAlign w:val="bottom"/>
          </w:tcPr>
          <w:p>
            <w:pPr>
              <w:spacing w:after="0"/>
              <w:rPr>
                <w:sz w:val="1"/>
                <w:szCs w:val="1"/>
                <w:color w:val="auto"/>
              </w:rPr>
            </w:pPr>
          </w:p>
        </w:tc>
      </w:tr>
      <w:tr>
        <w:trPr>
          <w:trHeight w:val="216"/>
        </w:trPr>
        <w:tc>
          <w:tcPr>
            <w:tcW w:w="7240" w:type="dxa"/>
            <w:vAlign w:val="bottom"/>
            <w:gridSpan w:val="7"/>
          </w:tcPr>
          <w:p>
            <w:pPr>
              <w:spacing w:after="0"/>
              <w:rPr>
                <w:sz w:val="20"/>
                <w:szCs w:val="20"/>
                <w:color w:val="auto"/>
              </w:rPr>
            </w:pPr>
            <w:r>
              <w:rPr>
                <w:rFonts w:ascii="Arial" w:cs="Arial" w:eastAsia="Arial" w:hAnsi="Arial"/>
                <w:sz w:val="18"/>
                <w:szCs w:val="18"/>
                <w:color w:val="auto"/>
                <w:w w:val="93"/>
              </w:rPr>
              <w:t>from the opening trading price and subsequent trading price of our Class A common stock on the</w:t>
            </w:r>
          </w:p>
        </w:tc>
        <w:tc>
          <w:tcPr>
            <w:tcW w:w="3780" w:type="dxa"/>
            <w:vAlign w:val="bottom"/>
            <w:gridSpan w:val="8"/>
          </w:tcPr>
          <w:p>
            <w:pPr>
              <w:ind w:left="280"/>
              <w:spacing w:after="0"/>
              <w:rPr>
                <w:sz w:val="20"/>
                <w:szCs w:val="20"/>
                <w:color w:val="auto"/>
              </w:rPr>
            </w:pPr>
            <w:r>
              <w:rPr>
                <w:rFonts w:ascii="Arial" w:cs="Arial" w:eastAsia="Arial" w:hAnsi="Arial"/>
                <w:sz w:val="18"/>
                <w:szCs w:val="18"/>
                <w:color w:val="auto"/>
                <w:w w:val="99"/>
              </w:rPr>
              <w:t>. See the section titled “Risk Factors—Risks</w:t>
            </w:r>
          </w:p>
        </w:tc>
        <w:tc>
          <w:tcPr>
            <w:tcW w:w="0" w:type="dxa"/>
            <w:vAlign w:val="bottom"/>
          </w:tcPr>
          <w:p>
            <w:pPr>
              <w:spacing w:after="0"/>
              <w:rPr>
                <w:sz w:val="1"/>
                <w:szCs w:val="1"/>
                <w:color w:val="auto"/>
              </w:rPr>
            </w:pPr>
          </w:p>
        </w:tc>
      </w:tr>
      <w:tr>
        <w:trPr>
          <w:trHeight w:val="216"/>
        </w:trPr>
        <w:tc>
          <w:tcPr>
            <w:tcW w:w="8780" w:type="dxa"/>
            <w:vAlign w:val="bottom"/>
            <w:gridSpan w:val="10"/>
          </w:tcPr>
          <w:p>
            <w:pPr>
              <w:spacing w:after="0"/>
              <w:rPr>
                <w:sz w:val="20"/>
                <w:szCs w:val="20"/>
                <w:color w:val="auto"/>
              </w:rPr>
            </w:pPr>
            <w:r>
              <w:rPr>
                <w:rFonts w:ascii="Arial" w:cs="Arial" w:eastAsia="Arial" w:hAnsi="Arial"/>
                <w:sz w:val="18"/>
                <w:szCs w:val="18"/>
                <w:color w:val="auto"/>
                <w:w w:val="93"/>
              </w:rPr>
              <w:t>Related to Ownership of Our Class A Common Stock—The trading price of our Class A common stock, upon listing on</w:t>
            </w:r>
          </w:p>
        </w:tc>
        <w:tc>
          <w:tcPr>
            <w:tcW w:w="160" w:type="dxa"/>
            <w:vAlign w:val="bottom"/>
          </w:tcPr>
          <w:p>
            <w:pPr>
              <w:spacing w:after="0"/>
              <w:rPr>
                <w:sz w:val="18"/>
                <w:szCs w:val="18"/>
                <w:color w:val="auto"/>
              </w:rPr>
            </w:pPr>
          </w:p>
        </w:tc>
        <w:tc>
          <w:tcPr>
            <w:tcW w:w="2080" w:type="dxa"/>
            <w:vAlign w:val="bottom"/>
            <w:gridSpan w:val="4"/>
          </w:tcPr>
          <w:p>
            <w:pPr>
              <w:ind w:left="220"/>
              <w:spacing w:after="0"/>
              <w:rPr>
                <w:sz w:val="20"/>
                <w:szCs w:val="20"/>
                <w:color w:val="auto"/>
              </w:rPr>
            </w:pPr>
            <w:r>
              <w:rPr>
                <w:rFonts w:ascii="Arial" w:cs="Arial" w:eastAsia="Arial" w:hAnsi="Arial"/>
                <w:sz w:val="18"/>
                <w:szCs w:val="18"/>
                <w:color w:val="auto"/>
              </w:rPr>
              <w:t>, may have little or no</w:t>
            </w:r>
          </w:p>
        </w:tc>
        <w:tc>
          <w:tcPr>
            <w:tcW w:w="0" w:type="dxa"/>
            <w:vAlign w:val="bottom"/>
          </w:tcPr>
          <w:p>
            <w:pPr>
              <w:spacing w:after="0"/>
              <w:rPr>
                <w:sz w:val="1"/>
                <w:szCs w:val="1"/>
                <w:color w:val="auto"/>
              </w:rPr>
            </w:pPr>
          </w:p>
        </w:tc>
      </w:tr>
      <w:tr>
        <w:trPr>
          <w:trHeight w:val="230"/>
        </w:trPr>
        <w:tc>
          <w:tcPr>
            <w:tcW w:w="10180" w:type="dxa"/>
            <w:vAlign w:val="bottom"/>
            <w:gridSpan w:val="13"/>
          </w:tcPr>
          <w:p>
            <w:pPr>
              <w:spacing w:after="0"/>
              <w:rPr>
                <w:sz w:val="20"/>
                <w:szCs w:val="20"/>
                <w:color w:val="auto"/>
              </w:rPr>
            </w:pPr>
            <w:r>
              <w:rPr>
                <w:rFonts w:ascii="Arial" w:cs="Arial" w:eastAsia="Arial" w:hAnsi="Arial"/>
                <w:sz w:val="18"/>
                <w:szCs w:val="18"/>
                <w:color w:val="auto"/>
                <w:w w:val="96"/>
              </w:rPr>
              <w:t>relationship to the historical sales prices of our capital stock in private transactions, and such private transactions have been limited.”</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24"/>
                <w:szCs w:val="2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Volume-</w:t>
            </w: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Weighted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Per Share Sale 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Shares Sold</w:t>
            </w:r>
          </w:p>
        </w:tc>
        <w:tc>
          <w:tcPr>
            <w:tcW w:w="16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800" w:type="dxa"/>
            <w:vAlign w:val="bottom"/>
            <w:tcBorders>
              <w:bottom w:val="single" w:sz="8" w:color="auto"/>
            </w:tcBorders>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460"/>
              <w:spacing w:after="0" w:line="125" w:lineRule="exact"/>
              <w:rPr>
                <w:sz w:val="20"/>
                <w:szCs w:val="20"/>
                <w:color w:val="auto"/>
              </w:rPr>
            </w:pPr>
            <w:r>
              <w:rPr>
                <w:rFonts w:ascii="Arial" w:cs="Arial" w:eastAsia="Arial" w:hAnsi="Arial"/>
                <w:sz w:val="14"/>
                <w:szCs w:val="14"/>
                <w:b w:val="1"/>
                <w:bCs w:val="1"/>
                <w:color w:val="auto"/>
                <w:w w:val="96"/>
              </w:rPr>
              <w:t>in the</w:t>
            </w:r>
          </w:p>
        </w:tc>
        <w:tc>
          <w:tcPr>
            <w:tcW w:w="160" w:type="dxa"/>
            <w:vAlign w:val="bottom"/>
          </w:tcPr>
          <w:p>
            <w:pPr>
              <w:spacing w:after="0"/>
              <w:rPr>
                <w:sz w:val="11"/>
                <w:szCs w:val="11"/>
                <w:color w:val="auto"/>
              </w:rPr>
            </w:pPr>
          </w:p>
        </w:tc>
        <w:tc>
          <w:tcPr>
            <w:tcW w:w="1240" w:type="dxa"/>
            <w:vAlign w:val="bottom"/>
            <w:gridSpan w:val="2"/>
          </w:tcPr>
          <w:p>
            <w:pPr>
              <w:jc w:val="center"/>
              <w:ind w:right="640"/>
              <w:spacing w:after="0" w:line="125"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High</w:t>
            </w:r>
          </w:p>
        </w:tc>
        <w:tc>
          <w:tcPr>
            <w:tcW w:w="3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Low</w:t>
            </w:r>
          </w:p>
        </w:tc>
        <w:tc>
          <w:tcPr>
            <w:tcW w:w="2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(VWAP)</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(Period End)</w:t>
            </w: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w:t>
            </w:r>
          </w:p>
        </w:tc>
        <w:tc>
          <w:tcPr>
            <w:tcW w:w="2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Fiscal 2020</w:t>
            </w:r>
            <w:r>
              <w:rPr>
                <w:rFonts w:ascii="Arial" w:cs="Arial" w:eastAsia="Arial" w:hAnsi="Arial"/>
                <w:sz w:val="15"/>
                <w:szCs w:val="15"/>
                <w:color w:val="auto"/>
              </w:rPr>
              <w:t>(1)</w:t>
            </w:r>
          </w:p>
        </w:tc>
        <w:tc>
          <w:tcPr>
            <w:tcW w:w="3620" w:type="dxa"/>
            <w:vAlign w:val="bottom"/>
            <w:gridSpan w:val="3"/>
          </w:tcPr>
          <w:p>
            <w:pPr>
              <w:jc w:val="right"/>
              <w:ind w:right="320"/>
              <w:spacing w:after="0"/>
              <w:rPr>
                <w:sz w:val="20"/>
                <w:szCs w:val="20"/>
                <w:color w:val="auto"/>
              </w:rPr>
            </w:pPr>
            <w:r>
              <w:rPr>
                <w:rFonts w:ascii="Arial" w:cs="Arial" w:eastAsia="Arial" w:hAnsi="Arial"/>
                <w:sz w:val="18"/>
                <w:szCs w:val="18"/>
                <w:color w:val="auto"/>
              </w:rPr>
              <w:t>$ 15.82</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$ 15.82</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4,647,127</w:t>
            </w:r>
          </w:p>
        </w:tc>
        <w:tc>
          <w:tcPr>
            <w:tcW w:w="140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$ 15.82</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2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First Quarter Fiscal 2021</w:t>
            </w:r>
            <w:r>
              <w:rPr>
                <w:rFonts w:ascii="Arial" w:cs="Arial" w:eastAsia="Arial" w:hAnsi="Arial"/>
                <w:sz w:val="15"/>
                <w:szCs w:val="15"/>
                <w:color w:val="auto"/>
              </w:rPr>
              <w:t>(2)</w:t>
            </w:r>
          </w:p>
        </w:tc>
        <w:tc>
          <w:tcPr>
            <w:tcW w:w="2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Fiscal 2021</w:t>
            </w:r>
          </w:p>
        </w:tc>
        <w:tc>
          <w:tcPr>
            <w:tcW w:w="2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right="40" w:hanging="424"/>
        <w:spacing w:after="0" w:line="244" w:lineRule="auto"/>
        <w:tabs>
          <w:tab w:leader="none" w:pos="5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holders conducted a tender offer for shares of our outstanding Class B common stock and Class A common stock from</w:t>
      </w:r>
    </w:p>
    <w:p>
      <w:pPr>
        <w:spacing w:after="0" w:line="2" w:lineRule="exact"/>
        <w:rPr>
          <w:sz w:val="20"/>
          <w:szCs w:val="20"/>
          <w:color w:val="auto"/>
        </w:rPr>
      </w:pPr>
    </w:p>
    <w:p>
      <w:pPr>
        <w:ind w:left="540" w:right="180"/>
        <w:spacing w:after="0" w:line="221" w:lineRule="auto"/>
        <w:rPr>
          <w:sz w:val="20"/>
          <w:szCs w:val="20"/>
          <w:color w:val="auto"/>
        </w:rPr>
      </w:pPr>
      <w:r>
        <w:rPr>
          <w:rFonts w:ascii="Arial" w:cs="Arial" w:eastAsia="Arial" w:hAnsi="Arial"/>
          <w:sz w:val="14"/>
          <w:szCs w:val="14"/>
          <w:color w:val="auto"/>
        </w:rPr>
        <w:t>our stockholders and purchased an aggregate of 4,647,127 shares of our outstanding Class B common stock and Class A common stock from our stockholders, at a purchase price of $15.82 per share, for an aggregate purchase price of approximately $73.5 million.</w:t>
      </w:r>
    </w:p>
    <w:p>
      <w:pPr>
        <w:spacing w:after="0" w:line="1" w:lineRule="exact"/>
        <w:rPr>
          <w:sz w:val="20"/>
          <w:szCs w:val="20"/>
          <w:color w:val="auto"/>
        </w:rPr>
      </w:pPr>
    </w:p>
    <w:p>
      <w:pPr>
        <w:ind w:left="540" w:right="20" w:hanging="419"/>
        <w:spacing w:after="0" w:line="237" w:lineRule="auto"/>
        <w:tabs>
          <w:tab w:leader="none" w:pos="52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From March 16, 2020 to , 2020, as economic conditions worsened during the COVID-19 pandemic, we restricted the ability of our stockholders to transfer shares of our capital stock at a price per share below $13.04, which was the estimated fair value of our common stock most recently determined by our board of directors.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 FOR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acquisition, ownership, and disposition of our Class A common stock.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or the Code, Treasury Regulations promulgated thereunder, judicial decisions, and published rulings and administrative pronouncements of the Internal Revenue Service, or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prospectus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130"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8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7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a valid IRS Form W-8BEN or IRS Form W-8BEN-E (or applicable successor form) certifying such holder’s qualification for the reduced rate. This certification must be provided to us or our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76" w:lineRule="exact"/>
        <w:rPr>
          <w:sz w:val="20"/>
          <w:szCs w:val="20"/>
          <w:color w:val="auto"/>
        </w:rPr>
      </w:pPr>
    </w:p>
    <w:p>
      <w:pPr>
        <w:ind w:left="1080" w:right="300" w:hanging="532"/>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9"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The withholding provisions described above currently apply to payments of dividends on our Class A common stock. Subject to the recently released proposed Treasury Regulations described below, FATCA will also apply to gross proceeds from sales or other dispositions of our Class A common stock after December 31, 2018. The Treasury Department recently released proposed regulations which, if finalized in their present form, would eliminate the federal withholding tax of 30% applicable to the gross proceeds of a sale or other disposition of our Class A common stock. In its preamble to such proposed regulations, the U.S. Treasury Department stated that taxpayers may generally rely on the proposed regulations until final regulations are issued.</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Registered Stockholders may sell their shares of Class A common stock covered hereby pursuant to brokerage transactions on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public exchanges or registered alternative trading venues, at prevailing market prices at any time after the shares of Class A common stock are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62" w:lineRule="exact"/>
        <w:rPr>
          <w:sz w:val="20"/>
          <w:szCs w:val="20"/>
          <w:color w:val="auto"/>
        </w:rPr>
      </w:pPr>
    </w:p>
    <w:p>
      <w:pPr>
        <w:sectPr>
          <w:pgSz w:w="11900" w:h="16838" w:orient="portrait"/>
          <w:cols w:equalWidth="0" w:num="2">
            <w:col w:w="10780" w:space="0"/>
            <w:col w:w="340"/>
          </w:cols>
          <w:pgMar w:left="320" w:top="459" w:right="459" w:bottom="1440" w:gutter="0" w:footer="0" w:header="0"/>
          <w:type w:val="continuous"/>
        </w:sectPr>
      </w:pPr>
    </w:p>
    <w:p>
      <w:pPr>
        <w:ind w:left="120" w:right="40"/>
        <w:spacing w:after="0" w:line="253" w:lineRule="auto"/>
        <w:rPr>
          <w:sz w:val="20"/>
          <w:szCs w:val="20"/>
          <w:color w:val="auto"/>
        </w:rPr>
      </w:pPr>
      <w:r>
        <w:rPr>
          <w:rFonts w:ascii="Arial" w:cs="Arial" w:eastAsia="Arial" w:hAnsi="Arial"/>
          <w:sz w:val="18"/>
          <w:szCs w:val="18"/>
          <w:color w:val="auto"/>
        </w:rPr>
        <w:t>listed for trading. We are not party to any arrangement with any Registered Stockholder or any broker-dealer with respect to sales of shares of Class A common stock by the Registered Stockholders, except we have engaged financial advisors with respect to certain other matters relating to our listing, as further described below. As such, we will have no input if and when any Registered Stockholder may, or may not, elect to sell their shares of Class A common stock or the prices at which any such sales may occur, and there can be no assurance that any Registered Stockholders will sell any or all of the shares of Class A common stock covered by this prospectus.</w:t>
      </w:r>
    </w:p>
    <w:p>
      <w:pPr>
        <w:spacing w:after="0" w:line="19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will not receive any proceeds from the sale of shares of Class A common stock by the Registered Stockholders. We expect to recognize certain non-recurring costs as part of our transition to a publicly-traded company, consisting of professional fees and other expenses. As part of our direct listing, these fees will be expensed in the period incurred and not deducted from net proceeds to the issuer as they would be in an initial public offering.</w:t>
      </w:r>
    </w:p>
    <w:p>
      <w:pPr>
        <w:spacing w:after="0" w:line="149"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In addition to sales made pursuant to this prospectus, the shares of Class A common stock covered by this prospectus may be sold by the Registered Stockholders in private transactions exempt from the registration requirements of the Securities Act.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Under the securities laws of some states, shares of Class A common stock may be sold in such states only through registered or licensed brokers or dealers.</w:t>
      </w:r>
    </w:p>
    <w:p>
      <w:pPr>
        <w:spacing w:after="0" w:line="170"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If any of the Registered Stockholders utilize a broker-dealer in the sale of the shares of Class A common stock being offered by this prospectus, such broker-dealer may receive commissions in the form of discounts, concessions, or commissions from such Registered Stockholder, or commissions from purchasers of the shares of Class A common stock for whom they may act as agent or to whom they may sell as principal (which discounts, concessions, or commissions as to particular broker-dealers may be in excess of those customary in the types of transactions involved).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Cooley LLP, Palo Alto, California, and Orrick, Herrington &amp; Sutcliffe LLP, Menlo Park, California, are our legal advisors. Latham &amp; Watkins LLP is legal advisor to the financial advisors.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financial statements as of January 31, 2019 and 2020 and for each of the two years in the period ended January 31, 2020 included in this prospectus have been so included in reliance on the report of PricewaterhouseCoopers LLP, an independent registered public accounting firm, given on the authority of said firm as experts in auditing and accounting.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https://asana.com.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vMerge w:val="restart"/>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Report of Independent Registered Public Accounting Firm</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Consolidated Balance Sheet</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Consolidated Statement of Operations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Consolidated Statement of Comprehensive Loss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Consolidated Statement of Redeemable Convertible Preferred Stock and Stockholders’ Deficit</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Consolidated Statement of Cash Flows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30"/>
        </w:trPr>
        <w:tc>
          <w:tcPr>
            <w:tcW w:w="1064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Notes to Consolidated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364"/>
        </w:trPr>
        <w:tc>
          <w:tcPr>
            <w:tcW w:w="10640" w:type="dxa"/>
            <w:vAlign w:val="bottom"/>
          </w:tcPr>
          <w:p>
            <w:pPr>
              <w:ind w:left="538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Asana,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Asana, Inc. and its subsidiaries (the “Company”) as of January 31, 2020 and 2019, and the related consolidated statements of operations, of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2020 and 2019, and the results of its operations and its cash flows for the years then ended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as of February 1, 2019.</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20,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2"/>
                <w:szCs w:val="12"/>
                <w:color w:val="auto"/>
              </w:rPr>
            </w:pPr>
          </w:p>
        </w:tc>
        <w:tc>
          <w:tcPr>
            <w:tcW w:w="136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January 31, 2020</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23,778</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306,020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64,189</w:t>
            </w: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45,288</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5,595</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12,659</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9,595</w:t>
            </w: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16,667</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103,157</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380,634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4,099</w:t>
            </w: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10,100</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noncurrent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2,802</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20,818</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3,691</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113,749</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421,692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8"/>
              </w:rPr>
              <w:t>Liabilities, Redeemable Convertible Preferred Stock, and Stockholders’ (Deficit)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3,647</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7,549</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7,930</w:t>
            </w: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18,241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31,918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62,725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11,613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43,495</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100,128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Convertible note, net—related party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203,097</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801</w:t>
            </w: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2,729</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44,390</w:t>
            </w:r>
          </w:p>
        </w:tc>
        <w:tc>
          <w:tcPr>
            <w:tcW w:w="24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316,426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20" w:type="dxa"/>
            <w:vAlign w:val="bottom"/>
          </w:tcPr>
          <w:p>
            <w:pPr>
              <w:ind w:left="180"/>
              <w:spacing w:after="0" w:line="201" w:lineRule="exact"/>
              <w:rPr>
                <w:sz w:val="20"/>
                <w:szCs w:val="20"/>
                <w:color w:val="auto"/>
              </w:rPr>
            </w:pPr>
            <w:r>
              <w:rPr>
                <w:rFonts w:ascii="Arial" w:cs="Arial" w:eastAsia="Arial" w:hAnsi="Arial"/>
                <w:sz w:val="18"/>
                <w:szCs w:val="18"/>
                <w:color w:val="auto"/>
                <w:w w:val="90"/>
              </w:rPr>
              <w:t>Redeemable convertible preferred stock, $0.00001 par value; 151,101 and 151,101 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w w:val="96"/>
              </w:rPr>
              <w:t>authorized as of January 31, 2019 and January 31, 2020, respectively; 73,547 and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w w:val="93"/>
              </w:rPr>
              <w:t>73,577 shares issued and outstanding as of January 31, 2019 and January 31, 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w w:val="93"/>
              </w:rPr>
              <w:t>respectively; liquidation preference of $250,916 and $250,999 as of January 31, 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w w:val="90"/>
              </w:rPr>
              <w:t>and January 31, 2020, respectively; no shares issued and outstanding as of January 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2020, pro forma (unaudited)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250,370</w:t>
            </w:r>
          </w:p>
        </w:tc>
        <w:tc>
          <w:tcPr>
            <w:tcW w:w="4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250,581</w:t>
            </w: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20" w:type="dxa"/>
            <w:vAlign w:val="bottom"/>
          </w:tcPr>
          <w:p>
            <w:pPr>
              <w:ind w:left="180"/>
              <w:spacing w:after="0" w:line="201" w:lineRule="exact"/>
              <w:rPr>
                <w:sz w:val="20"/>
                <w:szCs w:val="20"/>
                <w:color w:val="auto"/>
              </w:rPr>
            </w:pPr>
            <w:r>
              <w:rPr>
                <w:rFonts w:ascii="Arial" w:cs="Arial" w:eastAsia="Arial" w:hAnsi="Arial"/>
                <w:sz w:val="18"/>
                <w:szCs w:val="18"/>
                <w:color w:val="auto"/>
                <w:w w:val="99"/>
              </w:rPr>
              <w:t>Common stock, $0.00001 par value; 540,000 and 540,000 shares authorized as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w w:val="90"/>
              </w:rPr>
              <w:t>January 31, 2019 and January 31, 2020, respectively; 68,257 and 76,688 shares issued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w w:val="93"/>
              </w:rPr>
              <w:t>and outstanding as of January 31, 2019 and January 31, 2020, respectively; 150,265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shares issued and outstanding as of January 31, 2020, pro forma (unaudited)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30,215</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184,522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435,102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(211,147)</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(329,736)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(329,736)</w:t>
            </w:r>
          </w:p>
        </w:tc>
        <w:tc>
          <w:tcPr>
            <w:tcW w:w="0" w:type="dxa"/>
            <w:vAlign w:val="bottom"/>
          </w:tcPr>
          <w:p>
            <w:pPr>
              <w:spacing w:after="0"/>
              <w:rPr>
                <w:sz w:val="1"/>
                <w:szCs w:val="1"/>
                <w:color w:val="auto"/>
              </w:rPr>
            </w:pPr>
          </w:p>
        </w:tc>
      </w:tr>
      <w:tr>
        <w:trPr>
          <w:trHeight w:val="223"/>
        </w:trPr>
        <w:tc>
          <w:tcPr>
            <w:tcW w:w="6720" w:type="dxa"/>
            <w:vAlign w:val="bottom"/>
          </w:tcPr>
          <w:p>
            <w:pPr>
              <w:ind w:left="18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(181,011)</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(145,315)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Total liabilities, redeemable convertible preferred stock, and stockholders’ (deficit) equity</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113,749</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421,692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538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Cost of revenues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13,832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19,881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62,938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122,725</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42,585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89,675</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52,106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105,836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46,845</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114,951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(119,631)</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1,290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(118,344)</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(50,928)</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(118,589)</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9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shares used in calculating net loss per share:</w:t>
            </w: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65,214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70,335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Pro forma net loss per share (unaudited):</w:t>
            </w: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w w:val="96"/>
              </w:rPr>
              <w:t>Weighted-average shares used in calculating pro forma net loss per share (unaudited):</w:t>
            </w: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143,887</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380"/>
              <w:spacing w:after="0"/>
              <w:rPr>
                <w:sz w:val="20"/>
                <w:szCs w:val="20"/>
                <w:color w:val="auto"/>
              </w:rPr>
            </w:pPr>
            <w:r>
              <w:rPr>
                <w:rFonts w:ascii="Arial" w:cs="Arial" w:eastAsia="Arial" w:hAnsi="Arial"/>
                <w:sz w:val="18"/>
                <w:szCs w:val="18"/>
                <w:color w:val="auto"/>
              </w:rPr>
              <w:t>F-4</w:t>
            </w: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462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(118,589)</w:t>
            </w: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 on marketable securities</w:t>
            </w:r>
          </w:p>
        </w:tc>
        <w:tc>
          <w:tcPr>
            <w:tcW w:w="3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Change in foreign currency translation adjustments</w:t>
            </w: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7"/>
        </w:trPr>
        <w:tc>
          <w:tcPr>
            <w:tcW w:w="46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(50,923)</w:t>
            </w:r>
          </w:p>
        </w:tc>
        <w:tc>
          <w:tcPr>
            <w:tcW w:w="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(118,611)</w:t>
            </w:r>
          </w:p>
        </w:tc>
      </w:tr>
      <w:tr>
        <w:trPr>
          <w:trHeight w:val="20"/>
        </w:trPr>
        <w:tc>
          <w:tcPr>
            <w:tcW w:w="4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620" w:type="dxa"/>
            <w:vAlign w:val="bottom"/>
          </w:tcPr>
          <w:p>
            <w:pPr>
              <w:spacing w:after="0"/>
              <w:rPr>
                <w:sz w:val="24"/>
                <w:szCs w:val="24"/>
                <w:color w:val="auto"/>
              </w:rPr>
            </w:pPr>
          </w:p>
        </w:tc>
        <w:tc>
          <w:tcPr>
            <w:tcW w:w="3880" w:type="dxa"/>
            <w:vAlign w:val="bottom"/>
            <w:gridSpan w:val="2"/>
          </w:tcPr>
          <w:p>
            <w:pPr>
              <w:jc w:val="right"/>
              <w:ind w:right="2790"/>
              <w:spacing w:after="0"/>
              <w:rPr>
                <w:sz w:val="20"/>
                <w:szCs w:val="20"/>
                <w:color w:val="auto"/>
              </w:rPr>
            </w:pPr>
            <w:r>
              <w:rPr>
                <w:rFonts w:ascii="Arial" w:cs="Arial" w:eastAsia="Arial" w:hAnsi="Arial"/>
                <w:sz w:val="18"/>
                <w:szCs w:val="18"/>
                <w:color w:val="auto"/>
              </w:rPr>
              <w:t>F-5</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080"/>
          </w:cols>
          <w:pgMar w:left="320" w:top="459" w:right="499" w:bottom="1440" w:gutter="0" w:footer="0" w:header="0"/>
        </w:sectPr>
      </w:pPr>
    </w:p>
    <w:p>
      <w:pPr>
        <w:spacing w:after="0" w:line="310" w:lineRule="exact"/>
        <w:rPr>
          <w:sz w:val="20"/>
          <w:szCs w:val="20"/>
          <w:color w:val="auto"/>
        </w:rPr>
      </w:pPr>
    </w:p>
    <w:p>
      <w:pPr>
        <w:jc w:val="center"/>
        <w:ind w:left="3560"/>
        <w:spacing w:after="0"/>
        <w:rPr>
          <w:sz w:val="20"/>
          <w:szCs w:val="20"/>
          <w:color w:val="auto"/>
        </w:rPr>
      </w:pPr>
      <w:r>
        <w:rPr>
          <w:rFonts w:ascii="Arial" w:cs="Arial" w:eastAsia="Arial" w:hAnsi="Arial"/>
          <w:sz w:val="14"/>
          <w:szCs w:val="14"/>
          <w:b w:val="1"/>
          <w:bCs w:val="1"/>
          <w:color w:val="auto"/>
        </w:rPr>
        <w:t>Redeemable Convertible</w:t>
      </w:r>
    </w:p>
    <w:p>
      <w:pPr>
        <w:spacing w:after="0" w:line="4" w:lineRule="exact"/>
        <w:rPr>
          <w:sz w:val="20"/>
          <w:szCs w:val="20"/>
          <w:color w:val="auto"/>
        </w:rPr>
      </w:pPr>
    </w:p>
    <w:p>
      <w:pPr>
        <w:jc w:val="center"/>
        <w:ind w:left="3560"/>
        <w:spacing w:after="0"/>
        <w:rPr>
          <w:sz w:val="20"/>
          <w:szCs w:val="20"/>
          <w:color w:val="auto"/>
        </w:rPr>
      </w:pPr>
      <w:r>
        <w:rPr>
          <w:rFonts w:ascii="Arial" w:cs="Arial" w:eastAsia="Arial" w:hAnsi="Arial"/>
          <w:sz w:val="14"/>
          <w:szCs w:val="14"/>
          <w:b w:val="1"/>
          <w:bCs w:val="1"/>
          <w:color w:val="auto"/>
        </w:rPr>
        <w:t>Preferred Stock</w:t>
      </w:r>
    </w:p>
    <w:p>
      <w:pPr>
        <w:spacing w:after="0" w:line="3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Balances at February 1, 2018</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5"/>
        </w:trPr>
        <w:tc>
          <w:tcPr>
            <w:tcW w:w="344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67,317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199,364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Issuance of Series E redeemable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convertible preferred stock, net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issuance costs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51,006</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Issuance of common stock upon the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exercise of options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Vesting of early exercised stock options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Net unrealized gain on marketable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w w:val="99"/>
              </w:rPr>
              <w:t>Foreign currency translation adjustments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8"/>
                <w:szCs w:val="18"/>
                <w:b w:val="1"/>
                <w:bCs w:val="1"/>
                <w:color w:val="auto"/>
              </w:rPr>
              <w:t>Balances at January 31, 2019</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73,547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Issuance of common stock upon the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exercise of options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Issuance of redeemable convertible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preferred stock upon net exercise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warrants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Vesting of early exercised stock options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Net unrealized gain on marketable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w w:val="94"/>
              </w:rPr>
              <w:t>Deemed capital contribution on issuance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convertible note—related party</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w w:val="99"/>
              </w:rPr>
              <w:t>Foreign currency translation adjustments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b w:val="1"/>
                <w:bCs w:val="1"/>
                <w:color w:val="auto"/>
              </w:rPr>
              <w:t>Balances at January 31, 2020</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73,577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6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36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118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9"/>
                <w:szCs w:val="9"/>
                <w:color w:val="auto"/>
              </w:rPr>
            </w:pP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5"/>
        </w:trPr>
        <w:tc>
          <w:tcPr>
            <w:tcW w:w="5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32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98"/>
              </w:rPr>
              <w:t>Shares    AmountPaid-In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4"/>
        </w:trPr>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63,660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(160,219)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(142,202)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4,607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418"/>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(50,928)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(50,928)</w:t>
            </w:r>
          </w:p>
        </w:tc>
        <w:tc>
          <w:tcPr>
            <w:tcW w:w="0" w:type="dxa"/>
            <w:vAlign w:val="bottom"/>
          </w:tcPr>
          <w:p>
            <w:pPr>
              <w:spacing w:after="0"/>
              <w:rPr>
                <w:sz w:val="1"/>
                <w:szCs w:val="1"/>
                <w:color w:val="auto"/>
              </w:rPr>
            </w:pPr>
          </w:p>
        </w:tc>
      </w:tr>
      <w:tr>
        <w:trPr>
          <w:trHeight w:val="224"/>
        </w:trPr>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68,256</w:t>
            </w: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(211,147)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(181,011)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8,456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7,576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634"/>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48,425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48,425</w:t>
            </w:r>
          </w:p>
        </w:tc>
        <w:tc>
          <w:tcPr>
            <w:tcW w:w="0" w:type="dxa"/>
            <w:vAlign w:val="bottom"/>
          </w:tcPr>
          <w:p>
            <w:pPr>
              <w:spacing w:after="0"/>
              <w:rPr>
                <w:sz w:val="1"/>
                <w:szCs w:val="1"/>
                <w:color w:val="auto"/>
              </w:rPr>
            </w:pPr>
          </w:p>
        </w:tc>
      </w:tr>
      <w:tr>
        <w:trPr>
          <w:trHeight w:val="432"/>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8"/>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96,981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96,981</w:t>
            </w:r>
          </w:p>
        </w:tc>
        <w:tc>
          <w:tcPr>
            <w:tcW w:w="0" w:type="dxa"/>
            <w:vAlign w:val="bottom"/>
          </w:tcPr>
          <w:p>
            <w:pPr>
              <w:spacing w:after="0"/>
              <w:rPr>
                <w:sz w:val="1"/>
                <w:szCs w:val="1"/>
                <w:color w:val="auto"/>
              </w:rPr>
            </w:pPr>
          </w:p>
        </w:tc>
      </w:tr>
      <w:tr>
        <w:trPr>
          <w:trHeight w:val="216"/>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(118,589)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(118,589)</w:t>
            </w:r>
          </w:p>
        </w:tc>
        <w:tc>
          <w:tcPr>
            <w:tcW w:w="0" w:type="dxa"/>
            <w:vAlign w:val="bottom"/>
          </w:tcPr>
          <w:p>
            <w:pPr>
              <w:spacing w:after="0"/>
              <w:rPr>
                <w:sz w:val="1"/>
                <w:szCs w:val="1"/>
                <w:color w:val="auto"/>
              </w:rPr>
            </w:pPr>
          </w:p>
        </w:tc>
      </w:tr>
      <w:tr>
        <w:trPr>
          <w:trHeight w:val="223"/>
        </w:trPr>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76,688</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184,522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(329,736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(145,315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-4422775</wp:posOffset>
            </wp:positionV>
            <wp:extent cx="6995160" cy="44316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443166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F-6</w:t>
      </w:r>
    </w:p>
    <w:p>
      <w:pPr>
        <w:sectPr>
          <w:pgSz w:w="11900" w:h="16838" w:orient="portrait"/>
          <w:cols w:equalWidth="0" w:num="2">
            <w:col w:w="5280" w:space="220"/>
            <w:col w:w="5580"/>
          </w:cols>
          <w:pgMar w:left="320" w:top="459" w:right="49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(50,928)</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(118,589)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Amortization of deferred contract acquisition costs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48,386</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Net amortization (accretion) of premium (discount) on marketable securities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discount on convertible note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(3,427)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4,023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8,321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32,189</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(103,205)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(77,759)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marketable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Maturities of marketable securities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61,950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93,394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Capitalized internal-use software</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Proceeds from issuance of convertible note-related party</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4,301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55,293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311,597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284,097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26,580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380"/>
              <w:spacing w:after="0"/>
              <w:rPr>
                <w:sz w:val="20"/>
                <w:szCs w:val="20"/>
                <w:color w:val="auto"/>
              </w:rPr>
            </w:pPr>
            <w:r>
              <w:rPr>
                <w:rFonts w:ascii="Arial" w:cs="Arial" w:eastAsia="Arial" w:hAnsi="Arial"/>
                <w:sz w:val="18"/>
                <w:szCs w:val="18"/>
                <w:color w:val="auto"/>
              </w:rPr>
              <w:t>F-7</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As of January 31,</w:t>
            </w:r>
          </w:p>
        </w:tc>
      </w:tr>
      <w:tr>
        <w:trPr>
          <w:trHeight w:val="142"/>
        </w:trPr>
        <w:tc>
          <w:tcPr>
            <w:tcW w:w="86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cash, cash equivalents, and restricted cash to the consolidated balance sheets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23,778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306,020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4,657</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310,677</w:t>
            </w: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data</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914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Vesting of early exercised stock options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Conversion of redeemable convertible preferred stock warrant liability to redeemable convertible preferred stock as a</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result of warrant exercise</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r>
      <w:tr>
        <w:trPr>
          <w:trHeight w:val="364"/>
        </w:trPr>
        <w:tc>
          <w:tcPr>
            <w:tcW w:w="8680" w:type="dxa"/>
            <w:vAlign w:val="bottom"/>
          </w:tcPr>
          <w:p>
            <w:pPr>
              <w:ind w:left="5380"/>
              <w:spacing w:after="0"/>
              <w:rPr>
                <w:sz w:val="20"/>
                <w:szCs w:val="20"/>
                <w:color w:val="auto"/>
              </w:rPr>
            </w:pPr>
            <w:r>
              <w:rPr>
                <w:rFonts w:ascii="Arial" w:cs="Arial" w:eastAsia="Arial" w:hAnsi="Arial"/>
                <w:sz w:val="18"/>
                <w:szCs w:val="18"/>
                <w:color w:val="auto"/>
              </w:rPr>
              <w:t>F-8</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Organization and Description of Business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Asana, Inc. (“Asana” or the “Company”) was incorporated in the state of Delaware on December 16, 2008. Asana is a work management platform that helps teams orchestrate work, from daily tasks to cross-functional strategic initiatives. The Company is headquartered in San Francisco, California.</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and include the accounts of the Company’s wholly-owned subsidiaries. All intercompany transactions and balances have been eliminated on consolidation.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Company’s fiscal year ends on January 31. For example, references to fiscal 2019 and 2020 refer to the fiscal year ended January 31, 2019 and January 31, 2020,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Balance Sheet Information</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accompanying unaudited pro forma consolidated balance sheet assumes all shares of the Company’s redeemable convertible preferred stock had automatically converted into 73,577,455 shares of Class B common stock on a one-for-one basis as if such conversion had occurred on January 31,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 of Class A and Class B Common Stock</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March 23, 2020, the Company amended and restated its certificate of incorporation to effect a reclassification of the Company’s Class A common stock to Class B common stock, and vice versa. There were no changes to the rights, preferences, and privileges of each class of common stock at this time. All references to Class A common stock have been recast to Class B common stock, and all references to Class B common stock have been recast to Class A common stock, in these consolidated financial statements to give retrospective effect to the reclassification for all periods presented.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and disclosed in the consolidated financial statements and accompanying notes. Estimates and assumptions reflected in the consolidated financial statements include, but are not limited to, the useful lives and carrying values of long-lived assets, the fair value of the Convertible Note (as defined below), the fair value of common stock, stock-based compensation expense, period of benefit for deferred contract acquisition costs, and income taxes. Actual results could differ from those estimates.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As a result of the COVID-19 pandemic, the Company has temporarily closed its headquarters and other offices, required its employees and contractors to work remotely, and implemented travel restrictions, all of which represent a significant disruption in how the Company operates its business. The operations of its partners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and customers have likewise been disrupted. The worldwide spread of the COVID-19 virus is expected to result in a global slowdown of economic activity.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the Company’s platform, lengthen the sales cycles, reduce the value or duration of subscriptions, negatively impact collections of accounts receivable, reduce expected spending from new customers, cause some of the Company’s paying customers to go out of business, limit the ability of the Company’s direct sales force to travel to customers and potential customers,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 xml:space="preserve">The Company derives its revenues from monthly and annual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includes the following steps:</w:t>
      </w:r>
    </w:p>
    <w:p>
      <w:pPr>
        <w:spacing w:after="0" w:line="92"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Recognition of the revenues when, or as, the Company satisfies a performance obligation.</w:t>
      </w:r>
    </w:p>
    <w:p>
      <w:pPr>
        <w:spacing w:after="0" w:line="22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do not provide for refunds to customers in the event of cancellations.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 majority of the Company’s contracts give a right to bill for additional usage, which is deemed variable consideration. The variable consideration is allocated as the services are completed. An estimate of variable consideration is included in the transaction price if it is probable that a significant reversal of cumulative revenue recognized will not occur.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120" w:right="500" w:firstLine="440"/>
        <w:spacing w:after="0" w:line="286" w:lineRule="auto"/>
        <w:rPr>
          <w:sz w:val="20"/>
          <w:szCs w:val="20"/>
          <w:color w:val="auto"/>
        </w:rPr>
      </w:pPr>
      <w:r>
        <w:rPr>
          <w:rFonts w:ascii="Arial" w:cs="Arial" w:eastAsia="Arial" w:hAnsi="Arial"/>
          <w:sz w:val="17"/>
          <w:szCs w:val="17"/>
          <w:color w:val="auto"/>
        </w:rPr>
        <w:t>Future revenues related to performance obligations that are unsatisfied or partially unsatisfied were $64.1 million, of which $62.7 million is presented as deferred revenue for which the Company expects to satisfy the performance obligations in the next 12 months, and $1.4 million is presented within other liabilities, a noncurrent liability, in the consolidated balance sheet, as of January 31, 2020.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the Company’s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activity of deferred contract acquisition costs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590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2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Capitalization of contract acquisition costs</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2,393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5,643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acquisition costs</w:t>
            </w:r>
          </w:p>
        </w:tc>
        <w:tc>
          <w:tcPr>
            <w:tcW w:w="2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(1,607)</w:t>
            </w: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14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current</w:t>
            </w:r>
          </w:p>
        </w:tc>
        <w:tc>
          <w:tcPr>
            <w:tcW w:w="300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2,692</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Deferred contract acquisition costs, noncurrent</w:t>
            </w:r>
          </w:p>
        </w:tc>
        <w:tc>
          <w:tcPr>
            <w:tcW w:w="22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4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contract acquisition costs</w:t>
            </w:r>
          </w:p>
        </w:tc>
        <w:tc>
          <w:tcPr>
            <w:tcW w:w="3000" w:type="dxa"/>
            <w:vAlign w:val="bottom"/>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2,071</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6,107</w:t>
            </w:r>
          </w:p>
        </w:tc>
      </w:tr>
      <w:tr>
        <w:trPr>
          <w:trHeight w:val="20"/>
        </w:trPr>
        <w:tc>
          <w:tcPr>
            <w:tcW w:w="5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Advertising expenses are charged to sales and marketing expense in the consolidated statements of operations as incurred. Advertising expenses were $19.9 million and $39.0 million for the years ended January 31, 2019 and 2020,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Company records stock-based compensation expense for all stock-based awards, including stock options and restricted stock units (“RSUs”), made to employees, non-employees, and directors based on estimated fair values recognized over the requisite service period. The fair value of stock options granted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corresponding with the expected life of the option. The Company’s expected dividend yield input is zero as it has not historically paid, nor does it expect in the future to pay, cash dividends on its common stock. Stock-based compensation expense for RSUs is measured based on the fair value of the underlying shares on the date of grant.</w:t>
      </w:r>
    </w:p>
    <w:p>
      <w:pPr>
        <w:spacing w:after="0" w:line="184"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Stock-based compensation expense is recognized as expense over the requisite service period, which is generally the vesting period of the respective award. The Company uses the straight-line method for expense attribution. The Company accounts for forfeitures as they occur.</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deficit as a component of accumulated other comprehensive income (loss). Adjustments that arise from foreign currency exchange rate changes on transactions denominated in a currency other than the functional currency are included in other income (expense), net on the consolidated statements of operations and were not material for the years ended January 31, 2019 and 2020, respectively.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For information regarding the Company’s revenues and long-lived assets by geographic area, see Note 13, “Geographic Information.”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at the date of purchase of three months or less to be cash equivalents. Cash and cash equivalents are stated at cost, which approximates fair value.</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various facilities operating lease agreements, the Company is required to maintain a restricted cash deposit as collateral. The Company had $2.8 million and $4.7 million of restricted cash for use as security deposits for standby letters of credit issued to landlords as of January 31, 2019 and 2020, respectively.</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Cash, cash equivalents, and restricted cash as reported in the Company’s consolidated statements of cash flows includes the aggregate amounts of cash, cash equivalents, and restricted cash as shown on the consolidated balance sheets. Cash, cash equivalents, and restricted cash as reported in the Company’s consolidated statements of cash flows consist of the following (in thousands):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As of January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50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February 1,</w:t>
            </w:r>
          </w:p>
        </w:tc>
        <w:tc>
          <w:tcPr>
            <w:tcW w:w="2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gridSpan w:val="3"/>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50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Restricted cash</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1,466</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2,802</w:t>
            </w: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46,125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26,580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310,677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Marketable securities are partially comprised of marketable securities, including U.S. government securities, commercial paper, and corporate bonds with an original maturity or a remaining maturity at the time of purchase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of greater than three months and no more than 12 months. These marketable securities are classified as available-for-sale securities and are carried at fair value with unrealized gains and losses reported as a separate component of stockholders’ deficit. Interest receivable on these securities is presented in prepaid expenses and other current assets on the consolidated balance sheets. Realized gains and losses and other-than-temporary impairments, if any, on available-for-sale securities are recognized upon sale and are included in other income (expense), net in the consolidated statements of operations. The cost of securities sold is based on the specific identification method. Marketable securities are reviewed periodically to identify possible other-than-temporary impairments. No impairment loss has been recorded on the securities during the years ended January 31, 2019 and 2020.</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Accounts receivable are stated at realizable value, net of allowance for doubtful accounts. The Company’s estimate is based on historical collection experience and a review of the current status of accounts receivable. The Company’s allowance for doubtful accounts was $0.1 million and $0.1 million as of January 31, 2019 and 2020,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and marketable securities. Substantially all the Company’s cash and cash equivalents are held by four financial institutions that management believes are of high credit quality. Such deposits may, at times, exceed federally insured limits. Cash equivalents are invested in highly rated money market funds.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 large portion of the Company’s customers authorize the Company to bill their credit card accounts through the Company’s third-party payment processing partners, presenting additional credit risk. For the years ended January 31, 2019 and 2020, there were no individual customers that accounted for 10% or more of the Company’s revenues. The Company had one customer that accounted for 12% of accounts receivable as of January 31, 2019, and no customer accounted for more than 10% of accounts receivable as of January 31, 2020.</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carrying amounts reflected in the consolidated balance sheets for cash equivalents, accounts receivable, and accounts payable approximate their respective fair values due to the short maturities of those instruments. Available-for-sale marketable securities are recorded at fair value on the consolidated balance sheets.</w:t>
      </w:r>
    </w:p>
    <w:p>
      <w:pPr>
        <w:spacing w:after="0" w:line="184"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Company accounts for certain of its financial assets at fair value. In determining and disclosing fair value, the Company uses a fair value hierarchy established by U.S. GAAP. The guidance defines fair value as an exit price, representing the amount that would be received upon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utilizes a three-tier fair value hierarchy, which prioritizes the inputs used in measuring fair value as follows:</w:t>
      </w:r>
    </w:p>
    <w:p>
      <w:pPr>
        <w:spacing w:after="0" w:line="188"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252"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w:t>
      </w:r>
    </w:p>
    <w:p>
      <w:pPr>
        <w:spacing w:after="0" w:line="252" w:lineRule="exact"/>
        <w:rPr>
          <w:sz w:val="20"/>
          <w:szCs w:val="20"/>
          <w:color w:val="auto"/>
        </w:rPr>
      </w:pPr>
    </w:p>
    <w:p>
      <w:pPr>
        <w:jc w:val="center"/>
        <w:ind w:left="660" w:right="440"/>
        <w:spacing w:after="0" w:line="449" w:lineRule="auto"/>
        <w:rPr>
          <w:sz w:val="20"/>
          <w:szCs w:val="20"/>
          <w:color w:val="auto"/>
        </w:rPr>
      </w:pPr>
      <w:r>
        <w:rPr>
          <w:rFonts w:ascii="Arial" w:cs="Arial" w:eastAsia="Arial" w:hAnsi="Arial"/>
          <w:sz w:val="18"/>
          <w:szCs w:val="18"/>
          <w:color w:val="auto"/>
        </w:rPr>
        <w:t>Level 3  Unobservable inputs in which there is little or no market data and that are significant to the fair value of the assets or liabilities. F-13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firstLine="440"/>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Company determines if an arrangement is a lease at inception by determining if the contract conveys the right to control the issue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w:t>
      </w:r>
    </w:p>
    <w:p>
      <w:pPr>
        <w:spacing w:after="0" w:line="18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has lease agreements with lease and non-lease components. The Company has elected to combine lease and non-lease components as a single lease component for all classes of underlying assets. The Company has also elected to keep leases with an initial term of 12 months or less off the balance sheet and recognize the associated lease payments in the consolidated statements of operations on a straight-line basis over the lease term.</w:t>
      </w:r>
    </w:p>
    <w:p>
      <w:pPr>
        <w:spacing w:after="0" w:line="14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Operating leases are included in operating lease ROU assets, operating lease liabilities, current, and operating lease liabilities, noncurrent on the consolidated balance sheets.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records its property and equipment at cost. Depreciation is computed on the straight-line method over the estimated useful lives of two to three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Asset Type</w:t>
            </w:r>
          </w:p>
        </w:tc>
        <w:tc>
          <w:tcPr>
            <w:tcW w:w="4260" w:type="dxa"/>
            <w:vAlign w:val="bottom"/>
            <w:gridSpan w:val="2"/>
          </w:tcPr>
          <w:p>
            <w:pPr>
              <w:ind w:left="1760"/>
              <w:spacing w:after="0"/>
              <w:rPr>
                <w:sz w:val="20"/>
                <w:szCs w:val="20"/>
                <w:color w:val="auto"/>
              </w:rPr>
            </w:pPr>
            <w:r>
              <w:rPr>
                <w:rFonts w:ascii="Arial" w:cs="Arial" w:eastAsia="Arial" w:hAnsi="Arial"/>
                <w:sz w:val="14"/>
                <w:szCs w:val="14"/>
                <w:b w:val="1"/>
                <w:bCs w:val="1"/>
                <w:color w:val="auto"/>
              </w:rPr>
              <w:t>Life (Years)</w:t>
            </w:r>
          </w:p>
        </w:tc>
      </w:tr>
      <w:tr>
        <w:trPr>
          <w:trHeight w:val="195"/>
        </w:trPr>
        <w:tc>
          <w:tcPr>
            <w:tcW w:w="6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Desktop and other computer equipment</w:t>
            </w:r>
          </w:p>
        </w:tc>
        <w:tc>
          <w:tcPr>
            <w:tcW w:w="100" w:type="dxa"/>
            <w:vAlign w:val="bottom"/>
          </w:tcPr>
          <w:p>
            <w:pPr>
              <w:spacing w:after="0"/>
              <w:rPr>
                <w:sz w:val="16"/>
                <w:szCs w:val="16"/>
                <w:color w:val="auto"/>
              </w:rPr>
            </w:pPr>
          </w:p>
        </w:tc>
        <w:tc>
          <w:tcPr>
            <w:tcW w:w="4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6"/>
                <w:szCs w:val="16"/>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2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260" w:type="dxa"/>
            <w:vAlign w:val="bottom"/>
            <w:gridSpan w:val="2"/>
          </w:tcPr>
          <w:p>
            <w:pPr>
              <w:ind w:left="1020"/>
              <w:spacing w:after="0"/>
              <w:rPr>
                <w:sz w:val="20"/>
                <w:szCs w:val="20"/>
                <w:color w:val="auto"/>
              </w:rPr>
            </w:pPr>
            <w:r>
              <w:rPr>
                <w:rFonts w:ascii="Arial" w:cs="Arial" w:eastAsia="Arial" w:hAnsi="Arial"/>
                <w:sz w:val="18"/>
                <w:szCs w:val="18"/>
                <w:color w:val="auto"/>
                <w:w w:val="91"/>
              </w:rPr>
              <w:t>Shorter of lease term or estimated useful life</w:t>
            </w: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Capitalized internal-use software</w:t>
            </w:r>
          </w:p>
        </w:tc>
        <w:tc>
          <w:tcPr>
            <w:tcW w:w="42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117"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net cash flows expected to be generated by the asset group.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recorded during the years ended January 31, 2019 and 2020.</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14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If there is significant negative evidence that the near 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 xml:space="preserve">The Company performs a comprehensive review of potential uncertain tax positions in each jurisdiction in which the Company operates. The Company accounts for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prescribes a recognition threshold and measurement attribute for the financial statement recognition and measurement of a tax provision that an entity takes or expects to take in a tax return.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policy is to include penalties and interest related to income tax matters within the Company’s benefit from (provision for)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Company had redeemable convertible preferred stock warrants exercisable for its Series B redeemable convertible preferred stock, which were classified as liabilities on the Company’s balance sheets. The redeemable convertible preferred stock warrants were subject to remeasurement at each balance sheet date, and any change in fair value was recognized as a component of other income (expense), net. In November 2019, all of the Company’s outstanding redeemable convertible preferred stock warrants were net exercised for 30,606 shares of Series B redeemable convertible preferred stock. See Note 9, “Series 1 Redeemable Convertible Preferred Stock and Series A - Series E Redeemable Convertible Preferred Stock,” for further discussion.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entitled to receive a non-cumulative dividend on a pari passu basis in the event that a dividend is paid on the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common stock. The holders of the redeemable convertible preferred stock and early exercised stock options do not have a contractual obligation to share in the Company’s losses. As such, the Company’s net losses for the years ended January 31, 2019 and 2020 were not allocated to these participating securities.</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4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70"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Diluted earnings per share attributable to common stockholders adjusts basic earnings per share for the potentially dilutive impact of redeemable convertible preferred stock warrants, stock options, RSUs, and redeemable convertible preferred stock. As the Company has reported losses for all periods presented, all potentially dilutive securities are anti-dilutive, and accordingly, basic net loss per share equaled diluted net loss per share.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requires the measurement and recognition of expected credit losses for financial assets held at amortized cost. It also eliminates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the Company for fiscal years beginning after December 15, 2022 and interim periods within those fiscal years. Early adoption is permitted. The Company is currently evaluating the impact and timing of adopting ASU No. 2016-13.</w:t>
      </w:r>
    </w:p>
    <w:p>
      <w:pPr>
        <w:spacing w:after="0" w:line="16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August 2018, the FASB issued ASU No. 2018-13</w:t>
      </w:r>
      <w:r>
        <w:rPr>
          <w:rFonts w:ascii="Arial" w:cs="Arial" w:eastAsia="Arial" w:hAnsi="Arial"/>
          <w:sz w:val="17"/>
          <w:szCs w:val="17"/>
          <w:i w:val="1"/>
          <w:iCs w:val="1"/>
          <w:color w:val="auto"/>
        </w:rPr>
        <w:t>, Fair Value Measurement (Topic 820)</w:t>
      </w:r>
      <w:r>
        <w:rPr>
          <w:rFonts w:ascii="Arial" w:cs="Arial" w:eastAsia="Arial" w:hAnsi="Arial"/>
          <w:sz w:val="17"/>
          <w:szCs w:val="17"/>
          <w:color w:val="auto"/>
        </w:rPr>
        <w:t>,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the Company for fiscal years beginning after December 15, 2019 and interim periods within those fiscal years. Early adoption is permitted. The Company is currently evaluating the effect that the updated guidance will have on the consolidated financial statements and related disclosures.</w:t>
      </w:r>
    </w:p>
    <w:p>
      <w:pPr>
        <w:spacing w:after="0" w:line="176"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In August 2018, the FASB issued ASU No. 2018-15</w:t>
      </w:r>
      <w:r>
        <w:rPr>
          <w:rFonts w:ascii="Arial" w:cs="Arial" w:eastAsia="Arial" w:hAnsi="Arial"/>
          <w:sz w:val="17"/>
          <w:szCs w:val="17"/>
          <w:i w:val="1"/>
          <w:iCs w:val="1"/>
          <w:color w:val="auto"/>
        </w:rPr>
        <w:t>, 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Under existing U.S. GAAP, there is</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practice in accounting for the costs of implementing cloud 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the Company for fiscal years beginning after December 15, 2020 and interim periods within fiscal years beginning after December 15, 2021. Early adoption is permitted. The Company is currently evaluating the impact and timing of adopting ASU No. 2018-15.</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The amendments in the updated guidance simplify the accounting for income taxes by removing certain exceptions and improving consistent application of other areas of the topic by clarifying the guidance. The amendments in this update are effective for the Company for fiscal years beginning after December 15, 2021</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and interim periods within fiscal years beginning after December 15, 2022. Early adoption is permitted. The Company is currently evaluating the impact and timing of adopting ASU No. 2019-12.</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On February 1, 2019, the Company adopted ASU No. 2018-02</w:t>
      </w:r>
      <w:r>
        <w:rPr>
          <w:rFonts w:ascii="Arial" w:cs="Arial" w:eastAsia="Arial" w:hAnsi="Arial"/>
          <w:sz w:val="16"/>
          <w:szCs w:val="16"/>
          <w:i w:val="1"/>
          <w:iCs w:val="1"/>
          <w:color w:val="auto"/>
        </w:rPr>
        <w:t>, Reclassification of Certain Tax Effects from Accumulated Other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Under existing U.S. GAAP, the effects of changes in tax rates and laws on deferred tax balances are recorded as a component of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 the period in which the law was enacted. When deferred tax balances related to items originally recorded in accumulated other comprehensive income are adjusted, certain tax effects become stranded in accumulated other comprehensive income. The amendments in ASU</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No. 2018-02 allow a reclassification from accumulated other comprehensive income to retained earnings for stranded tax effects resulting from the 2017 Tax Cuts and Jobs Act. The amendments in ASU No. 2018-02 also require certain disclosures about stranded tax effects. The adoption of the guidance did not have a material impact on the Company’s consolidated financial statements.</w:t>
      </w:r>
    </w:p>
    <w:p>
      <w:pPr>
        <w:spacing w:after="0" w:line="19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 xml:space="preserve">On February 1, 2019, the Company adopted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or “ASC 842”) (ASU 2016-02) on a modified basis using the optional transition method, and accordingly, has not restated comparative periods. Balances and related disclosures for fiscal 2019 continue to be presented in accordance with ASC 840, </w:t>
      </w:r>
      <w:r>
        <w:rPr>
          <w:rFonts w:ascii="Arial" w:cs="Arial" w:eastAsia="Arial" w:hAnsi="Arial"/>
          <w:sz w:val="16"/>
          <w:szCs w:val="16"/>
          <w:i w:val="1"/>
          <w:iCs w:val="1"/>
          <w:color w:val="auto"/>
        </w:rPr>
        <w:t>Leases</w:t>
      </w:r>
      <w:r>
        <w:rPr>
          <w:rFonts w:ascii="Arial" w:cs="Arial" w:eastAsia="Arial" w:hAnsi="Arial"/>
          <w:sz w:val="16"/>
          <w:szCs w:val="16"/>
          <w:color w:val="auto"/>
        </w:rPr>
        <w:t>. Results and disclosures for fiscal 2020 are presented under ASC 842.</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elected the package of practical expedients permitted under the transition guidance, which allowed the Company to carryforward its historical lease classification, the assessment on whether a contract was or contains a lease, and the initial direct costs for any leases that existed prior to February 1, 2019, the adoption date. The Company elected the use of the hindsight practical expedient in determining the lease term and assessing the likelihood that the lease renewal or termination option will be exercised. The Company also elected to combine lease and non-lease components and to keep leases with an initial term of 12 months or less off the balance sheets and recognize the associated lease payments in the consolidated statements of operations on a straight-line basis over the lease term.</w:t>
      </w:r>
    </w:p>
    <w:p>
      <w:pPr>
        <w:spacing w:after="0" w:line="19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Upon adoption, the Company recognized total ROU assets of $16.5 million, with corresponding operating lease liabilities of $18.3 million on the consolidated balance sheet. The ROU assets include adjustments for prepayments and accrued lease incentive liabilities. The adoption did not impact beginning accumulated deficit or the prior year consolidated statement of operations and statement of cash flows.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Fair Value Measurements</w:t>
      </w:r>
    </w:p>
    <w:p>
      <w:pPr>
        <w:spacing w:after="0" w:line="35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summarizes, for assets and liabilities measured at fair value, the respective fair value and classification by level of input within the fair value hierarchy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January 31, 2020</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7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8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7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17,590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17,590</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16,452</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16,452</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11,246</w:t>
            </w:r>
          </w:p>
        </w:tc>
        <w:tc>
          <w:tcPr>
            <w:tcW w:w="2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11,246</w:t>
            </w:r>
          </w:p>
        </w:tc>
      </w:tr>
      <w:tr>
        <w:trPr>
          <w:trHeight w:val="27"/>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27,698</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45,288</w:t>
            </w: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27,698</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45,898</w:t>
            </w:r>
          </w:p>
        </w:tc>
        <w:tc>
          <w:tcPr>
            <w:tcW w:w="8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7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January 31, 2019</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7580" w:type="dxa"/>
            <w:vAlign w:val="bottom"/>
          </w:tcPr>
          <w:p>
            <w:pPr>
              <w:spacing w:after="0"/>
              <w:rPr>
                <w:sz w:val="12"/>
                <w:szCs w:val="12"/>
                <w:color w:val="auto"/>
              </w:rPr>
            </w:pPr>
          </w:p>
        </w:tc>
        <w:tc>
          <w:tcPr>
            <w:tcW w:w="7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8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7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22,787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22,787</w:t>
            </w: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22,787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22,787</w:t>
            </w:r>
          </w:p>
        </w:tc>
        <w:tc>
          <w:tcPr>
            <w:tcW w:w="8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9,530</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38,498</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38,498</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16,161</w:t>
            </w:r>
          </w:p>
        </w:tc>
        <w:tc>
          <w:tcPr>
            <w:tcW w:w="26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16,161</w:t>
            </w:r>
          </w:p>
        </w:tc>
      </w:tr>
      <w:tr>
        <w:trPr>
          <w:trHeight w:val="27"/>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54,659</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64,189</w:t>
            </w: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54,659</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86,976</w:t>
            </w:r>
          </w:p>
        </w:tc>
        <w:tc>
          <w:tcPr>
            <w:tcW w:w="8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r>
      <w:tr>
        <w:trPr>
          <w:trHeight w:val="27"/>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transfers of financial assets or liabilities into or out of Level 1, Level 2, or Level 3 during the years ended January 31, 2019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 in the redeemable convertible preferred stock warrant liability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340" w:type="dxa"/>
            <w:vAlign w:val="bottom"/>
          </w:tcPr>
          <w:p>
            <w:pPr>
              <w:spacing w:after="0"/>
              <w:rPr>
                <w:sz w:val="14"/>
                <w:szCs w:val="1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Amount</w:t>
            </w:r>
          </w:p>
        </w:tc>
      </w:tr>
      <w:tr>
        <w:trPr>
          <w:trHeight w:val="209"/>
        </w:trPr>
        <w:tc>
          <w:tcPr>
            <w:tcW w:w="10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1, 2018</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0340" w:type="dxa"/>
            <w:vAlign w:val="bottom"/>
          </w:tcPr>
          <w:p>
            <w:pPr>
              <w:spacing w:after="0"/>
              <w:rPr>
                <w:sz w:val="20"/>
                <w:szCs w:val="20"/>
                <w:color w:val="auto"/>
              </w:rPr>
            </w:pPr>
            <w:r>
              <w:rPr>
                <w:rFonts w:ascii="Arial" w:cs="Arial" w:eastAsia="Arial" w:hAnsi="Arial"/>
                <w:sz w:val="18"/>
                <w:szCs w:val="18"/>
                <w:color w:val="auto"/>
              </w:rPr>
              <w:t>Adjustment resulting from change in fair value recognized in the consolidated statement of operations</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Adjustment resulting from change in fair value recognized in the consolidated statement of operations</w:t>
            </w: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Exercise of redeemable convertible preferred stock warrants</w:t>
            </w: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r>
      <w:tr>
        <w:trPr>
          <w:trHeight w:val="223"/>
        </w:trPr>
        <w:tc>
          <w:tcPr>
            <w:tcW w:w="10340" w:type="dxa"/>
            <w:vAlign w:val="bottom"/>
          </w:tcPr>
          <w:p>
            <w:pPr>
              <w:spacing w:after="0"/>
              <w:rPr>
                <w:sz w:val="20"/>
                <w:szCs w:val="20"/>
                <w:color w:val="auto"/>
              </w:rPr>
            </w:pPr>
            <w:r>
              <w:rPr>
                <w:rFonts w:ascii="Arial" w:cs="Arial" w:eastAsia="Arial" w:hAnsi="Arial"/>
                <w:sz w:val="18"/>
                <w:szCs w:val="18"/>
                <w:color w:val="auto"/>
              </w:rPr>
              <w:t>Balance as of January 31, 2020</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0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investments in marketable securities on the consolidated balance sheets (in thousands):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January 31, 2020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16,452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U.S. treasury bonds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17,571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17,590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11,246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$ 45,260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45,288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bonds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9,529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Commercial paper</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38,498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38,498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16,161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$ 64,166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In January 2020, the Company issued a convertible note to a trust affiliated with the Company’s CEO. The fair value of the convertible note at issuance on January 30, 2020 was $203.0 million. There were no significant changes in fair value between January 30, 2020 and January 31, 2020. The Company considers the fair value of the convertible note to be a Level 3 measurement as the fair value is estimated using significant unobservable inputs. The fair value of the convertible note was measured using a binomial lattice model. Inputs used to determine the estimated fair value of the convertible note include equity volatility of comparable companies, risk-free interest rate, and estimated fair value of the Company’s common stock. Certain unobservable inputs used in the fair value measurement of the convertible note include assumptions related to future liquidity events. See Note 5, “Convertible Note - Related Party,” for further discussion.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Balance Sheet Components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of January 31,</w:t>
            </w:r>
          </w:p>
        </w:tc>
      </w:tr>
      <w:tr>
        <w:trPr>
          <w:trHeight w:val="142"/>
        </w:trPr>
        <w:tc>
          <w:tcPr>
            <w:tcW w:w="8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Desktop and other computer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1,641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1,857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9,341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3,871</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Total gross property and equipment</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29,646</w:t>
            </w:r>
          </w:p>
        </w:tc>
        <w:tc>
          <w:tcPr>
            <w:tcW w:w="12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(17,469)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(19,546)</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for the years ended January 31, 2019 and 2020 was $2.9 million and $2.2 million, respectively.</w:t>
      </w:r>
    </w:p>
    <w:p>
      <w:pPr>
        <w:spacing w:after="0" w:line="23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changes in the carrying value of capitalized internal-use software costs for the years ended January 31, 2019 and 2020 are as follows (in thousands):</w:t>
      </w:r>
    </w:p>
    <w:p>
      <w:pPr>
        <w:sectPr>
          <w:pgSz w:w="11900" w:h="16838" w:orient="portrait"/>
          <w:cols w:equalWidth="0" w:num="1">
            <w:col w:w="11140"/>
          </w:cols>
          <w:pgMar w:left="320" w:top="459" w:right="439" w:bottom="1440" w:gutter="0" w:footer="0" w:header="0"/>
        </w:sect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as of 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of internal-use software costs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as of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Capitalization of internal-use software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of internal-use software costs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360" w:hanging="359"/>
        <w:spacing w:after="0"/>
        <w:tabs>
          <w:tab w:leader="none" w:pos="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1,801</w:t>
      </w:r>
    </w:p>
    <w:p>
      <w:pPr>
        <w:spacing w:after="0" w:line="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597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4889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1,041</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423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4889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 w:lineRule="exact"/>
        <w:rPr>
          <w:sz w:val="20"/>
          <w:szCs w:val="20"/>
          <w:color w:val="auto"/>
        </w:rPr>
      </w:pPr>
    </w:p>
    <w:p>
      <w:pPr>
        <w:ind w:left="500" w:hanging="499"/>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4889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4889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720"/>
            <w:col w:w="900"/>
          </w:cols>
          <w:pgMar w:left="320" w:top="459" w:right="439" w:bottom="1440" w:gutter="0" w:footer="0" w:header="0"/>
          <w:type w:val="continuous"/>
        </w:sectPr>
      </w:pP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January 31,</w:t>
            </w:r>
          </w:p>
        </w:tc>
      </w:tr>
      <w:tr>
        <w:trPr>
          <w:trHeight w:val="142"/>
        </w:trPr>
        <w:tc>
          <w:tcPr>
            <w:tcW w:w="4540" w:type="dxa"/>
            <w:vAlign w:val="bottom"/>
            <w:tcBorders>
              <w:bottom w:val="single" w:sz="8" w:color="CCEEFF"/>
            </w:tcBorders>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7,460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Deferred contract acquisition costs, current</w:t>
            </w: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2,692</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1,338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3,496</w:t>
            </w: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Total prepaid expenses and other current assets</w:t>
            </w:r>
          </w:p>
        </w:tc>
        <w:tc>
          <w:tcPr>
            <w:tcW w:w="4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4"/>
              </w:rPr>
              <w:t>9,595</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16,667</w:t>
            </w: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540" w:type="dxa"/>
            <w:vAlign w:val="bottom"/>
          </w:tcPr>
          <w:p>
            <w:pPr>
              <w:spacing w:after="0"/>
              <w:rPr>
                <w:sz w:val="24"/>
                <w:szCs w:val="24"/>
                <w:color w:val="auto"/>
              </w:rPr>
            </w:pPr>
          </w:p>
        </w:tc>
        <w:tc>
          <w:tcPr>
            <w:tcW w:w="4540" w:type="dxa"/>
            <w:vAlign w:val="bottom"/>
            <w:gridSpan w:val="2"/>
          </w:tcPr>
          <w:p>
            <w:pPr>
              <w:jc w:val="right"/>
              <w:ind w:right="3310"/>
              <w:spacing w:after="0"/>
              <w:rPr>
                <w:sz w:val="20"/>
                <w:szCs w:val="20"/>
                <w:color w:val="auto"/>
              </w:rPr>
            </w:pPr>
            <w:r>
              <w:rPr>
                <w:rFonts w:ascii="Arial" w:cs="Arial" w:eastAsia="Arial" w:hAnsi="Arial"/>
                <w:sz w:val="18"/>
                <w:szCs w:val="18"/>
                <w:color w:val="auto"/>
              </w:rPr>
              <w:t>F-20</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As of January 31,</w:t>
            </w:r>
          </w:p>
        </w:tc>
      </w:tr>
      <w:tr>
        <w:trPr>
          <w:trHeight w:val="142"/>
        </w:trPr>
        <w:tc>
          <w:tcPr>
            <w:tcW w:w="8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taxes for fringe benefits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3,312</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11,450</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18,241</w:t>
            </w:r>
          </w:p>
        </w:tc>
        <w:tc>
          <w:tcPr>
            <w:tcW w:w="8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Convertible Note - Related Party</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January 2020, the Company issued a 3.5% unsecured senior mandatory convertible promissory note due in 2025 (“Convertible Note”) in a private placement to an entity affiliated with the Company’s CEO. The Convertible Note with a principal amount of $300 million is a senior, unsecured obligation of the Company. The Convertible Note does not contain any financial covenants or place any dividend restrictions on the Company. The Convertible Note matures, and would be converted, on January 30, 2025 (“Maturity Date”) unless earlier converted as discussed below or redeemed in connection with the Company’s bankruptcy, insolvency, or other similar events. The Convertible Note bears interest at a fixed rate of 3.5% per annum that will be compounded annually and payable in-kind, resulting in an aggregate $356 million being due on settlement (the “Settlement Amount”).</w:t>
      </w:r>
    </w:p>
    <w:p>
      <w:pPr>
        <w:spacing w:after="0" w:line="16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initial conversion rate is 31.6649 shares of the Company’s Class B common stock per $1,000 of the Settlement Amount, which equates to a conversion price of $31.58 of the Settlement Amount per share. The initial conversion rate is subject to standard anti-dilution adjustments. The holder of the Convertible Note is not entitled to convert the Convertible Note at any time. The Convertible Note is convertible at the option of the Company at any time until the close of business on the second scheduled trading day prior to the Maturity Date during any calendar quarter beginning after the date of a public listing of the Company’s Class A common stock on any national securities exchange under the following circumstances:</w:t>
      </w:r>
    </w:p>
    <w:p>
      <w:pPr>
        <w:spacing w:after="0" w:line="67" w:lineRule="exact"/>
        <w:rPr>
          <w:sz w:val="20"/>
          <w:szCs w:val="20"/>
          <w:color w:val="auto"/>
        </w:rPr>
      </w:pPr>
    </w:p>
    <w:p>
      <w:pPr>
        <w:ind w:left="1080" w:right="200" w:hanging="532"/>
        <w:spacing w:after="0" w:line="308"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the closing price of the Company’s Class A common stock for at least 20 trading days in the 30 consecutive trading days ending on the last trading day of the immediately preceding calendar quarter equals or exceeds the conversion price (initially $31.58); or</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Convertible Note.</w:t>
      </w:r>
    </w:p>
    <w:p>
      <w:pPr>
        <w:spacing w:after="0" w:line="225"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If the Convertible Note is outstanding as of the Maturity Date and a public listing of the Company’s common stock has occurred, the Convertible Note will automatically convert into an number of shares of Class A common stock of the Company at a conversion rate equal to the greater of (i) the initial conversion rate per $1,000 of the Settlement Amount of the Convertible Note, subject to standard anti-dilution adjustments, and (ii) the lesser of</w:t>
      </w:r>
    </w:p>
    <w:p>
      <w:pPr>
        <w:spacing w:after="0" w:line="2" w:lineRule="exact"/>
        <w:rPr>
          <w:sz w:val="20"/>
          <w:szCs w:val="20"/>
          <w:color w:val="auto"/>
        </w:rPr>
      </w:pPr>
    </w:p>
    <w:p>
      <w:pPr>
        <w:ind w:left="120" w:right="20" w:hanging="4"/>
        <w:spacing w:after="0" w:line="281" w:lineRule="auto"/>
        <w:tabs>
          <w:tab w:leader="none" w:pos="365" w:val="left"/>
        </w:tabs>
        <w:numPr>
          <w:ilvl w:val="0"/>
          <w:numId w:val="91"/>
        </w:numPr>
        <w:rPr>
          <w:rFonts w:ascii="Arial" w:cs="Arial" w:eastAsia="Arial" w:hAnsi="Arial"/>
          <w:sz w:val="16"/>
          <w:szCs w:val="16"/>
          <w:color w:val="auto"/>
        </w:rPr>
      </w:pPr>
      <w:r>
        <w:rPr>
          <w:rFonts w:ascii="Arial" w:cs="Arial" w:eastAsia="Arial" w:hAnsi="Arial"/>
          <w:sz w:val="16"/>
          <w:szCs w:val="16"/>
          <w:color w:val="auto"/>
        </w:rPr>
        <w:t>$1,000 divided by the volume-weighted average price of the Company’s Class A common stock for the 20 trading days ending on the last trading day immediately preceding the Maturity Date and (b) 50.6638 shares per each $1,000 of the Settlement Amount, subject to standard anti-dilution adjustments. In the event that a public listing of the Company’s common stock has not occurred by the close of business on the second day prior to the Maturity Date, the Convertible Note shall convert into shares of the capital stock of the Company’s most recent equity financing, at the lesser of (i)</w:t>
      </w:r>
    </w:p>
    <w:p>
      <w:pPr>
        <w:spacing w:after="0" w:line="2" w:lineRule="exact"/>
        <w:rPr>
          <w:rFonts w:ascii="Arial" w:cs="Arial" w:eastAsia="Arial" w:hAnsi="Arial"/>
          <w:sz w:val="16"/>
          <w:szCs w:val="16"/>
          <w:color w:val="auto"/>
        </w:rPr>
      </w:pPr>
    </w:p>
    <w:p>
      <w:pPr>
        <w:ind w:left="120" w:right="60"/>
        <w:spacing w:after="0" w:line="290" w:lineRule="auto"/>
        <w:rPr>
          <w:rFonts w:ascii="Arial" w:cs="Arial" w:eastAsia="Arial" w:hAnsi="Arial"/>
          <w:sz w:val="16"/>
          <w:szCs w:val="16"/>
          <w:color w:val="auto"/>
        </w:rPr>
      </w:pPr>
      <w:r>
        <w:rPr>
          <w:rFonts w:ascii="Arial" w:cs="Arial" w:eastAsia="Arial" w:hAnsi="Arial"/>
          <w:sz w:val="17"/>
          <w:szCs w:val="17"/>
          <w:color w:val="auto"/>
        </w:rPr>
        <w:t>50.6638 shares per each $1,000 of the Settlement Amount, subject to standard anti-dilution adjustments, and (ii) $1,000 divided by the price per share at which such capital stock was sold in the most recent equity financing per each $1,000 of the Settlement Amount of the Convertible Note.</w:t>
      </w:r>
    </w:p>
    <w:p>
      <w:pPr>
        <w:spacing w:after="0" w:line="16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Convertible Note was initially measured and recorded at fair value based on a binomial lattice model, including assumptions associated with the probability of future liquidity events. The excess $97.0 million of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proceeds received from the issuance of the Convertible Note over the fair value of the Convertible Note was recorded as a capital contribution in additional paid-in capital. The difference between the par value of the Convertible Note and the carrying amount represents the debt discount that is amortized to interest expense at an effective interest rate over the term of the Convertible Note. Debt issuance costs for the Convertible Note were not material.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net carrying amount of the Convertible Note was as follows (in thousands):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interest expense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carrying amount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expense related to the Convertible Note was as follows (in thousands):</w:t>
      </w: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Contractual interest expense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Standby Letters of Credit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85"/>
        <w:spacing w:after="0"/>
        <w:rPr>
          <w:sz w:val="20"/>
          <w:szCs w:val="20"/>
          <w:color w:val="auto"/>
        </w:rPr>
      </w:pPr>
      <w:r>
        <w:rPr>
          <w:rFonts w:ascii="Arial" w:cs="Arial" w:eastAsia="Arial" w:hAnsi="Arial"/>
          <w:sz w:val="14"/>
          <w:szCs w:val="14"/>
          <w:b w:val="1"/>
          <w:bCs w:val="1"/>
          <w:color w:val="auto"/>
        </w:rPr>
        <w:t>January 31, 2020</w:t>
      </w:r>
    </w:p>
    <w:p>
      <w:pPr>
        <w:spacing w:after="0" w:line="25" w:lineRule="exact"/>
        <w:rPr>
          <w:sz w:val="20"/>
          <w:szCs w:val="20"/>
          <w:color w:val="auto"/>
        </w:rPr>
      </w:pPr>
    </w:p>
    <w:p>
      <w:pPr>
        <w:ind w:left="625" w:hanging="625"/>
        <w:spacing w:after="0"/>
        <w:tabs>
          <w:tab w:leader="none" w:pos="625" w:val="left"/>
        </w:tabs>
        <w:numPr>
          <w:ilvl w:val="0"/>
          <w:numId w:val="92"/>
        </w:numPr>
        <w:rPr>
          <w:rFonts w:ascii="Arial" w:cs="Arial" w:eastAsia="Arial" w:hAnsi="Arial"/>
          <w:sz w:val="17"/>
          <w:szCs w:val="17"/>
          <w:color w:val="auto"/>
        </w:rPr>
      </w:pPr>
      <w:r>
        <w:rPr>
          <w:rFonts w:ascii="Arial" w:cs="Arial" w:eastAsia="Arial" w:hAnsi="Arial"/>
          <w:sz w:val="17"/>
          <w:szCs w:val="17"/>
          <w:color w:val="auto"/>
        </w:rPr>
        <w:t>300,000</w:t>
      </w:r>
    </w:p>
    <w:p>
      <w:pPr>
        <w:spacing w:after="0" w:line="19" w:lineRule="exact"/>
        <w:rPr>
          <w:rFonts w:ascii="Arial" w:cs="Arial" w:eastAsia="Arial" w:hAnsi="Arial"/>
          <w:sz w:val="17"/>
          <w:szCs w:val="17"/>
          <w:color w:val="auto"/>
        </w:rPr>
      </w:pPr>
    </w:p>
    <w:p>
      <w:pPr>
        <w:ind w:left="645"/>
        <w:spacing w:after="0"/>
        <w:rPr>
          <w:rFonts w:ascii="Arial" w:cs="Arial" w:eastAsia="Arial" w:hAnsi="Arial"/>
          <w:sz w:val="17"/>
          <w:szCs w:val="17"/>
          <w:color w:val="auto"/>
        </w:rPr>
      </w:pPr>
      <w:r>
        <w:rPr>
          <w:rFonts w:ascii="Arial" w:cs="Arial" w:eastAsia="Arial" w:hAnsi="Arial"/>
          <w:sz w:val="16"/>
          <w:szCs w:val="16"/>
          <w:color w:val="auto"/>
        </w:rPr>
        <w:t>(96,932)</w:t>
      </w:r>
    </w:p>
    <w:p>
      <w:pPr>
        <w:spacing w:after="0" w:line="32" w:lineRule="exact"/>
        <w:rPr>
          <w:rFonts w:ascii="Arial" w:cs="Arial" w:eastAsia="Arial" w:hAnsi="Arial"/>
          <w:sz w:val="17"/>
          <w:szCs w:val="17"/>
          <w:color w:val="auto"/>
        </w:rPr>
      </w:pPr>
    </w:p>
    <w:p>
      <w:pPr>
        <w:ind w:left="1025"/>
        <w:spacing w:after="0"/>
        <w:rPr>
          <w:rFonts w:ascii="Arial" w:cs="Arial" w:eastAsia="Arial" w:hAnsi="Arial"/>
          <w:sz w:val="17"/>
          <w:szCs w:val="17"/>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626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2" w:lineRule="exact"/>
        <w:rPr>
          <w:sz w:val="20"/>
          <w:szCs w:val="20"/>
          <w:color w:val="auto"/>
        </w:rPr>
      </w:pPr>
    </w:p>
    <w:p>
      <w:pPr>
        <w:ind w:left="625" w:hanging="625"/>
        <w:spacing w:after="0"/>
        <w:tabs>
          <w:tab w:leader="none" w:pos="625" w:val="left"/>
        </w:tabs>
        <w:numPr>
          <w:ilvl w:val="0"/>
          <w:numId w:val="93"/>
        </w:numPr>
        <w:rPr>
          <w:rFonts w:ascii="Arial" w:cs="Arial" w:eastAsia="Arial" w:hAnsi="Arial"/>
          <w:sz w:val="17"/>
          <w:szCs w:val="17"/>
          <w:color w:val="auto"/>
        </w:rPr>
      </w:pPr>
      <w:r>
        <w:rPr>
          <w:rFonts w:ascii="Arial" w:cs="Arial" w:eastAsia="Arial" w:hAnsi="Arial"/>
          <w:sz w:val="17"/>
          <w:szCs w:val="17"/>
          <w:color w:val="auto"/>
        </w:rPr>
        <w:t>203,097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626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7626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4"/>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44"/>
        <w:spacing w:after="0"/>
        <w:rPr>
          <w:sz w:val="20"/>
          <w:szCs w:val="20"/>
          <w:color w:val="auto"/>
        </w:rPr>
      </w:pPr>
      <w:r>
        <w:rPr>
          <w:rFonts w:ascii="Arial" w:cs="Arial" w:eastAsia="Arial" w:hAnsi="Arial"/>
          <w:sz w:val="14"/>
          <w:szCs w:val="14"/>
          <w:b w:val="1"/>
          <w:bCs w:val="1"/>
          <w:u w:val="single" w:color="auto"/>
          <w:color w:val="auto"/>
        </w:rPr>
        <w:t>January 31, 2020</w:t>
      </w:r>
    </w:p>
    <w:p>
      <w:pPr>
        <w:spacing w:after="0" w:line="9" w:lineRule="exact"/>
        <w:rPr>
          <w:sz w:val="20"/>
          <w:szCs w:val="20"/>
          <w:color w:val="auto"/>
        </w:rPr>
      </w:pPr>
    </w:p>
    <w:p>
      <w:pPr>
        <w:ind w:left="1085" w:hanging="977"/>
        <w:spacing w:after="0"/>
        <w:tabs>
          <w:tab w:leader="none" w:pos="1085" w:val="left"/>
        </w:tabs>
        <w:numPr>
          <w:ilvl w:val="0"/>
          <w:numId w:val="94"/>
        </w:numPr>
        <w:rPr>
          <w:rFonts w:ascii="Arial" w:cs="Arial" w:eastAsia="Arial" w:hAnsi="Arial"/>
          <w:sz w:val="16"/>
          <w:szCs w:val="16"/>
          <w:color w:val="auto"/>
        </w:rPr>
      </w:pPr>
      <w:r>
        <w:rPr>
          <w:rFonts w:ascii="Arial" w:cs="Arial" w:eastAsia="Arial" w:hAnsi="Arial"/>
          <w:sz w:val="16"/>
          <w:szCs w:val="16"/>
          <w:color w:val="auto"/>
        </w:rPr>
        <w:t>49</w:t>
      </w:r>
    </w:p>
    <w:p>
      <w:pPr>
        <w:spacing w:after="0" w:line="30" w:lineRule="exact"/>
        <w:rPr>
          <w:rFonts w:ascii="Arial" w:cs="Arial" w:eastAsia="Arial" w:hAnsi="Arial"/>
          <w:sz w:val="16"/>
          <w:szCs w:val="16"/>
          <w:color w:val="auto"/>
        </w:rPr>
      </w:pPr>
    </w:p>
    <w:p>
      <w:pPr>
        <w:ind w:left="1085"/>
        <w:spacing w:after="0"/>
        <w:rPr>
          <w:rFonts w:ascii="Arial" w:cs="Arial" w:eastAsia="Arial" w:hAnsi="Arial"/>
          <w:sz w:val="16"/>
          <w:szCs w:val="16"/>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20320</wp:posOffset>
            </wp:positionV>
            <wp:extent cx="7372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5" w:lineRule="exact"/>
        <w:rPr>
          <w:sz w:val="20"/>
          <w:szCs w:val="20"/>
          <w:color w:val="auto"/>
        </w:rPr>
      </w:pPr>
    </w:p>
    <w:p>
      <w:pPr>
        <w:ind w:left="1085" w:hanging="977"/>
        <w:spacing w:after="0"/>
        <w:tabs>
          <w:tab w:leader="none" w:pos="1085" w:val="left"/>
        </w:tabs>
        <w:numPr>
          <w:ilvl w:val="0"/>
          <w:numId w:val="95"/>
        </w:numPr>
        <w:rPr>
          <w:rFonts w:ascii="Arial" w:cs="Arial" w:eastAsia="Arial" w:hAnsi="Arial"/>
          <w:sz w:val="16"/>
          <w:szCs w:val="16"/>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29210</wp:posOffset>
            </wp:positionV>
            <wp:extent cx="7372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46355</wp:posOffset>
            </wp:positionV>
            <wp:extent cx="7372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65" w:lineRule="exact"/>
        <w:rPr>
          <w:sz w:val="20"/>
          <w:szCs w:val="20"/>
          <w:color w:val="auto"/>
        </w:rPr>
      </w:pPr>
    </w:p>
    <w:p>
      <w:pPr>
        <w:sectPr>
          <w:pgSz w:w="11900" w:h="16838" w:orient="portrait"/>
          <w:cols w:equalWidth="0" w:num="2">
            <w:col w:w="9075" w:space="720"/>
            <w:col w:w="1325"/>
          </w:cols>
          <w:pgMar w:left="320" w:top="459" w:right="459" w:bottom="1440" w:gutter="0" w:footer="0" w:header="0"/>
          <w:type w:val="continuous"/>
        </w:sectPr>
      </w:pPr>
    </w:p>
    <w:p>
      <w:pPr>
        <w:ind w:left="120" w:right="80" w:firstLine="440"/>
        <w:spacing w:after="0" w:line="263" w:lineRule="auto"/>
        <w:rPr>
          <w:sz w:val="20"/>
          <w:szCs w:val="20"/>
          <w:color w:val="auto"/>
        </w:rPr>
      </w:pPr>
      <w:r>
        <w:rPr>
          <w:rFonts w:ascii="Arial" w:cs="Arial" w:eastAsia="Arial" w:hAnsi="Arial"/>
          <w:sz w:val="18"/>
          <w:szCs w:val="18"/>
          <w:color w:val="auto"/>
        </w:rPr>
        <w:t>As of January 31, 2019 and 2020, the Company had several letters of credit outstanding related to its operating leases totaling $2.8 million and $4.7 million, respectively. The letters of credit expire at various dates between 2021 to 2023. All standby letters of credit are included in restricted cash, noncurrent as of January 31, 2019 and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December 2018, the Company entered into a 27-month contract with Amazon Web Services for hosting-related services. Pursuant to the terms of the contract, the Company is required to spend a minimum of $9.0 million within the first year and an additional minimum of $11.0 million within the second year. As of January 31, 2020, the Company had $9.2 million remaining on the commitment.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From time to time in the normal course of business, the Company may be subject to various claims and other legal matters arising in the ordinary course of business. The Company believes that none of its current legal proceedings will have a material adverse effect on its financial position, results of operations, or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leases real estate facilities under non-cancelable operating leases with various expiration dates through fiscal 2024. The Company has no lease agreements that are classified as finance leases.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costs, lease term, and discount rate for operating leases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97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January 31, 2020</w:t>
            </w:r>
          </w:p>
        </w:tc>
      </w:tr>
      <w:tr>
        <w:trPr>
          <w:trHeight w:val="210"/>
        </w:trPr>
        <w:tc>
          <w:tcPr>
            <w:tcW w:w="9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costs (in thousands)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Short-term lease costs (in thousands)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1,979</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costs (in thousands)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Total lease costs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220" w:type="dxa"/>
            <w:vAlign w:val="bottom"/>
          </w:tcPr>
          <w:p>
            <w:pPr>
              <w:spacing w:after="0"/>
              <w:rPr>
                <w:sz w:val="19"/>
                <w:szCs w:val="19"/>
                <w:color w:val="auto"/>
              </w:rPr>
            </w:pPr>
          </w:p>
        </w:tc>
      </w:tr>
      <w:tr>
        <w:trPr>
          <w:trHeight w:val="20"/>
        </w:trPr>
        <w:tc>
          <w:tcPr>
            <w:tcW w:w="9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cash flow information related to operating leases are as follows (in thousands):</w:t>
      </w:r>
    </w:p>
    <w:p>
      <w:pPr>
        <w:spacing w:after="0" w:line="244"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Year Ended</w:t>
      </w:r>
    </w:p>
    <w:p>
      <w:pPr>
        <w:jc w:val="center"/>
        <w:ind w:left="9600"/>
        <w:spacing w:after="0" w:line="236" w:lineRule="auto"/>
        <w:rPr>
          <w:sz w:val="20"/>
          <w:szCs w:val="20"/>
          <w:color w:val="auto"/>
        </w:rPr>
      </w:pPr>
      <w:r>
        <w:rPr>
          <w:rFonts w:ascii="Arial" w:cs="Arial" w:eastAsia="Arial" w:hAnsi="Arial"/>
          <w:sz w:val="14"/>
          <w:szCs w:val="14"/>
          <w:b w:val="1"/>
          <w:bCs w:val="1"/>
          <w:color w:val="auto"/>
        </w:rPr>
        <w:t>January 31, 2020</w:t>
      </w:r>
    </w:p>
    <w:tbl>
      <w:tblPr>
        <w:tblLayout w:type="fixed"/>
        <w:tblInd w:w="120" w:type="dxa"/>
        <w:tblCellMar>
          <w:top w:w="0" w:type="dxa"/>
          <w:left w:w="0" w:type="dxa"/>
          <w:bottom w:w="0" w:type="dxa"/>
          <w:right w:w="0" w:type="dxa"/>
        </w:tblCellMar>
      </w:tblP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9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11,739</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total remaining operating lease payments included in the measurement of operating lease liabilities was as follows (in thousands):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900" w:type="dxa"/>
            <w:vAlign w:val="bottom"/>
            <w:gridSpan w:val="2"/>
          </w:tcPr>
          <w:p>
            <w:pPr>
              <w:spacing w:after="0"/>
              <w:rPr>
                <w:sz w:val="20"/>
                <w:szCs w:val="20"/>
                <w:color w:val="auto"/>
              </w:rPr>
            </w:pPr>
            <w:r>
              <w:rPr>
                <w:rFonts w:ascii="Arial" w:cs="Arial" w:eastAsia="Arial" w:hAnsi="Arial"/>
                <w:sz w:val="14"/>
                <w:szCs w:val="14"/>
                <w:b w:val="1"/>
                <w:bCs w:val="1"/>
                <w:color w:val="auto"/>
              </w:rPr>
              <w:t>Year Ending January 31:</w:t>
            </w:r>
          </w:p>
        </w:tc>
        <w:tc>
          <w:tcPr>
            <w:tcW w:w="140" w:type="dxa"/>
            <w:vAlign w:val="bottom"/>
          </w:tcPr>
          <w:p>
            <w:pPr>
              <w:spacing w:after="0"/>
              <w:rPr>
                <w:sz w:val="16"/>
                <w:szCs w:val="16"/>
                <w:color w:val="auto"/>
              </w:rPr>
            </w:pPr>
          </w:p>
        </w:tc>
        <w:tc>
          <w:tcPr>
            <w:tcW w:w="1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Operating Lease Payments</w:t>
            </w:r>
          </w:p>
        </w:tc>
      </w:tr>
      <w:tr>
        <w:trPr>
          <w:trHeight w:val="203"/>
        </w:trPr>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7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12,156</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2022</w:t>
            </w:r>
          </w:p>
        </w:tc>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7,924</w:t>
            </w:r>
          </w:p>
        </w:tc>
        <w:tc>
          <w:tcPr>
            <w:tcW w:w="12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2024</w:t>
            </w:r>
          </w:p>
        </w:tc>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 undiscounted operating lease payments</w:t>
            </w:r>
          </w:p>
        </w:tc>
        <w:tc>
          <w:tcPr>
            <w:tcW w:w="1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(767)</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Company has an additional operating lease arrangement for office space in San Francisco, for which the lease commencement has not yet occurred. As part of the agreement, the Company is required to issue a $17.0 million letter of credit upon access to the office space, which is expected to occur in the second quarter of fiscal 2021. This lease is expected to commence in the second quarter of fiscal 2021, with a lease expiration date of October 2033. The Company expects to start making recurring rental payments under the lease in the fourth quarter of fiscal 2021. The Company will participate in the construction of the office space and will incur construction costs to prepare the office space for its use, which will be partially reimbursed by the landlord. The future minimum payments and capital commitments related to this lease, which include tenant improvement allowances of $26.6 million, total $466.0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Disclosures for Fiscal 2019 (Prior to Adoption of ASC 842)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Rent expense was $5.8 million for the year ended January 31, 2019.</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following is a schedule of the future minimum lease payments required under non-cancelable operating leases as of January 31, 2019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January 31,</w:t>
            </w: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Minimum Lease</w:t>
            </w:r>
          </w:p>
        </w:tc>
        <w:tc>
          <w:tcPr>
            <w:tcW w:w="0" w:type="dxa"/>
            <w:vAlign w:val="bottom"/>
          </w:tcPr>
          <w:p>
            <w:pPr>
              <w:spacing w:after="0"/>
              <w:rPr>
                <w:sz w:val="1"/>
                <w:szCs w:val="1"/>
                <w:color w:val="auto"/>
              </w:rPr>
            </w:pPr>
          </w:p>
        </w:tc>
      </w:tr>
      <w:tr>
        <w:trPr>
          <w:trHeight w:val="178"/>
        </w:trPr>
        <w:tc>
          <w:tcPr>
            <w:tcW w:w="724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4"/>
          </w:tcPr>
          <w:p>
            <w:pPr>
              <w:jc w:val="right"/>
              <w:ind w:right="360"/>
              <w:spacing w:after="0" w:line="158"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03"/>
        </w:trPr>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57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203"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8,708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10,699</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7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2023</w:t>
            </w:r>
          </w:p>
        </w:tc>
        <w:tc>
          <w:tcPr>
            <w:tcW w:w="5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7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23"/>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29,802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Net Loss per Share</w:t>
            </w: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4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80" w:type="dxa"/>
            <w:vAlign w:val="bottom"/>
            <w:gridSpan w:val="6"/>
          </w:tcPr>
          <w:p>
            <w:pPr>
              <w:ind w:left="440"/>
              <w:spacing w:after="0"/>
              <w:rPr>
                <w:sz w:val="20"/>
                <w:szCs w:val="20"/>
                <w:color w:val="auto"/>
              </w:rPr>
            </w:pPr>
            <w:r>
              <w:rPr>
                <w:rFonts w:ascii="Arial" w:cs="Arial" w:eastAsia="Arial" w:hAnsi="Arial"/>
                <w:sz w:val="18"/>
                <w:szCs w:val="18"/>
                <w:color w:val="auto"/>
                <w:w w:val="95"/>
              </w:rPr>
              <w:t>The following table presents the calculation of basic and diluted net loss per share (in thousands, except per share data):</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As of January 31,</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(50,928)</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(118,589)</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Weighted-average shares used in calculating net loss per share, basic and diluted</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65,214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(0.78)</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for the period presented because including them would have been anti-dilutive are as follows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As of January 31,</w:t>
            </w:r>
          </w:p>
        </w:tc>
      </w:tr>
      <w:tr>
        <w:trPr>
          <w:trHeight w:val="142"/>
        </w:trPr>
        <w:tc>
          <w:tcPr>
            <w:tcW w:w="86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 options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33,878</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34,517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Early exercised stock options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108,243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109,578</w:t>
            </w: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Additionally, approximately 18,051,810 shares of the Company’s Class B common stock underlying the conversion option in the Convertible Note are not considered in the calculation of diluted net loss per share as the effect would be anti-dilutive.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Unaudited pro forma net loss per share for the year ended January 31, 2020 has been computed assuming the conversion of all redeemable convertible preferred stock and the exercise of redeemable convertible preferred stock warrants as of the beginning of the period or the original date of issuance or exercise, if later.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calculation of pro forma basic and diluted net loss per share (in thousands, except per share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9740" w:type="dxa"/>
            <w:vAlign w:val="bottom"/>
          </w:tcPr>
          <w:p>
            <w:pPr>
              <w:spacing w:after="0"/>
              <w:rPr>
                <w:sz w:val="14"/>
                <w:szCs w:val="14"/>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January 31, 2020</w:t>
            </w:r>
          </w:p>
        </w:tc>
      </w:tr>
      <w:tr>
        <w:trPr>
          <w:trHeight w:val="142"/>
        </w:trPr>
        <w:tc>
          <w:tcPr>
            <w:tcW w:w="9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9"/>
              </w:rPr>
              <w:t>(unaudited)</w:t>
            </w:r>
          </w:p>
        </w:tc>
        <w:tc>
          <w:tcPr>
            <w:tcW w:w="120" w:type="dxa"/>
            <w:vAlign w:val="bottom"/>
          </w:tcPr>
          <w:p>
            <w:pPr>
              <w:spacing w:after="0"/>
              <w:rPr>
                <w:sz w:val="12"/>
                <w:szCs w:val="12"/>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(118,589)</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Pro forma 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(118,472)</w:t>
            </w:r>
          </w:p>
        </w:tc>
        <w:tc>
          <w:tcPr>
            <w:tcW w:w="12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Weighted-average shares used in calculating net loss per share, basic and diluted</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70,335</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conversion of redeemable convertible preferred stock</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73,552</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Weighted-average shares used in computing pro forma net loss per share, basic and diluted</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143,887</w:t>
            </w:r>
          </w:p>
        </w:tc>
        <w:tc>
          <w:tcPr>
            <w:tcW w:w="12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w:t>
            </w:r>
          </w:p>
        </w:tc>
      </w:tr>
      <w:tr>
        <w:trPr>
          <w:trHeight w:val="20"/>
        </w:trPr>
        <w:tc>
          <w:tcPr>
            <w:tcW w:w="9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Series 1 Redeemable Convertible Preferred Stock and Series A–Series E Redeemable Convertible Preferred Stock</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There are eight authorized series of redeemable convertible preferred stock that total 151,101,040 shares. There have been no shares issued of Series A-1, Series B-1, Series C-1, Series D-1, or Series E-1 redeemable convertible preferred stock.</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fiscal 2010, one of the Company’s founders exchanged 1,560,000 shares of vested common stock and cash of less than $0.1 million into 1,560,000 shares of Series 1 redeemable convertible preferred stock.</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following table summarizes the Company’s redeemable convertible preferred stock at January 31, 2020 (in thousands, except per share amounts):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Shares Issued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Original</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Issuance Price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Authorized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A</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20,771</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20,771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B</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28,404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28,375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C</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20,186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85,980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86,112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74,845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50,931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3"/>
          <w:szCs w:val="13"/>
          <w:color w:val="auto"/>
        </w:rPr>
        <w:t>Certain figures may not sum due to rounding.</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following table summarizes the Company’s redeemable convertible preferred stock at January 31, 2019 (in thousands, except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Issuance Price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Authorized</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A</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20,771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20,771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20,771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B</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10,447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28,193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28,292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C</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21,000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85,980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86,112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21,000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D</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15,000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14,353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E</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50,931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3"/>
          <w:szCs w:val="13"/>
          <w:color w:val="auto"/>
        </w:rPr>
        <w:t>Certain figures may not sum due to rounding.</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rights, preferences and privileges of the above redeemable convertible preferred stock are as follows: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1 Redeemable Convertible Preferred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Each share of Series 1 redeemable convertible preferred stock is convertible, at the option of the holder, at any time, into shares of Class B common stock determined by dividing $1.00 by the conversion price, which is initially $1.00. Effective immediately upon the purchase by an investor of Series 1 redeemable convertible preferred stock in connection with a future equity financing, each share of Series 1 preferred stock shall automatically convert into shares of the series of preferred stock of the Company issued in the next equity financing (defined as an event where at least $1 million worth of new preferred stock is issued) at the conversion ratio (the inverse of the ratio at which a share of subsequent preferred stock is convertible into common stock of the Company).</w:t>
      </w:r>
    </w:p>
    <w:p>
      <w:pPr>
        <w:spacing w:after="0" w:line="19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Each share of Series 1 redeemable convertible preferred stock will automatically convert into shares of Class B common stock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$75 million (net of underwriting discounts and commissions), (ii) the date specified by the written consent or agreement of the holders of a majority of the then outstanding shares of Series 1 redeemable convertible preferred stock, voting together as a single class,</w:t>
      </w:r>
    </w:p>
    <w:p>
      <w:pPr>
        <w:spacing w:after="0" w:line="2" w:lineRule="exact"/>
        <w:rPr>
          <w:sz w:val="20"/>
          <w:szCs w:val="20"/>
          <w:color w:val="auto"/>
        </w:rPr>
      </w:pPr>
    </w:p>
    <w:p>
      <w:pPr>
        <w:ind w:left="120" w:right="200" w:hanging="4"/>
        <w:spacing w:after="0" w:line="273" w:lineRule="auto"/>
        <w:tabs>
          <w:tab w:leader="none" w:pos="435" w:val="left"/>
        </w:tabs>
        <w:numPr>
          <w:ilvl w:val="0"/>
          <w:numId w:val="96"/>
        </w:numPr>
        <w:rPr>
          <w:rFonts w:ascii="Arial" w:cs="Arial" w:eastAsia="Arial" w:hAnsi="Arial"/>
          <w:sz w:val="17"/>
          <w:szCs w:val="17"/>
          <w:color w:val="auto"/>
        </w:rPr>
      </w:pPr>
      <w:r>
        <w:rPr>
          <w:rFonts w:ascii="Arial" w:cs="Arial" w:eastAsia="Arial" w:hAnsi="Arial"/>
          <w:sz w:val="17"/>
          <w:szCs w:val="17"/>
          <w:color w:val="auto"/>
        </w:rPr>
        <w:t>immediately following the approval of a liquidation transaction (as defined in the Company’s Amended and Restated Certificate of Incorporation) by the holders of a majority of the then-outstanding shares of common stock, or (iv) the date on which all shares of redeemable convertible preferred stock are automatically converted into shares of common stock pursuant to the vote or written consent of the holders of the majority of the then-outstanding shares of Series A and Series B redeemable convertible preferred stock, voting together as a single class.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Subject to the dividends that the holders of the outstanding shares of redeemable convertible preferred stock are entitled to receive, the holders of Series 1 redeemable convertible preferred stock shall be entitled to receive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noncumulative dividends, when and as declared by the Board, on a pro rata basis with the holders of common stock, based on the number of shares of common stock held by each (assuming conversion of all the Series 1 redeemable convertible preferred stock into common stock). As of January 31, 2019 and 2020, no dividends have been declared.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Upon liquidation, dissolution or winding up of the Company, the holder of the Series 1 redeemable convertible preferred stock shall be entitled to receive after the payment of the liquidation preference of redeemable convertible preferred stock, all remaining assets available for distribution, if any, to be distributed ratably among the holders of the Series 1 redeemable convertible preferred stock and common stock. If available assets are insufficient to pay the full liquidation preference, the available assets will be distributed pro rata to the holders of the redeemable convertible preferred stock based on the preferential amount each holder is entitled to receive.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holder of each share of Series 1 redeemable convertible preferred stock has the right to 100 votes for each share of Class B common stock into which such preferred stock could then be converted. Such holder has voting rights and powers equal to those of the holders of common stock and the holders of Series 1 redeemable convertible preferred stock and common stock shall vote together as a single class on all matters. The holder of shares of Series 1 redeemable convertible preferred stock does not have the right to vote as redeemable convertible preferred stock on any matters.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While Series 1 redeemable convertible preferred stock does not have mandatory redemption provisions, it is contingently redeemable upon a deemed liquidation event.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of Series 1 Redeemable Convertible Preferred Stock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deemed liquidation preference provisions of the Series 1 redeemable convertible preferred stock are considered contingent redemption provisions that are not solely within the Company’s control. Accordingly, the Series 1 redeemable convertible preferred stock has been presented outside of permanent equity in the mezzanine section of the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A–Series E Redeemable Convertible Preferred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Each share of Series A and Series A-1 redeemable convertible preferred stock is convertible, at the option of the holder, at any time, into shares of common stock determined by dividing $0.51 by the conversion price. Each share of Series B and Series B-1 redeemable convertible preferred stock is convertible, at the option of the holder, at any time, into shares of common stock determined by dividing $2.71 by the conversion price. Each share of Series C and Series C-1 redeemable convertible preferred stock is convertible, at the option of the holder, at any time, into shares of common stock determined by dividing $4.27 by the conversion price. Each share of Series D and Series D-1 redeemable convertible preferred stock is convertible, at the option of the holder, at any time, into shares of common stock determined by dividing $5.23 by the conversion price. Each share of Series E and Series E-1 redeemable convertible preferred stock is convertible, at the option of the holder, at any time, into shares of common stock determined by dividing $8.19 by the conversion price. The initial conversion price per share of the redeemable convertible preferred stock is the original issue price.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conversion price is subject to adjustments such as stock splits, common stock dividends, combinations, subdivisions, recapitalizations, or the like.</w:t>
      </w:r>
    </w:p>
    <w:p>
      <w:pPr>
        <w:spacing w:after="0" w:line="23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Each share of Series A, Series B, Series C, Series D, and Series E redeemable convertible preferred stock and each share of Series A-1, Series B-1, Series C-1, Series D-1, and Series E-1 will automatically convert into one share of Class B common stock or Class A common stock, respectively,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$100 million (net of underwriting discounts and commissions) or (ii) the date specified by the written consent or agreement of the holders of a majority of the then outstanding shares of Series A, Series B, Series C, Series D, and Series E redeemable convertible preferred stock, voting together as a single class.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holders of the outstanding shares of redeemable convertible preferred stock are entitled to receive, when and if declared by the Board of Directors, a noncumulative dividend at the annual rate of $0.04 per share for Series A and Series A-1, $0.22 per share for Series B and Series B-1, $0.34 per share for Series C and Series C-1, $0.42 per share for Series D and Series D-1, and $0.65 per share for Series E and Series E-1. Such dividends are payable in preference to any dividends for common stock or Series 1 redeemable convertible preferred stock declared by the Board of Directors. After payments of such dividends, any additional dividends shall be distributed among holders of Series A - E redeemable convertible preferred stock, Series 1 redeemable convertible preferred stock, and common stock pro rata based on the number of shares held by each holder (assuming conversion of all such stock into common stock). No dividends have been declared as of January 31, 2019 and 2020.</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Upon liquidation, dissolution, or winding up of the Company, the holders of the redeemable convertible preferred stock shall be entitled to receive, prior and in preference to any distribution of any of the assets or surplus funds of the Company to the holders of shares of common stock or Series 1 redeemable convertible preferred stock, an amount equal to $0.51 per share for Series A and Series A-1, $2.71 per share for Series B and Series B-1, $4.27 per share for Series C and Series C-1, $5.23 per share for Series D and Series D-1, and $8.19 per share for Series E and Series E-1, plus any declared but unpaid dividends on such shares (“liquidation preference”). After the payment of the liquidation preference, all remaining assets available for distribution, if any, shall be distributed ratably among the holders of the Series A - E redeemable convertible preferred stock, Series 1 redeemable convertible preferred stock, and common stock. If the assets of the Company are insufficient to permit payments of the full amounts described above, then the assets shall be distributed ratably among the holders of the redeemable convertible preferred stock in proportion to the full amounts they would otherwise be entitled to receive. After payment to the holders of redeemable convertible preferred stock of the full amounts they are entitled to receive, the entire remaining assets of the Company shall be distributed ratably among the holders of Series 1 redeemable convertible preferred stock and common stock.</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holders of each share of Series A, Series B, Series C or Series D redeemable convertible preferred stock have the right to one hundred</w:t>
      </w:r>
    </w:p>
    <w:p>
      <w:pPr>
        <w:spacing w:after="0" w:line="35" w:lineRule="exact"/>
        <w:rPr>
          <w:sz w:val="20"/>
          <w:szCs w:val="20"/>
          <w:color w:val="auto"/>
        </w:rPr>
      </w:pPr>
    </w:p>
    <w:p>
      <w:pPr>
        <w:ind w:left="120" w:right="20" w:hanging="4"/>
        <w:spacing w:after="0" w:line="253" w:lineRule="auto"/>
        <w:tabs>
          <w:tab w:leader="none" w:pos="5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votes for each share of Class B common stock into which such Series A, Series B, Series C, Series D or Series E redeemable convertible preferred stock could then be converted. The holders of each share of Series A-1, Series B-1, Series C-1, Series D-1 or Series E-1 redeemable convertible preferred stock shall have the right to one (1) vote for each share of Class A common stock into which such Series could then be converted. Such holder has voting rights and powers equal to those of the holders of common stock. The holders of a majority of the outstanding shares of Series A redeemable convertible preferred</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stock, voting as a separate class, are entitled to elect one member of the Board of Directors. The holders of a majority of the voting power of the then outstanding shares of common stock, voting as a separate class, are entitled to elect one member of the Board of Directors. The holders of a majority of the voting power of the then outstanding shares of common stock and Series 1 redeemable convertible preferred stock, voting together as a single class, are entitled to elect two members to the Company’s Board of Directors. The holders of a majority of the voting power of the then outstanding shares of common stock, Series 1 redeemable convertible preferred stock, and Series A - E redeemable convertible preferred stock, voting together as a single class, are entitled to elect the remaining members to the Company’s Board of Directors.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While Series A, Series B, Series C, Series D, and Series E redeemable convertible preferred stock do not have mandatory redemption provisions, they are contingently redeemable upon a deemed liquidation event.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of Series A - E Redeemable Convertible Preferred Stock</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deemed liquidation preference provisions of the Series A, Series B, Series C, Series D, and Series E redeemable convertible preferred stock are considered contingent redemption provisions that are not solely within the Company’s control. Accordingly, the Series A, Series B, Series C, Series D, and Series E redeemable convertible preferred stock have been presented outside of permanent equity in the mezzanine section of the consolidated balance sheets.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Redeemable Convertible Preferred Stock Warrants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the revision and extension of the Company’s corporate headquarters office lease agreement in November 2012, the Company issued fully exercisable redeemable convertible preferred stock warrants to purchase 36,928 shares of the Company’s Series B redeemable convertible preferred stock at a price of $2.71. The change in fair value of the redeemable convertible preferred stock warrant liability was less than $0.1 million for both years ended January 31, 2019 and 2020.</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November 2019, the redeemable convertible preferred stock warrants were net exercised, under which the number of issuable shares was reduced by the number of shares with an aggregate fair value equal to the exercise price of the warrant, resulting in 6,322 shares surrendered and 30,606 shares of Series B redeemable convertible preferred stock issued. There were no redeemable convertible preferred stock warrants outstanding as of January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Stockholders’ Deficit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There are two classes of common stock that total 540,000,000 authorized shares: 270,000,000 authorized shares of Class A common stock and 270,000,000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100 votes per share and is convertible into one share of Class A common stock. There are 15,498,109 shares of Class A common stock and 61,189,400 shares of Class B common stock issued and outstanding as of January 31, 2020.</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reserved the following shares of common stock for future issuance for the periods below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As of January 31,</w:t>
            </w:r>
          </w:p>
        </w:tc>
      </w:tr>
      <w:tr>
        <w:trPr>
          <w:trHeight w:val="142"/>
        </w:trPr>
        <w:tc>
          <w:tcPr>
            <w:tcW w:w="89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1 redeemable convertible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Conversion of Series A redeemable convertible preferred stock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20,771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20,771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B redeemable convertible preferred stock</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10,478</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redeemable convertible preferred stock</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20,186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Conversion of Series D redeemable convertible preferred stock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14,353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14,353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E redeemable convertible preferred stock</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Common stock options issued and outstanding</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33,878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34,517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RSUs issued and outstanding</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Shares available for future grants</w:t>
            </w:r>
          </w:p>
        </w:tc>
        <w:tc>
          <w:tcPr>
            <w:tcW w:w="940" w:type="dxa"/>
            <w:vAlign w:val="bottom"/>
          </w:tcPr>
          <w:p>
            <w:pPr>
              <w:jc w:val="right"/>
              <w:spacing w:after="0"/>
              <w:rPr>
                <w:sz w:val="20"/>
                <w:szCs w:val="20"/>
                <w:color w:val="auto"/>
              </w:rPr>
            </w:pPr>
            <w:r>
              <w:rPr>
                <w:rFonts w:ascii="Arial" w:cs="Arial" w:eastAsia="Arial" w:hAnsi="Arial"/>
                <w:sz w:val="18"/>
                <w:szCs w:val="18"/>
                <w:color w:val="auto"/>
              </w:rPr>
              <w:t>2,748</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4,787</w:t>
            </w:r>
          </w:p>
        </w:tc>
      </w:tr>
      <w:tr>
        <w:trPr>
          <w:trHeight w:val="27"/>
        </w:trPr>
        <w:tc>
          <w:tcPr>
            <w:tcW w:w="89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112,973</w:t>
            </w:r>
          </w:p>
        </w:tc>
      </w:tr>
      <w:tr>
        <w:trPr>
          <w:trHeight w:val="20"/>
        </w:trPr>
        <w:tc>
          <w:tcPr>
            <w:tcW w:w="8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Plans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has a 2009 Stock Plan (the “2009 Plan”) and a 2012 Stock Plan (the “2012 Plan”). Both plans were initially established to grant stock options to employees and consultants of the Company to assist in attracting, retaining, and motivating employees and consultants and to provide incentives to promote the success of the Company’s business.</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Options granted under both plans may be either incentive stock options (“ISOs”) or nonqualified stock options (“NSOs”). ISOs may be granted only to Company employees (including officers and directors who are also employees). NSOs may be granted to Company employees and consultants. Restricted stock may also be granted under the 2012 Plan. Options under the 2012 Plan may be granted for periods of up to 10 years. The exercise price of an ISO and NSO shall not be less than 100% of the estimated fair value of the shares on the date of grant as determined by the Board of Directors. Options granted generally vest over four years and vest at a rate of 25% upon the first anniversary of the vesting commencement date and 1/48 per month thereafter.</w:t>
      </w:r>
    </w:p>
    <w:p>
      <w:pPr>
        <w:spacing w:after="0" w:line="192"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Company has also issued RSUs pursuant to the 2012 Plan. RSUs granted vest over four years, and vest at either a rate of 25% upon the first anniversary of the vesting commencement date and continued vesting quarterly thereafter, or vest quarterly over the service period.</w:t>
      </w:r>
    </w:p>
    <w:p>
      <w:pPr>
        <w:spacing w:after="0" w:line="14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Shares of common stock purchased under both plans are subject to certain restrictions and repurchase rights, including the right of first refusal by the Company for sale or transfer of shares to outside parties.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 activity under the Company’s combined stock plans is set forth below (in thousands, except years and per share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January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Options canceled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362,046</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Vested and exercisable at January 31, 2020</w:t>
            </w: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1.34</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187,152</w:t>
            </w: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January 31, 2020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376,307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weighted-average grant-date fair value of options granted and the total intrinsic value of options exercised during the periods presented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Year Ended January 31,</w:t>
            </w:r>
          </w:p>
        </w:tc>
      </w:tr>
      <w:tr>
        <w:trPr>
          <w:trHeight w:val="142"/>
        </w:trPr>
        <w:tc>
          <w:tcPr>
            <w:tcW w:w="8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Aggregate intrinsic value of options exercised (in thousands)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6,113</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41,270</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sheets. This liability is reclassified to additional paid-in capital as the awards vest. If a stock option is early exercised, the unvested shares may be repurchased by the Company in case of employment termination at the price paid by the purchaser for such shares. Shares that were subject to repurchase totaled 781,386 and 1,393,024 as of January 31, 2019 and 2020, respectively.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Determination of Fair Values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used in the Black-Scholes pricing model for stock-based compensation for the periods below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6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3440" w:type="dxa"/>
            <w:vAlign w:val="bottom"/>
            <w:tcBorders>
              <w:bottom w:val="single" w:sz="8" w:color="CCEEFF"/>
            </w:tcBorders>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9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 - 3.1%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 - 2.6%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Expected term</w:t>
            </w:r>
          </w:p>
        </w:tc>
        <w:tc>
          <w:tcPr>
            <w:tcW w:w="492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8 years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 years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9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Expected volatility</w:t>
            </w:r>
          </w:p>
        </w:tc>
        <w:tc>
          <w:tcPr>
            <w:tcW w:w="6340" w:type="dxa"/>
            <w:vAlign w:val="bottom"/>
            <w:gridSpan w:val="3"/>
          </w:tcPr>
          <w:p>
            <w:pPr>
              <w:jc w:val="right"/>
              <w:ind w:right="260"/>
              <w:spacing w:after="0"/>
              <w:rPr>
                <w:sz w:val="20"/>
                <w:szCs w:val="20"/>
                <w:color w:val="auto"/>
              </w:rPr>
            </w:pPr>
            <w:r>
              <w:rPr>
                <w:rFonts w:ascii="Arial" w:cs="Arial" w:eastAsia="Arial" w:hAnsi="Arial"/>
                <w:sz w:val="18"/>
                <w:szCs w:val="18"/>
                <w:color w:val="auto"/>
              </w:rPr>
              <w:t>41.6% - 46.6%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44.8% - 46.3%</w:t>
            </w:r>
          </w:p>
        </w:tc>
      </w:tr>
      <w:tr>
        <w:trPr>
          <w:trHeight w:val="350"/>
        </w:trPr>
        <w:tc>
          <w:tcPr>
            <w:tcW w:w="3440" w:type="dxa"/>
            <w:vAlign w:val="bottom"/>
          </w:tcPr>
          <w:p>
            <w:pPr>
              <w:spacing w:after="0"/>
              <w:rPr>
                <w:sz w:val="24"/>
                <w:szCs w:val="24"/>
                <w:color w:val="auto"/>
              </w:rPr>
            </w:pPr>
          </w:p>
        </w:tc>
        <w:tc>
          <w:tcPr>
            <w:tcW w:w="6340" w:type="dxa"/>
            <w:vAlign w:val="bottom"/>
            <w:gridSpan w:val="3"/>
          </w:tcPr>
          <w:p>
            <w:pPr>
              <w:jc w:val="right"/>
              <w:ind w:right="4100"/>
              <w:spacing w:after="0"/>
              <w:rPr>
                <w:sz w:val="20"/>
                <w:szCs w:val="20"/>
                <w:color w:val="auto"/>
              </w:rPr>
            </w:pPr>
            <w:r>
              <w:rPr>
                <w:rFonts w:ascii="Arial" w:cs="Arial" w:eastAsia="Arial" w:hAnsi="Arial"/>
                <w:sz w:val="18"/>
                <w:szCs w:val="18"/>
                <w:color w:val="auto"/>
              </w:rPr>
              <w:t>F-31</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RSU activity is set forth below (in thousands, except per share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January 31, 2019</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RSUs granted</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31, 2020</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Stock-based compensation for stock-based awards to employees and non-employees in the Company’s consolidated statements of operations for the periods below were as follows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84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5,160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24,869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10,177</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w:t>
            </w:r>
          </w:p>
        </w:tc>
        <w:tc>
          <w:tcPr>
            <w:tcW w:w="60" w:type="dxa"/>
            <w:vAlign w:val="bottom"/>
          </w:tcPr>
          <w:p>
            <w:pPr>
              <w:spacing w:after="0"/>
              <w:rPr>
                <w:sz w:val="19"/>
                <w:szCs w:val="19"/>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8,547</w:t>
            </w: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48,386</w:t>
            </w:r>
          </w:p>
        </w:tc>
      </w:tr>
      <w:tr>
        <w:trPr>
          <w:trHeight w:val="20"/>
        </w:trPr>
        <w:tc>
          <w:tcPr>
            <w:tcW w:w="8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stock-based compensation expense related to options granted to non-employees for the years ended January 31, 2019 and 2020 was not material.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Total unrecognized compensation costs related to unvested awards not yet recognized under all equity compensation plans was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January 31, 2020</w:t>
            </w:r>
          </w:p>
        </w:tc>
        <w:tc>
          <w:tcPr>
            <w:tcW w:w="0" w:type="dxa"/>
            <w:vAlign w:val="bottom"/>
          </w:tcPr>
          <w:p>
            <w:pPr>
              <w:spacing w:after="0"/>
              <w:rPr>
                <w:sz w:val="1"/>
                <w:szCs w:val="1"/>
                <w:color w:val="auto"/>
              </w:rPr>
            </w:pPr>
          </w:p>
        </w:tc>
      </w:tr>
      <w:tr>
        <w:trPr>
          <w:trHeight w:val="119"/>
        </w:trPr>
        <w:tc>
          <w:tcPr>
            <w:tcW w:w="59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Unrecognized</w:t>
            </w: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Expense</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39,945</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RSUs</w:t>
            </w: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unrecognized stock-based compensation expense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40,829</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2019 Tender Offer</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April 2018, the Company’s board of directors approved a plan for a private trust, whose sole trustee and grantor is the Company’s founder and CEO, to purchase shares of the Company’s Class A and Class B common stock from certain current and former employees of the Company. The tender offer closed in May 2018, at which time the Company recorded $3.8 million as compensation expense related to the excess of the selling price per share of common stock paid to the Company’s employees and former employees over the fair value of the tendered shares. This amount is included in the total stock-based compensation expense shown in the table above for the year ended January 31, 2019. A total of 1,500,814 shares were tendered in the offer for an aggregate purchase price of $7.1 million.</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2020 Tender Offer</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October 2019, certain of the Company’s stockholders conducted a tender offer for shares of the Company’s outstanding Class A and Class B common stock and purchased an aggregate of 4,647,127 shares of the Company’s outstanding Class A and Class B common stock from certain other stockholders at a purchase price of $15.82 per share, for an aggregate purchase price of $73.5 million, resulting in stock-based compensation expense of $38.7 million for the excess of the selling price per share of common stock over the fair value of the tendered shares. This amount is included in the total stock-based compensation expense shown in the table above for the year ended January 31, 2020.</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Employee Benefit Plans</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Additionally, the Company engages in required pension plans of respective countries in which operations exist.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provision for income taxes were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9"/>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12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40"/>
              <w:spacing w:after="0"/>
              <w:rPr>
                <w:sz w:val="20"/>
                <w:szCs w:val="20"/>
                <w:color w:val="auto"/>
              </w:rPr>
            </w:pPr>
            <w:r>
              <w:rPr>
                <w:rFonts w:ascii="Arial" w:cs="Arial" w:eastAsia="Arial" w:hAnsi="Arial"/>
                <w:sz w:val="18"/>
                <w:szCs w:val="18"/>
                <w:color w:val="auto"/>
              </w:rPr>
              <w:t>The components of income/(loss) before income taxes were as follows (in thousands):</w:t>
            </w:r>
          </w:p>
        </w:tc>
        <w:tc>
          <w:tcPr>
            <w:tcW w:w="10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9"/>
          </w:tcPr>
          <w:p>
            <w:pPr>
              <w:ind w:left="20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0"/>
              </w:rPr>
              <w:t>(119,302)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(50,900)</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(118,344)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reconciliation between the statutory federal income tax and the Company’s effective tax rates as a percentage of loss before income taxes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5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Federal tax rate</w:t>
            </w:r>
          </w:p>
        </w:tc>
        <w:tc>
          <w:tcPr>
            <w:tcW w:w="4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900" w:type="dxa"/>
            <w:vAlign w:val="bottom"/>
            <w:gridSpan w:val="3"/>
          </w:tcPr>
          <w:p>
            <w:pPr>
              <w:jc w:val="right"/>
              <w:ind w:right="360"/>
              <w:spacing w:after="0"/>
              <w:rPr>
                <w:sz w:val="20"/>
                <w:szCs w:val="20"/>
                <w:color w:val="auto"/>
              </w:rPr>
            </w:pPr>
            <w:r>
              <w:rPr>
                <w:rFonts w:ascii="Arial" w:cs="Arial" w:eastAsia="Arial" w:hAnsi="Arial"/>
                <w:sz w:val="18"/>
                <w:szCs w:val="18"/>
                <w:color w:val="auto"/>
              </w:rPr>
              <w:t>(0.7)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5900" w:type="dxa"/>
            <w:vAlign w:val="bottom"/>
            <w:gridSpan w:val="3"/>
          </w:tcPr>
          <w:p>
            <w:pPr>
              <w:jc w:val="right"/>
              <w:ind w:right="420"/>
              <w:spacing w:after="0"/>
              <w:rPr>
                <w:sz w:val="20"/>
                <w:szCs w:val="20"/>
                <w:color w:val="auto"/>
              </w:rPr>
            </w:pPr>
            <w:r>
              <w:rPr>
                <w:rFonts w:ascii="Arial" w:cs="Arial" w:eastAsia="Arial" w:hAnsi="Arial"/>
                <w:sz w:val="18"/>
                <w:szCs w:val="18"/>
                <w:color w:val="auto"/>
              </w:rPr>
              <w:t>3.1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5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4560" w:type="dxa"/>
            <w:vAlign w:val="bottom"/>
            <w:vMerge w:val="continue"/>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5900" w:type="dxa"/>
            <w:vAlign w:val="bottom"/>
            <w:gridSpan w:val="3"/>
          </w:tcPr>
          <w:p>
            <w:pPr>
              <w:jc w:val="right"/>
              <w:ind w:right="4160"/>
              <w:spacing w:after="0"/>
              <w:rPr>
                <w:sz w:val="20"/>
                <w:szCs w:val="20"/>
                <w:color w:val="auto"/>
              </w:rPr>
            </w:pPr>
            <w:r>
              <w:rPr>
                <w:rFonts w:ascii="Arial" w:cs="Arial" w:eastAsia="Arial" w:hAnsi="Arial"/>
                <w:sz w:val="18"/>
                <w:szCs w:val="18"/>
                <w:color w:val="auto"/>
              </w:rPr>
              <w:t>F-33</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major components of deferred tax assets (liabilities) were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As of January 31,</w:t>
            </w:r>
          </w:p>
        </w:tc>
      </w:tr>
      <w:tr>
        <w:trPr>
          <w:trHeight w:val="142"/>
        </w:trPr>
        <w:tc>
          <w:tcPr>
            <w:tcW w:w="84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45,503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78,498</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15,112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1,206</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Reserves and accrued expenses</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4,213</w:t>
            </w:r>
          </w:p>
        </w:tc>
      </w:tr>
      <w:tr>
        <w:trPr>
          <w:trHeight w:val="223"/>
        </w:trPr>
        <w:tc>
          <w:tcPr>
            <w:tcW w:w="848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99,993</w:t>
            </w:r>
          </w:p>
        </w:tc>
        <w:tc>
          <w:tcPr>
            <w:tcW w:w="14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(3,844)</w:t>
            </w:r>
          </w:p>
        </w:tc>
      </w:tr>
      <w:tr>
        <w:trPr>
          <w:trHeight w:val="27"/>
        </w:trPr>
        <w:tc>
          <w:tcPr>
            <w:tcW w:w="8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(3,844)</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(57,155)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(96,149)</w:t>
            </w: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valuation allowance increased by $13.7 million and $39.0 million during the years ended January 31, 2019 and 2020, respectively. The increase in the valuation allowance during the years ended January 31, 2019 and 2020 was primarily driven by losses and tax credits generated in the United States. As of January 31, 2019 and 2020, the Company believes it is not more likely than not that the deferred tax assets will be fully realizable and continues to maintain a full valuation allowance against its net deferred tax assets.</w:t>
      </w:r>
    </w:p>
    <w:p>
      <w:pPr>
        <w:spacing w:after="0" w:line="17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As of January 31, 2020, the Company had federal and state net operating loss carryforwards of $325.4 million and $151.3 million, respectively. The federal and state net operating losses, if not used, will begin to expire in 2029. Federal net operating losses generated after January 31, 2018 will carry forward indefinitely.</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As of January 31, 2020, the Company has federal and California research and development tax credit carryforwards of $12.1 million and $9.6 million, respectively, to offset future taxable income. The federal research and development tax credits, if not used, will begin to expire in 2030, while the state tax credit carryforwards may be carried forward indefinitely.</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In the event it is determined that the Company has had a change in ownership, the utilization of the carryforwards could be restricted.</w:t>
      </w:r>
    </w:p>
    <w:p>
      <w:pPr>
        <w:spacing w:after="0" w:line="18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Foreign withholding taxes have not been provided for the cumulative undistributed earnings of the Company’s foreign subsidiaries as of January 31, 2020 due to the Company’s intention to permanently reinvest such earnings.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 liability related to uncertain tax positions is recorded in the financial statements due to the fact the liabilities have been netted against deferred attribute carryovers.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amounts of gross unrecognized tax benefits was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January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4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2,216</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Increases—current period tax positions</w:t>
            </w:r>
          </w:p>
        </w:tc>
        <w:tc>
          <w:tcPr>
            <w:tcW w:w="4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884</w:t>
            </w:r>
          </w:p>
        </w:tc>
        <w:tc>
          <w:tcPr>
            <w:tcW w:w="4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2,177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Increases—prior period tax positions</w:t>
            </w:r>
          </w:p>
        </w:tc>
        <w:tc>
          <w:tcPr>
            <w:tcW w:w="4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4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3,261</w:t>
            </w:r>
          </w:p>
        </w:tc>
        <w:tc>
          <w:tcPr>
            <w:tcW w:w="3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4080" w:type="dxa"/>
            <w:vAlign w:val="bottom"/>
          </w:tcPr>
          <w:p>
            <w:pPr>
              <w:spacing w:after="0"/>
              <w:rPr>
                <w:sz w:val="24"/>
                <w:szCs w:val="24"/>
                <w:color w:val="auto"/>
              </w:rPr>
            </w:pPr>
          </w:p>
        </w:tc>
        <w:tc>
          <w:tcPr>
            <w:tcW w:w="4900" w:type="dxa"/>
            <w:vAlign w:val="bottom"/>
            <w:gridSpan w:val="2"/>
          </w:tcPr>
          <w:p>
            <w:pPr>
              <w:jc w:val="right"/>
              <w:ind w:right="3216"/>
              <w:spacing w:after="0"/>
              <w:rPr>
                <w:sz w:val="20"/>
                <w:szCs w:val="20"/>
                <w:color w:val="auto"/>
              </w:rPr>
            </w:pPr>
            <w:r>
              <w:rPr>
                <w:rFonts w:ascii="Arial" w:cs="Arial" w:eastAsia="Arial" w:hAnsi="Arial"/>
                <w:sz w:val="18"/>
                <w:szCs w:val="18"/>
                <w:color w:val="auto"/>
              </w:rPr>
              <w:t>F-34</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policy is to include interest and penalties related to unrecognized tax benefits within the Company’s benefit from (provision for) income taxes. The Company had no accrued interest and penalties related to unrecognized tax benefits as of January 31, 2019 or January 31, 2020. As of January 31, 2020, there are no unrecognized tax benefits that, if recognized, would affect the Company’s effective tax rate. The Company does not expect that its uncertain tax positions will materially change in the next 12 months.</w:t>
      </w:r>
    </w:p>
    <w:p>
      <w:pPr>
        <w:spacing w:after="0" w:line="187" w:lineRule="exact"/>
        <w:rPr>
          <w:sz w:val="20"/>
          <w:szCs w:val="20"/>
          <w:color w:val="auto"/>
        </w:rPr>
      </w:pPr>
    </w:p>
    <w:p>
      <w:pPr>
        <w:ind w:left="120" w:right="780" w:firstLine="440"/>
        <w:spacing w:after="0" w:line="308" w:lineRule="auto"/>
        <w:rPr>
          <w:sz w:val="20"/>
          <w:szCs w:val="20"/>
          <w:color w:val="auto"/>
        </w:rPr>
      </w:pPr>
      <w:r>
        <w:rPr>
          <w:rFonts w:ascii="Arial" w:cs="Arial" w:eastAsia="Arial" w:hAnsi="Arial"/>
          <w:sz w:val="17"/>
          <w:szCs w:val="17"/>
          <w:color w:val="auto"/>
        </w:rPr>
        <w:t>The Company files federal and state tax returns in the United States and in Ireland. The Company’s tax years since inception are open to examination by federal and state taxing authorities, and the tax years 2014 and forward remain open in Ireland.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Geographic Information</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tables set forth revenues and long-lived assets, including operating lease ROU assets, by geographic area for the periods presented below (in thousands):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46,221</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404"/>
              <w:spacing w:after="0"/>
              <w:rPr>
                <w:sz w:val="20"/>
                <w:szCs w:val="20"/>
                <w:color w:val="auto"/>
              </w:rPr>
            </w:pPr>
            <w:r>
              <w:rPr>
                <w:rFonts w:ascii="Arial" w:cs="Arial" w:eastAsia="Arial" w:hAnsi="Arial"/>
                <w:sz w:val="4"/>
                <w:szCs w:val="4"/>
                <w:color w:val="auto"/>
                <w:w w:val="8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30,549</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58,577</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76,770</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404"/>
              <w:spacing w:after="0"/>
              <w:rPr>
                <w:sz w:val="20"/>
                <w:szCs w:val="20"/>
                <w:color w:val="auto"/>
              </w:rPr>
            </w:pPr>
            <w:r>
              <w:rPr>
                <w:rFonts w:ascii="Arial" w:cs="Arial" w:eastAsia="Arial" w:hAnsi="Arial"/>
                <w:sz w:val="4"/>
                <w:szCs w:val="4"/>
                <w:color w:val="auto"/>
                <w:w w:val="87"/>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142,606</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440"/>
              <w:spacing w:after="0"/>
              <w:rPr>
                <w:sz w:val="20"/>
                <w:szCs w:val="20"/>
                <w:color w:val="auto"/>
              </w:rPr>
            </w:pPr>
            <w:r>
              <w:rPr>
                <w:rFonts w:ascii="Arial" w:cs="Arial" w:eastAsia="Arial" w:hAnsi="Arial"/>
                <w:sz w:val="18"/>
                <w:szCs w:val="18"/>
                <w:color w:val="auto"/>
              </w:rPr>
              <w:t>Revenues by geography are based on the billing address of the customer.</w:t>
            </w:r>
          </w:p>
        </w:tc>
        <w:tc>
          <w:tcPr>
            <w:tcW w:w="1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80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Long-Lived Assets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4,099</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30,918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January 2018, the Company entered into a convertible note purchase agreement with an entity affiliated with its CEO. Pursuant to the original terms of this convertible note purchase agreement, the Company had the right to sell convertible promissory notes of the Company having an aggregate principal amount of up to $75 million from time to time until January 19, 2023. In May 2019, the Company amended the convertible note purchase agreement by increasing the available aggregate principal amount to $125 million. The Company has not issued any convertible promissory notes pursuant to this convertible note purchase agreement. Subsequently, in connection with the issuance of the Convertible Note described in Note 5, “Convertible Note—Related Party,” this note agreement was terminated.</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January 2020, the Company issued the Convertible Note to a trust affiliated with the Company’s CEO. See Note 5, “Convertible Note—Related Party” for further details.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During the year ended January 31, 2020, the Company began leasing certain office facilities from a company affiliated with a Board member of the Company. Rent payments made under these leases totaled $0.7 million for the year ended January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Company has entered into recurring subscription agreements with a total contract value of $0.3 million and $1.2 million for the years ended January 31, 2019 and 2020, respectively, with a company affiliated with a Board member of the Company. The Company recognized revenues of $0.2 million and $0.4 million under these subscription agreements during the years ended January 31, 2019 and 2020,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Subsequent events have been evaluated through April 20, 2020, which is the date the consolidated financial statements were available for issuance. Other than the effect of the reclassification of Class A and Class B common stock described in Note 2 and the items noted below, the Company is not aware of any subsequent events that would require recognition or disclosure in the consolidated financial statements.</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March 2020, the Company entered into an agreement with a construction company related to the build-out of the Company’s new corporate headquarters. The contract value is $57.7 million.</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April 2020, the Company entered into a five-year $40.0 million term loan agreement with Silicon Valley Bank. The agreement provides for a senior secured term loan facility, in an aggregate principal amount of up to $40.0 million to be used for the construction of the Company’s new corporate headquarters. Interest will accrue on any outstanding balance at a floating rate per annum equal to the prime rate (per the Wall Street Journal) plus an applicable margin equal to either (a) 0% if the Company’s unrestricted cash at the lender is equal to or less than $80.0. million, or (b) (0.5)% if the Company’s unrestricted cash at the lender is between $80.0 million and $100.0 million, or (c) (1.0)% if the Company’s unrestricted cash balance at the lender is equal to or greater than $100.0 million. Interest shall be payable monthly. No amounts are outstanding under this term loan as of the date of the issuance of these consolidated financial statements.</w:t>
      </w:r>
    </w:p>
    <w:p>
      <w:pPr>
        <w:spacing w:after="0" w:line="17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Subsequent to January 31, 2020, the Company granted options for 16,713 shares of common stock with an exercise price of $13.04 per share and 1,916,161 shares underlying RSUs to employees, which generally vest over four years subject to continued service.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3392170</wp:posOffset>
            </wp:positionV>
            <wp:extent cx="4123055" cy="8229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123055" cy="8229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following table sets forth the costs and expenses to be paid by the Registrant in connection with this registration statement and the listing of our Class A common stock. All amounts are estimates except for the Securities and Exchange Commission, or the SEC, registration fee and the listing fee.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120" w:type="dxa"/>
            <w:vAlign w:val="bottom"/>
          </w:tcPr>
          <w:p>
            <w:pPr>
              <w:ind w:left="580"/>
              <w:spacing w:after="0"/>
              <w:rPr>
                <w:sz w:val="20"/>
                <w:szCs w:val="20"/>
                <w:color w:val="auto"/>
              </w:rPr>
            </w:pPr>
            <w:r>
              <w:rPr>
                <w:rFonts w:ascii="Arial" w:cs="Arial" w:eastAsia="Arial" w:hAnsi="Arial"/>
                <w:sz w:val="18"/>
                <w:szCs w:val="18"/>
                <w:color w:val="auto"/>
              </w:rPr>
              <w:t>listing fee</w:t>
            </w:r>
          </w:p>
        </w:tc>
        <w:tc>
          <w:tcPr>
            <w:tcW w:w="4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Custodian, transfer agent, and registrar fees</w:t>
            </w:r>
          </w:p>
        </w:tc>
        <w:tc>
          <w:tcPr>
            <w:tcW w:w="4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Other advisors’ fees</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4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10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0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following the effectiveness of this registration statement, permits indemnification of our directors, officers, employees and other agents to the maximum extent permitted by the Delaware General Corporation Law, and our amended and restated bylaws that will be in effect following the effectiveness of this registration statement provide that we will indemnify our directors and officers and permit us to indemnify our employees and other agents, in each case to the maximum extent permitted by the Delaware General Corporation Law.</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Asana, Inc., provided that such director or officer acted in good faith and in a manner that the director or officer reasonably believed to be in, or not opposed to, the best interest of Asana, Inc. At present, there is no pending litigation or proceeding involving a director or officer of Asana, Inc. regarding which indemnification is sought, nor is the registrant aware of any threatened litigation that may result in claims for indemnification.</w:t>
      </w:r>
    </w:p>
    <w:p>
      <w:pPr>
        <w:spacing w:after="0" w:line="16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February 1, 2017 through April 17, 2020, the Registrant has issued and sold the following unregistered securities:</w:t>
      </w:r>
    </w:p>
    <w:p>
      <w:pPr>
        <w:spacing w:after="0" w:line="131" w:lineRule="exact"/>
        <w:rPr>
          <w:sz w:val="20"/>
          <w:szCs w:val="20"/>
          <w:color w:val="auto"/>
        </w:rPr>
      </w:pPr>
    </w:p>
    <w:p>
      <w:pPr>
        <w:ind w:left="1080" w:right="180" w:hanging="343"/>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Options to employees, directors, and consultants to purchase an aggregate of 30,114,469 shares of common stock under its Amended and Restated 2012 Stock Plan, or the 2012 Plan, with per share exercise prices ranging from $1.60 to $13.04.</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343"/>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 aggregate of 2,007,097 RSUs to employees, directors, and consultants to be settled in shares of common stock under its 2012 Plan.</w:t>
      </w:r>
    </w:p>
    <w:p>
      <w:pPr>
        <w:spacing w:after="0" w:line="153" w:lineRule="exact"/>
        <w:rPr>
          <w:rFonts w:ascii="Arial" w:cs="Arial" w:eastAsia="Arial" w:hAnsi="Arial"/>
          <w:sz w:val="16"/>
          <w:szCs w:val="16"/>
          <w:color w:val="auto"/>
        </w:rPr>
      </w:pPr>
    </w:p>
    <w:p>
      <w:pPr>
        <w:ind w:left="1080" w:right="160" w:hanging="343"/>
        <w:spacing w:after="0" w:line="308"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13,852,137 shares of common stock to its employees, directors, consultants, and other service providers upon exercise of options granted under its 2012 Plan, with purchase prices ranging from $0.001 to $7.50, for an aggregate purchase price of $17.4 million.</w:t>
      </w:r>
    </w:p>
    <w:p>
      <w:pPr>
        <w:spacing w:after="0" w:line="51" w:lineRule="exact"/>
        <w:rPr>
          <w:rFonts w:ascii="Arial" w:cs="Arial" w:eastAsia="Arial" w:hAnsi="Arial"/>
          <w:sz w:val="17"/>
          <w:szCs w:val="17"/>
          <w:color w:val="auto"/>
        </w:rPr>
      </w:pPr>
    </w:p>
    <w:p>
      <w:pPr>
        <w:ind w:left="1080" w:right="140" w:hanging="343"/>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August 2017, a convertible promissory note in the principal amount of $15.0 million, or the 2017 Note, to the Dustin Moskovitz Trust. The aggregate principal amount and accrued interest on the 2017 Note converted into 2,923,425 shares of the Registrant’s Series D preferred stock at a conversion price of $5.23 per share upon the closing of the Registrant’s Series D preferred stock financing in January 2018.</w:t>
      </w:r>
    </w:p>
    <w:p>
      <w:pPr>
        <w:spacing w:after="0" w:line="92" w:lineRule="exact"/>
        <w:rPr>
          <w:rFonts w:ascii="Arial" w:cs="Arial" w:eastAsia="Arial" w:hAnsi="Arial"/>
          <w:sz w:val="18"/>
          <w:szCs w:val="18"/>
          <w:color w:val="auto"/>
        </w:rPr>
      </w:pPr>
    </w:p>
    <w:p>
      <w:pPr>
        <w:ind w:left="1080" w:hanging="343"/>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two closings in January 2018, 11,429,642 shares of the Registrant’s Series D preferred stock at a purchase price of $5.23 per share for an aggregate purchase price of $59.7 million.</w:t>
      </w:r>
    </w:p>
    <w:p>
      <w:pPr>
        <w:spacing w:after="0" w:line="75" w:lineRule="exact"/>
        <w:rPr>
          <w:rFonts w:ascii="Arial" w:cs="Arial" w:eastAsia="Arial" w:hAnsi="Arial"/>
          <w:sz w:val="18"/>
          <w:szCs w:val="18"/>
          <w:color w:val="auto"/>
        </w:rPr>
      </w:pPr>
    </w:p>
    <w:p>
      <w:pPr>
        <w:ind w:left="1080" w:right="100" w:hanging="343"/>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November 2018, an aggregate of 6,229,843 shares of the Registrant’s Series E preferred stock at a purchase price of $8.19 per share for an aggregate purchase price of $51.0 million.</w:t>
      </w:r>
    </w:p>
    <w:p>
      <w:pPr>
        <w:spacing w:after="0" w:line="75" w:lineRule="exact"/>
        <w:rPr>
          <w:rFonts w:ascii="Arial" w:cs="Arial" w:eastAsia="Arial" w:hAnsi="Arial"/>
          <w:sz w:val="18"/>
          <w:szCs w:val="18"/>
          <w:color w:val="auto"/>
        </w:rPr>
      </w:pPr>
    </w:p>
    <w:p>
      <w:pPr>
        <w:ind w:left="1080" w:right="140" w:hanging="343"/>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January 2020, a 3.5% senior mandatory convertible promissory note due January 30, 2025 in the principal amount of $300.0 million to the Dustin Moskovitz Trust.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stated, the sales of the above securities were deemed to be exempt from registration under the Securities Act in reliance upon Section 4(a)(2)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Securities Act (or Regulation D or Regulation S promulgated thereunder) or Rule 701 promulgated under Section 3(b) of the Securities Act 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transactions by an issuer not involving any public offering or pursuant to benefit plans and contracts relating to compensation as provided under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701. The recipients of the securities in each of these transactions represented their intentions to acquire the securities for investment only and not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a view to or for sale in connection with any distribution thereof, and appropriate legends were placed upon the stock certificates issued in these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1080" w:hanging="418"/>
        <w:spacing w:after="0"/>
        <w:tabs>
          <w:tab w:leader="none" w:pos="108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8"/>
              </w:rPr>
              <w:t>Exhibit</w:t>
            </w:r>
          </w:p>
        </w:tc>
        <w:tc>
          <w:tcPr>
            <w:tcW w:w="9760" w:type="dxa"/>
            <w:vAlign w:val="bottom"/>
            <w:gridSpan w:val="2"/>
            <w:vMerge w:val="restart"/>
          </w:tcPr>
          <w:p>
            <w:pPr>
              <w:ind w:left="450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2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Number</w:t>
            </w:r>
          </w:p>
        </w:tc>
        <w:tc>
          <w:tcPr>
            <w:tcW w:w="9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Form of Restated Certificate of Incorporation of the Registrant, to be in effect following the effectiveness of the registration statement</w:t>
            </w: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50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Amended and Restated Bylaws of the Registrant, as currently in effect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Form of Restated Bylaws of the Registrant, to be in effect following the effectiveness of the registration statement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Form of Registrant’s Common Stock Certificate</w:t>
            </w:r>
          </w:p>
        </w:tc>
        <w:tc>
          <w:tcPr>
            <w:tcW w:w="0" w:type="dxa"/>
            <w:vAlign w:val="bottom"/>
          </w:tcPr>
          <w:p>
            <w:pPr>
              <w:spacing w:after="0"/>
              <w:rPr>
                <w:sz w:val="1"/>
                <w:szCs w:val="1"/>
                <w:color w:val="auto"/>
              </w:rPr>
            </w:pP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5"/>
              </w:rPr>
              <w:t>Amended and Restated Investors’ Rights Agreement, dated as of November 15, 2018, by and among the Registrant and certain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investors of the Registrant</w:t>
            </w:r>
          </w:p>
        </w:tc>
        <w:tc>
          <w:tcPr>
            <w:tcW w:w="0" w:type="dxa"/>
            <w:vAlign w:val="bottom"/>
          </w:tcPr>
          <w:p>
            <w:pPr>
              <w:spacing w:after="0"/>
              <w:rPr>
                <w:sz w:val="1"/>
                <w:szCs w:val="1"/>
                <w:color w:val="auto"/>
              </w:rPr>
            </w:pPr>
          </w:p>
        </w:tc>
      </w:tr>
      <w:tr>
        <w:trPr>
          <w:trHeight w:val="310"/>
        </w:trPr>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Unsecured Senior Mandatory Convertible Promissory Note, dated as of January 30, 2020, by and among the Registrant and the Dustin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Moskovitz Trust</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Opinion of Orrick, Herrington &amp; Sutcliffe LLP</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10.1*</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Form of Indemnification Agreement entered into between the Registrant and each of its directors and executive officers</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w w:val="97"/>
              </w:rPr>
              <w:t>10.2**</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2009 Stock Plan, as amended, and forms of agreement thereunder</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w w:val="97"/>
              </w:rPr>
              <w:t>10.3**</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Amended and Restated 2012 Stock Plan, and forms of agreement thereunder</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10.4*</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2020 Equity Incentive Plan, and forms of agreement thereunder</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10.5*</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Offer Letter between Dustin Moskovitz and the Registrant, dated February 4, 2009</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10.6*</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Offer Letter between Eleanor Lacey and the Registrant, dated May 30, 2019</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10.7*</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Offer Letter between Tim Wan and the Registrant, dated November 20, 2016</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10.8*</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Lease between Swig 631 Folsom, LLC, SIC Holdings, LLC. and the Registrant, dated as of February 22, 2019</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10.9*</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Lease between AE-Hamm’s Property Owner, LLC and the Registrant, dated as of May 27, 2011, as amended</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w w:val="97"/>
              </w:rPr>
              <w:t>21.1**</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23.1*</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Consent of Orrick, Herrington &amp; Sutcliffe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23.2*</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24.1*</w:t>
            </w:r>
          </w:p>
        </w:tc>
        <w:tc>
          <w:tcPr>
            <w:tcW w:w="76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120" w:right="9040" w:hanging="4"/>
        <w:spacing w:after="0" w:line="253" w:lineRule="auto"/>
        <w:tabs>
          <w:tab w:leader="none" w:pos="55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be filed by amendment. ** Previously filed.</w:t>
      </w:r>
    </w:p>
    <w:p>
      <w:pPr>
        <w:spacing w:after="0" w:line="204" w:lineRule="exact"/>
        <w:rPr>
          <w:rFonts w:ascii="Arial" w:cs="Arial" w:eastAsia="Arial" w:hAnsi="Arial"/>
          <w:sz w:val="14"/>
          <w:szCs w:val="14"/>
          <w:color w:val="auto"/>
        </w:rPr>
      </w:pPr>
    </w:p>
    <w:p>
      <w:pPr>
        <w:ind w:left="1080" w:hanging="418"/>
        <w:spacing w:after="0"/>
        <w:tabs>
          <w:tab w:leader="none" w:pos="1080" w:val="left"/>
        </w:tabs>
        <w:numPr>
          <w:ilvl w:val="1"/>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All other financial statement schedules are omitted because they are not applicable or the information is included in the Registrant’s consolidated financial statements or related notes.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80" w:hanging="418"/>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as amended, or the Securities Act.</w:t>
      </w:r>
    </w:p>
    <w:p>
      <w:pPr>
        <w:spacing w:after="0" w:line="130" w:lineRule="exact"/>
        <w:rPr>
          <w:rFonts w:ascii="Arial" w:cs="Arial" w:eastAsia="Arial" w:hAnsi="Arial"/>
          <w:sz w:val="18"/>
          <w:szCs w:val="18"/>
          <w:color w:val="auto"/>
        </w:rPr>
      </w:pPr>
    </w:p>
    <w:p>
      <w:pPr>
        <w:ind w:left="1540" w:right="80" w:hanging="439"/>
        <w:spacing w:after="0" w:line="263"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89"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80" w:hanging="418"/>
        <w:spacing w:after="0" w:line="263"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418"/>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80" w:right="60" w:hanging="418"/>
        <w:spacing w:after="0" w:line="311"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right="140" w:hanging="418"/>
        <w:spacing w:after="0" w:line="263"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w w:val="90"/>
              </w:rPr>
              <w:t>undersigned, thereunto duly authorized, in the City of San Francisco, State of California, on</w:t>
            </w:r>
          </w:p>
        </w:tc>
        <w:tc>
          <w:tcPr>
            <w:tcW w:w="4420" w:type="dxa"/>
            <w:vAlign w:val="bottom"/>
            <w:gridSpan w:val="2"/>
          </w:tcPr>
          <w:p>
            <w:pPr>
              <w:jc w:val="right"/>
              <w:ind w:right="3070"/>
              <w:spacing w:after="0"/>
              <w:rPr>
                <w:sz w:val="20"/>
                <w:szCs w:val="20"/>
                <w:color w:val="auto"/>
              </w:rPr>
            </w:pPr>
            <w:r>
              <w:rPr>
                <w:rFonts w:ascii="Arial" w:cs="Arial" w:eastAsia="Arial" w:hAnsi="Arial"/>
                <w:sz w:val="18"/>
                <w:szCs w:val="18"/>
                <w:color w:val="auto"/>
              </w:rPr>
              <w:t>, 2020.</w:t>
            </w:r>
          </w:p>
        </w:tc>
      </w:tr>
      <w:tr>
        <w:trPr>
          <w:trHeight w:val="445"/>
        </w:trPr>
        <w:tc>
          <w:tcPr>
            <w:tcW w:w="66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b w:val="1"/>
                <w:bCs w:val="1"/>
                <w:color w:val="auto"/>
              </w:rPr>
              <w:t>ASANA, INC.</w:t>
            </w:r>
          </w:p>
        </w:tc>
      </w:tr>
      <w:tr>
        <w:trPr>
          <w:trHeight w:val="432"/>
        </w:trPr>
        <w:tc>
          <w:tcPr>
            <w:tcW w:w="66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By:</w:t>
            </w:r>
          </w:p>
        </w:tc>
      </w:tr>
      <w:tr>
        <w:trPr>
          <w:trHeight w:val="209"/>
        </w:trPr>
        <w:tc>
          <w:tcPr>
            <w:tcW w:w="6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Dustin Moskovitz</w:t>
            </w:r>
          </w:p>
        </w:tc>
      </w:tr>
      <w:tr>
        <w:trPr>
          <w:trHeight w:val="230"/>
        </w:trPr>
        <w:tc>
          <w:tcPr>
            <w:tcW w:w="6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tcPr>
          <w:p>
            <w:pPr>
              <w:ind w:left="40"/>
              <w:spacing w:after="0"/>
              <w:rPr>
                <w:sz w:val="20"/>
                <w:szCs w:val="20"/>
                <w:color w:val="auto"/>
              </w:rPr>
            </w:pPr>
            <w:r>
              <w:rPr>
                <w:rFonts w:ascii="Arial" w:cs="Arial" w:eastAsia="Arial" w:hAnsi="Arial"/>
                <w:sz w:val="18"/>
                <w:szCs w:val="18"/>
                <w:color w:val="auto"/>
              </w:rPr>
              <w:t>President, Chief Executive Officer, and Chair</w:t>
            </w:r>
          </w:p>
        </w:tc>
      </w:tr>
      <w:tr>
        <w:trPr>
          <w:trHeight w:val="648"/>
        </w:trPr>
        <w:tc>
          <w:tcPr>
            <w:tcW w:w="6600" w:type="dxa"/>
            <w:vAlign w:val="bottom"/>
          </w:tcPr>
          <w:p>
            <w:pPr>
              <w:ind w:left="4500"/>
              <w:spacing w:after="0"/>
              <w:rPr>
                <w:sz w:val="20"/>
                <w:szCs w:val="20"/>
                <w:color w:val="auto"/>
              </w:rPr>
            </w:pPr>
            <w:r>
              <w:rPr>
                <w:rFonts w:ascii="Arial" w:cs="Arial" w:eastAsia="Arial" w:hAnsi="Arial"/>
                <w:sz w:val="18"/>
                <w:szCs w:val="18"/>
                <w:b w:val="1"/>
                <w:bCs w:val="1"/>
                <w:color w:val="auto"/>
              </w:rPr>
              <w:t>POWER OF ATTORNEY</w:t>
            </w:r>
          </w:p>
        </w:tc>
        <w:tc>
          <w:tcPr>
            <w:tcW w:w="38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Dustin Moskovitz, Tim Wan, and Eleanor Lacey, and each of them, as his or her true and lawful attorneys-in-fact and agents, with full power of substitution and resubstitution, for him or her and in his or her name, place and stead, in any and all capacities, to sign the Registration Statement on Form S-1 of Asana,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8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22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4"/>
              </w:rPr>
              <w:t>Name</w:t>
            </w:r>
          </w:p>
        </w:tc>
        <w:tc>
          <w:tcPr>
            <w:tcW w:w="2360" w:type="dxa"/>
            <w:vAlign w:val="bottom"/>
          </w:tcPr>
          <w:p>
            <w:pPr>
              <w:spacing w:after="0"/>
              <w:rPr>
                <w:sz w:val="14"/>
                <w:szCs w:val="14"/>
                <w:color w:val="auto"/>
              </w:rPr>
            </w:pPr>
          </w:p>
        </w:tc>
        <w:tc>
          <w:tcPr>
            <w:tcW w:w="3460" w:type="dxa"/>
            <w:vAlign w:val="bottom"/>
            <w:gridSpan w:val="2"/>
          </w:tcPr>
          <w:p>
            <w:pPr>
              <w:jc w:val="center"/>
              <w:ind w:right="3160"/>
              <w:spacing w:after="0"/>
              <w:rPr>
                <w:sz w:val="20"/>
                <w:szCs w:val="20"/>
                <w:color w:val="auto"/>
              </w:rPr>
            </w:pPr>
            <w:r>
              <w:rPr>
                <w:rFonts w:ascii="Arial" w:cs="Arial" w:eastAsia="Arial" w:hAnsi="Arial"/>
                <w:sz w:val="14"/>
                <w:szCs w:val="14"/>
                <w:b w:val="1"/>
                <w:bCs w:val="1"/>
                <w:color w:val="auto"/>
              </w:rPr>
              <w:t>Title</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800"/>
              <w:spacing w:after="0"/>
              <w:rPr>
                <w:sz w:val="20"/>
                <w:szCs w:val="20"/>
                <w:color w:val="auto"/>
              </w:rPr>
            </w:pPr>
            <w:r>
              <w:rPr>
                <w:rFonts w:ascii="Arial" w:cs="Arial" w:eastAsia="Arial" w:hAnsi="Arial"/>
                <w:sz w:val="18"/>
                <w:szCs w:val="18"/>
                <w:color w:val="auto"/>
                <w:w w:val="91"/>
              </w:rPr>
              <w:t>President, Chief Executive Officer, and Chair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5"/>
              </w:rPr>
              <w:t>Dustin Moskovitz</w:t>
            </w:r>
          </w:p>
        </w:tc>
        <w:tc>
          <w:tcPr>
            <w:tcW w:w="5820" w:type="dxa"/>
            <w:vAlign w:val="bottom"/>
            <w:gridSpan w:val="3"/>
          </w:tcPr>
          <w:p>
            <w:pPr>
              <w:jc w:val="center"/>
              <w:ind w:right="800"/>
              <w:spacing w:after="0"/>
              <w:rPr>
                <w:sz w:val="20"/>
                <w:szCs w:val="20"/>
                <w:color w:val="auto"/>
              </w:rPr>
            </w:pPr>
            <w:r>
              <w:rPr>
                <w:rFonts w:ascii="Arial" w:cs="Arial" w:eastAsia="Arial" w:hAnsi="Arial"/>
                <w:sz w:val="18"/>
                <w:szCs w:val="18"/>
                <w:i w:val="1"/>
                <w:iCs w:val="1"/>
                <w:color w:val="auto"/>
                <w:w w:val="94"/>
              </w:rPr>
              <w:t>(Principal Executive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Chief Financial Officer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1"/>
              </w:rPr>
              <w:t>Tim Wan</w:t>
            </w:r>
          </w:p>
        </w:tc>
        <w:tc>
          <w:tcPr>
            <w:tcW w:w="5820" w:type="dxa"/>
            <w:vAlign w:val="bottom"/>
            <w:gridSpan w:val="3"/>
          </w:tcPr>
          <w:p>
            <w:pPr>
              <w:jc w:val="center"/>
              <w:ind w:right="800"/>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0"/>
              </w:rPr>
              <w:t>Sydney Carey</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3"/>
              </w:rPr>
              <w:t>Matthew Cohler</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Adam D’Angelo</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6"/>
              </w:rPr>
              <w:t>Lorrie Norrington</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2"/>
              </w:rPr>
              <w:t>Anne Raimondi</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88"/>
              </w:rPr>
              <w:t>Justin Rosenstein</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ASANA,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DECEMBER 16, 2008)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NOVEMBER 2, 2011)</w:t>
      </w:r>
    </w:p>
    <w:p>
      <w:pPr>
        <w:jc w:val="center"/>
        <w:spacing w:after="0"/>
        <w:rPr>
          <w:sz w:val="20"/>
          <w:szCs w:val="20"/>
          <w:color w:val="auto"/>
        </w:rPr>
      </w:pPr>
      <w:r>
        <w:rPr>
          <w:rFonts w:ascii="Arial" w:cs="Arial" w:eastAsia="Arial" w:hAnsi="Arial"/>
          <w:sz w:val="22"/>
          <w:szCs w:val="22"/>
          <w:b w:val="1"/>
          <w:bCs w:val="1"/>
          <w:color w:val="auto"/>
        </w:rPr>
        <w:t>(AMENDED AND RESTATED: JANUARY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921385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ASANA,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CORPORATE OFFICES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u w:val="single" w:color="auto"/>
          <w:color w:val="auto"/>
        </w:rPr>
        <w:t>Offices</w:t>
      </w:r>
    </w:p>
    <w:p>
      <w:pPr>
        <w:spacing w:after="0" w:line="239" w:lineRule="exact"/>
        <w:rPr>
          <w:sz w:val="20"/>
          <w:szCs w:val="20"/>
          <w:color w:val="auto"/>
        </w:rPr>
      </w:pPr>
    </w:p>
    <w:p>
      <w:pPr>
        <w:ind w:right="80" w:firstLine="1296"/>
        <w:spacing w:after="0" w:line="328" w:lineRule="auto"/>
        <w:rPr>
          <w:sz w:val="20"/>
          <w:szCs w:val="20"/>
          <w:color w:val="auto"/>
        </w:rPr>
      </w:pPr>
      <w:r>
        <w:rPr>
          <w:rFonts w:ascii="Arial" w:cs="Arial" w:eastAsia="Arial" w:hAnsi="Arial"/>
          <w:sz w:val="19"/>
          <w:szCs w:val="19"/>
          <w:color w:val="auto"/>
        </w:rPr>
        <w:t>In addition to the corporation’s registered office set forth in the certificate of incorporation, the Board of Directors may at any time establish other offices at any place or places where the corporation is qualified to do business.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MEETINGS OF STOCKHOLDERS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u w:val="single" w:color="auto"/>
          <w:color w:val="auto"/>
        </w:rPr>
        <w:t>Place Of Meetings</w:t>
      </w:r>
    </w:p>
    <w:p>
      <w:pPr>
        <w:spacing w:after="0" w:line="239"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2"/>
          <w:szCs w:val="22"/>
          <w:color w:val="auto"/>
        </w:rPr>
        <w:t>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In the absence of any such designation or determination, stockholders’ meetings shall be held at the registered office of the corporation.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u w:val="single" w:color="auto"/>
          <w:color w:val="auto"/>
        </w:rPr>
        <w:t>Annual Meeting</w:t>
      </w:r>
    </w:p>
    <w:p>
      <w:pPr>
        <w:spacing w:after="0" w:line="239" w:lineRule="exact"/>
        <w:rPr>
          <w:sz w:val="20"/>
          <w:szCs w:val="20"/>
          <w:color w:val="auto"/>
        </w:rPr>
      </w:pPr>
    </w:p>
    <w:p>
      <w:pPr>
        <w:ind w:right="40" w:firstLine="1296"/>
        <w:spacing w:after="0"/>
        <w:rPr>
          <w:sz w:val="20"/>
          <w:szCs w:val="20"/>
          <w:color w:val="auto"/>
        </w:rPr>
      </w:pPr>
      <w:r>
        <w:rPr>
          <w:rFonts w:ascii="Arial" w:cs="Arial" w:eastAsia="Arial" w:hAnsi="Arial"/>
          <w:sz w:val="22"/>
          <w:szCs w:val="22"/>
          <w:color w:val="auto"/>
        </w:rPr>
        <w:t>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u w:val="single" w:color="auto"/>
          <w:color w:val="auto"/>
        </w:rPr>
        <w:t>Special Meeting</w:t>
      </w:r>
    </w:p>
    <w:p>
      <w:pPr>
        <w:spacing w:after="0" w:line="239" w:lineRule="exact"/>
        <w:rPr>
          <w:sz w:val="20"/>
          <w:szCs w:val="20"/>
          <w:color w:val="auto"/>
        </w:rPr>
      </w:pPr>
    </w:p>
    <w:p>
      <w:pPr>
        <w:ind w:right="160" w:firstLine="1296"/>
        <w:spacing w:after="0"/>
        <w:rPr>
          <w:sz w:val="20"/>
          <w:szCs w:val="20"/>
          <w:color w:val="auto"/>
        </w:rPr>
      </w:pPr>
      <w:r>
        <w:rPr>
          <w:rFonts w:ascii="Arial" w:cs="Arial" w:eastAsia="Arial" w:hAnsi="Arial"/>
          <w:sz w:val="22"/>
          <w:szCs w:val="22"/>
          <w:color w:val="auto"/>
        </w:rPr>
        <w:t>A special meeting of the stockholders may be called at any time by the Board of Directors, the chairperson of the Board of Directors, the chief executive officer, the president or by one or more stockholders holding shares in the aggregate entitled to cast not less than 10% of the votes at that meeting.</w:t>
      </w:r>
    </w:p>
    <w:p>
      <w:pPr>
        <w:spacing w:after="0" w:line="213" w:lineRule="exact"/>
        <w:rPr>
          <w:sz w:val="20"/>
          <w:szCs w:val="20"/>
          <w:color w:val="auto"/>
        </w:rPr>
      </w:pPr>
    </w:p>
    <w:p>
      <w:pPr>
        <w:ind w:right="220" w:firstLine="1296"/>
        <w:spacing w:after="0" w:line="287" w:lineRule="auto"/>
        <w:rPr>
          <w:sz w:val="20"/>
          <w:szCs w:val="20"/>
          <w:color w:val="auto"/>
        </w:rPr>
      </w:pPr>
      <w:r>
        <w:rPr>
          <w:rFonts w:ascii="Arial" w:cs="Arial" w:eastAsia="Arial" w:hAnsi="Arial"/>
          <w:sz w:val="19"/>
          <w:szCs w:val="19"/>
          <w:color w:val="auto"/>
        </w:rPr>
        <w:t>If a special meeting is called by any person or persons other than the Board of Directors, the chairperson of the Board of Directors, the chief executive officer or the president, the request shall be in writing, specifying the time of such meeting and the general nature of the business proposed to be transacted, and shall be delivered personally or sent by registered mail or by email, fax, telegraphic or other facsimile or electronic transmission to the chairperson of the Board of Directors , the</w:t>
      </w:r>
    </w:p>
    <w:p>
      <w:pPr>
        <w:sectPr>
          <w:pgSz w:w="11900" w:h="16838" w:orient="portrait"/>
          <w:cols w:equalWidth="0" w:num="1">
            <w:col w:w="11240"/>
          </w:cols>
          <w:pgMar w:left="320" w:top="355" w:right="339" w:bottom="0" w:gutter="0" w:footer="0" w:header="0"/>
        </w:sectPr>
      </w:pPr>
    </w:p>
    <w:bookmarkStart w:id="185" w:name="page186"/>
    <w:bookmarkEnd w:id="185"/>
    <w:p>
      <w:pPr>
        <w:spacing w:after="0" w:line="3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chief executive officer, the president or the secretary of the corporation. No business may be transacted at such special meeting otherwise than specified in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right="220" w:firstLine="1296"/>
        <w:spacing w:after="0" w:line="248" w:lineRule="auto"/>
        <w:rPr>
          <w:sz w:val="20"/>
          <w:szCs w:val="20"/>
          <w:color w:val="auto"/>
        </w:rPr>
      </w:pPr>
      <w:r>
        <w:rPr>
          <w:rFonts w:ascii="Arial" w:cs="Arial" w:eastAsia="Arial" w:hAnsi="Arial"/>
          <w:sz w:val="21"/>
          <w:szCs w:val="21"/>
          <w:color w:val="auto"/>
        </w:rPr>
        <w:t>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35 nor more than 60 days after the receipt of the request. If the notice is not given within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b w:val="1"/>
          <w:bCs w:val="1"/>
          <w:u w:val="single" w:color="auto"/>
          <w:color w:val="auto"/>
        </w:rPr>
        <w:t>Notice Of Stockholders’ Meetings</w:t>
      </w:r>
    </w:p>
    <w:p>
      <w:pPr>
        <w:spacing w:after="0" w:line="239" w:lineRule="exact"/>
        <w:rPr>
          <w:sz w:val="20"/>
          <w:szCs w:val="20"/>
          <w:color w:val="auto"/>
        </w:rPr>
      </w:pPr>
    </w:p>
    <w:p>
      <w:pPr>
        <w:ind w:right="20" w:firstLine="1296"/>
        <w:spacing w:after="0" w:line="236" w:lineRule="auto"/>
        <w:rPr>
          <w:sz w:val="20"/>
          <w:szCs w:val="20"/>
          <w:color w:val="auto"/>
        </w:rPr>
      </w:pPr>
      <w:r>
        <w:rPr>
          <w:rFonts w:ascii="Arial" w:cs="Arial" w:eastAsia="Arial" w:hAnsi="Arial"/>
          <w:sz w:val="22"/>
          <w:szCs w:val="22"/>
          <w:color w:val="auto"/>
        </w:rPr>
        <w:t>Unless otherwise provided by law, all notices of meetings with stockholders shall be in writing and shall be sent or otherwise given in accordance with Section 2.5 of these bylaws not less than 10 nor more than 60 days before the date of the meeting to each stockholder entitled to vote at such meeting, as of the record date for determining the stockholders entitled to notice of the meeting. The notice shall specify the place (if any), date and hour of the meeting, and in the case of a special meeting, the purpose or purposes for which the meeting is called.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b w:val="1"/>
          <w:bCs w:val="1"/>
          <w:u w:val="single" w:color="auto"/>
          <w:color w:val="auto"/>
        </w:rPr>
        <w:t>Manner Of Giving Notice; Affidavit Of Notice</w:t>
      </w:r>
    </w:p>
    <w:p>
      <w:pPr>
        <w:spacing w:after="0" w:line="239" w:lineRule="exact"/>
        <w:rPr>
          <w:sz w:val="20"/>
          <w:szCs w:val="20"/>
          <w:color w:val="auto"/>
        </w:rPr>
      </w:pPr>
    </w:p>
    <w:p>
      <w:pPr>
        <w:ind w:right="380" w:firstLine="1296"/>
        <w:spacing w:after="0" w:line="279" w:lineRule="auto"/>
        <w:rPr>
          <w:sz w:val="20"/>
          <w:szCs w:val="20"/>
          <w:color w:val="auto"/>
        </w:rPr>
      </w:pPr>
      <w:r>
        <w:rPr>
          <w:rFonts w:ascii="Arial" w:cs="Arial" w:eastAsia="Arial" w:hAnsi="Arial"/>
          <w:sz w:val="19"/>
          <w:szCs w:val="19"/>
          <w:color w:val="auto"/>
        </w:rPr>
        <w:t>Written notice of any meeting of stockholders, if mailed, is given when deposited in the United States mail, postage prepaid, directed to the stockholder at his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Delaware General Corporation Law. An affidavit of the secretary or an assistant secretary or of the transfer agent of the corporation that the notice has been given shall, in the absence of fraud, be prima facie evidence of the facts stated therein.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b w:val="1"/>
          <w:bCs w:val="1"/>
          <w:u w:val="single" w:color="auto"/>
          <w:color w:val="auto"/>
        </w:rPr>
        <w:t>Quorum</w:t>
      </w:r>
    </w:p>
    <w:p>
      <w:pPr>
        <w:spacing w:after="0" w:line="239" w:lineRule="exact"/>
        <w:rPr>
          <w:sz w:val="20"/>
          <w:szCs w:val="20"/>
          <w:color w:val="auto"/>
        </w:rPr>
      </w:pPr>
    </w:p>
    <w:p>
      <w:pPr>
        <w:ind w:right="20" w:firstLine="1296"/>
        <w:spacing w:after="0" w:line="248" w:lineRule="auto"/>
        <w:rPr>
          <w:sz w:val="20"/>
          <w:szCs w:val="20"/>
          <w:color w:val="auto"/>
        </w:rPr>
      </w:pPr>
      <w:r>
        <w:rPr>
          <w:rFonts w:ascii="Arial" w:cs="Arial" w:eastAsia="Arial" w:hAnsi="Arial"/>
          <w:sz w:val="21"/>
          <w:szCs w:val="21"/>
          <w:color w:val="auto"/>
        </w:rPr>
        <w:t>The holders of a majority of the voting power of the shares of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chairperson of the meeting or (b) holders of a majority of the voting power of the shares of stock entitled to vote who are present, in person or by proxy, shall have power to adjourn the meeting to another place (if any), date or time.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b w:val="1"/>
          <w:bCs w:val="1"/>
          <w:u w:val="single" w:color="auto"/>
          <w:color w:val="auto"/>
        </w:rPr>
        <w:t>Adjourned Meeting; Notice</w:t>
      </w:r>
    </w:p>
    <w:p>
      <w:pPr>
        <w:spacing w:after="0" w:line="239" w:lineRule="exact"/>
        <w:rPr>
          <w:sz w:val="20"/>
          <w:szCs w:val="20"/>
          <w:color w:val="auto"/>
        </w:rPr>
      </w:pPr>
    </w:p>
    <w:p>
      <w:pPr>
        <w:ind w:firstLine="1296"/>
        <w:spacing w:after="0" w:line="275" w:lineRule="auto"/>
        <w:rPr>
          <w:sz w:val="20"/>
          <w:szCs w:val="20"/>
          <w:color w:val="auto"/>
        </w:rPr>
      </w:pPr>
      <w:r>
        <w:rPr>
          <w:rFonts w:ascii="Arial" w:cs="Arial" w:eastAsia="Arial" w:hAnsi="Arial"/>
          <w:sz w:val="19"/>
          <w:szCs w:val="19"/>
          <w:color w:val="auto"/>
        </w:rPr>
        <w:t>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b w:val="1"/>
          <w:bCs w:val="1"/>
          <w:u w:val="single" w:color="auto"/>
          <w:color w:val="auto"/>
        </w:rPr>
        <w:t>Organization; Conduct of Business</w:t>
      </w:r>
    </w:p>
    <w:p>
      <w:pPr>
        <w:spacing w:after="0" w:line="239" w:lineRule="exact"/>
        <w:rPr>
          <w:sz w:val="20"/>
          <w:szCs w:val="20"/>
          <w:color w:val="auto"/>
        </w:rPr>
      </w:pPr>
    </w:p>
    <w:p>
      <w:pPr>
        <w:ind w:right="20" w:firstLine="1296"/>
        <w:spacing w:after="0" w:line="249" w:lineRule="auto"/>
        <w:rPr>
          <w:sz w:val="20"/>
          <w:szCs w:val="20"/>
          <w:color w:val="auto"/>
        </w:rPr>
      </w:pPr>
      <w:r>
        <w:rPr>
          <w:rFonts w:ascii="Arial" w:cs="Arial" w:eastAsia="Arial" w:hAnsi="Arial"/>
          <w:sz w:val="21"/>
          <w:szCs w:val="21"/>
          <w:color w:val="auto"/>
        </w:rPr>
        <w:t>Such person as the Board of Directors may have designated or, in the absence of such a person, the chief executive officer, or in his or her absence, the president or, in his or her absence, such person as may be chosen by the holders of a majority of the voting power of the shares entitled to vote who are present, in person or by proxy, shall call to order any meeting of the stockholders and act as chairperson of the meeting. In the absence of the secretary of the corporation, the secretary of the meeting shall be such person as the chairperson of the meeting appoints.</w:t>
      </w:r>
    </w:p>
    <w:p>
      <w:pPr>
        <w:spacing w:after="0" w:line="205" w:lineRule="exact"/>
        <w:rPr>
          <w:sz w:val="20"/>
          <w:szCs w:val="20"/>
          <w:color w:val="auto"/>
        </w:rPr>
      </w:pPr>
    </w:p>
    <w:p>
      <w:pPr>
        <w:ind w:right="300" w:firstLine="1296"/>
        <w:spacing w:after="0" w:line="297" w:lineRule="auto"/>
        <w:rPr>
          <w:sz w:val="20"/>
          <w:szCs w:val="20"/>
          <w:color w:val="auto"/>
        </w:rPr>
      </w:pPr>
      <w:r>
        <w:rPr>
          <w:rFonts w:ascii="Arial" w:cs="Arial" w:eastAsia="Arial" w:hAnsi="Arial"/>
          <w:sz w:val="19"/>
          <w:szCs w:val="19"/>
          <w:color w:val="auto"/>
        </w:rPr>
        <w:t>The chairperson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b w:val="1"/>
          <w:bCs w:val="1"/>
          <w:u w:val="single" w:color="auto"/>
          <w:color w:val="auto"/>
        </w:rPr>
        <w:t>Voting</w:t>
      </w:r>
    </w:p>
    <w:p>
      <w:pPr>
        <w:spacing w:after="0" w:line="239" w:lineRule="exact"/>
        <w:rPr>
          <w:sz w:val="20"/>
          <w:szCs w:val="20"/>
          <w:color w:val="auto"/>
        </w:rPr>
      </w:pPr>
    </w:p>
    <w:p>
      <w:pPr>
        <w:ind w:right="120" w:firstLine="1296"/>
        <w:spacing w:after="0" w:line="238" w:lineRule="auto"/>
        <w:rPr>
          <w:sz w:val="20"/>
          <w:szCs w:val="20"/>
          <w:color w:val="auto"/>
        </w:rPr>
      </w:pPr>
      <w:r>
        <w:rPr>
          <w:rFonts w:ascii="Arial" w:cs="Arial" w:eastAsia="Arial" w:hAnsi="Arial"/>
          <w:sz w:val="22"/>
          <w:szCs w:val="22"/>
          <w:color w:val="auto"/>
        </w:rPr>
        <w:t>The stockholders entitled to vote at any meeting of stockholders shall be determined in accordance with the provisions of Section 2.12 of these bylaws, subject to the provisions of Sections 217 and 218 of the Delaware General Corporation Law (relating to voting rights of fiduciaries, pledgors and joint owners of stock and to voting trusts and other voting agreements).</w:t>
      </w:r>
    </w:p>
    <w:p>
      <w:pPr>
        <w:sectPr>
          <w:pgSz w:w="11900" w:h="16874" w:orient="portrait"/>
          <w:cols w:equalWidth="0" w:num="1">
            <w:col w:w="11240"/>
          </w:cols>
          <w:pgMar w:left="320" w:top="118" w:right="339" w:bottom="0" w:gutter="0" w:footer="0" w:header="0"/>
        </w:sectPr>
      </w:pPr>
    </w:p>
    <w:bookmarkStart w:id="186" w:name="page187"/>
    <w:bookmarkEnd w:id="186"/>
    <w:p>
      <w:pPr>
        <w:ind w:firstLine="1296"/>
        <w:spacing w:after="0" w:line="238" w:lineRule="auto"/>
        <w:rPr>
          <w:sz w:val="20"/>
          <w:szCs w:val="20"/>
          <w:color w:val="auto"/>
        </w:rPr>
      </w:pPr>
      <w:r>
        <w:rPr>
          <w:rFonts w:ascii="Arial" w:cs="Arial" w:eastAsia="Arial" w:hAnsi="Arial"/>
          <w:sz w:val="22"/>
          <w:szCs w:val="22"/>
          <w:color w:val="auto"/>
        </w:rPr>
        <w:t>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b w:val="1"/>
          <w:bCs w:val="1"/>
          <w:u w:val="single" w:color="auto"/>
          <w:color w:val="auto"/>
        </w:rPr>
        <w:t>Waiver Of Notice</w:t>
      </w:r>
    </w:p>
    <w:p>
      <w:pPr>
        <w:spacing w:after="0" w:line="239" w:lineRule="exact"/>
        <w:rPr>
          <w:sz w:val="20"/>
          <w:szCs w:val="20"/>
          <w:color w:val="auto"/>
        </w:rPr>
      </w:pPr>
    </w:p>
    <w:p>
      <w:pPr>
        <w:ind w:firstLine="1296"/>
        <w:spacing w:after="0" w:line="275" w:lineRule="auto"/>
        <w:rPr>
          <w:sz w:val="20"/>
          <w:szCs w:val="20"/>
          <w:color w:val="auto"/>
        </w:rPr>
      </w:pPr>
      <w:r>
        <w:rPr>
          <w:rFonts w:ascii="Arial" w:cs="Arial" w:eastAsia="Arial" w:hAnsi="Arial"/>
          <w:sz w:val="19"/>
          <w:szCs w:val="19"/>
          <w:color w:val="auto"/>
        </w:rPr>
        <w:t>Whenever notice is required to be given under any provision of the Delaware General Corporation Law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of notice by electronic transmission, unless so required by the certificate of incorporation or these bylaws.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u w:val="single" w:color="auto"/>
          <w:color w:val="auto"/>
        </w:rPr>
        <w:t>Stockholder Action By Written Consent Without A Meeting</w:t>
      </w:r>
    </w:p>
    <w:p>
      <w:pPr>
        <w:spacing w:after="0" w:line="239" w:lineRule="exact"/>
        <w:rPr>
          <w:sz w:val="20"/>
          <w:szCs w:val="20"/>
          <w:color w:val="auto"/>
        </w:rPr>
      </w:pPr>
    </w:p>
    <w:p>
      <w:pPr>
        <w:ind w:right="20" w:firstLine="1296"/>
        <w:spacing w:after="0" w:line="279" w:lineRule="auto"/>
        <w:rPr>
          <w:sz w:val="20"/>
          <w:szCs w:val="20"/>
          <w:color w:val="auto"/>
        </w:rPr>
      </w:pPr>
      <w:r>
        <w:rPr>
          <w:rFonts w:ascii="Arial" w:cs="Arial" w:eastAsia="Arial" w:hAnsi="Arial"/>
          <w:sz w:val="19"/>
          <w:szCs w:val="19"/>
          <w:color w:val="auto"/>
        </w:rPr>
        <w:t>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(a) signed by the holders of outstanding stock having not less than the minimum number of votes that would be necessary to authorize or take such action at a meeting at which all shares entitled to vote thereon were present and voted, and (b) delivered to the corporation in accordance with Section 228(a) of the Delaware General Corporation Law.</w:t>
      </w:r>
    </w:p>
    <w:p>
      <w:pPr>
        <w:spacing w:after="0" w:line="177" w:lineRule="exact"/>
        <w:rPr>
          <w:sz w:val="20"/>
          <w:szCs w:val="20"/>
          <w:color w:val="auto"/>
        </w:rPr>
      </w:pPr>
    </w:p>
    <w:p>
      <w:pPr>
        <w:ind w:right="80" w:firstLine="1296"/>
        <w:spacing w:after="0" w:line="246" w:lineRule="auto"/>
        <w:rPr>
          <w:sz w:val="20"/>
          <w:szCs w:val="20"/>
          <w:color w:val="auto"/>
        </w:rPr>
      </w:pPr>
      <w:r>
        <w:rPr>
          <w:rFonts w:ascii="Arial" w:cs="Arial" w:eastAsia="Arial" w:hAnsi="Arial"/>
          <w:sz w:val="21"/>
          <w:szCs w:val="21"/>
          <w:color w:val="auto"/>
        </w:rPr>
        <w:t>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action are delivered to the corporation in the manner prescribed in this Section. A telegram, cablegram, electronic mail or other electronic transmission consenting to an action to be taken and transmitted by a stockholder or proxyholder, or by a person or persons authorized to act for a stockholder or proxyholder, shall be deemed to be written, signed and dated for purposes of this Section to the extent permitted by law. Any such consent shall be delivered in accordance with Section 228(d)(1) of the Delaware General Corporation Law.</w:t>
      </w:r>
    </w:p>
    <w:p>
      <w:pPr>
        <w:spacing w:after="0" w:line="207" w:lineRule="exact"/>
        <w:rPr>
          <w:sz w:val="20"/>
          <w:szCs w:val="20"/>
          <w:color w:val="auto"/>
        </w:rPr>
      </w:pPr>
    </w:p>
    <w:p>
      <w:pPr>
        <w:jc w:val="both"/>
        <w:ind w:right="100" w:firstLine="1296"/>
        <w:spacing w:after="0"/>
        <w:rPr>
          <w:sz w:val="20"/>
          <w:szCs w:val="20"/>
          <w:color w:val="auto"/>
        </w:rPr>
      </w:pPr>
      <w:r>
        <w:rPr>
          <w:rFonts w:ascii="Arial" w:cs="Arial" w:eastAsia="Arial" w:hAnsi="Arial"/>
          <w:sz w:val="22"/>
          <w:szCs w:val="22"/>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213" w:lineRule="exact"/>
        <w:rPr>
          <w:sz w:val="20"/>
          <w:szCs w:val="20"/>
          <w:color w:val="auto"/>
        </w:rPr>
      </w:pPr>
    </w:p>
    <w:p>
      <w:pPr>
        <w:ind w:firstLine="1296"/>
        <w:spacing w:after="0" w:line="279" w:lineRule="auto"/>
        <w:rPr>
          <w:sz w:val="20"/>
          <w:szCs w:val="20"/>
          <w:color w:val="auto"/>
        </w:rPr>
      </w:pPr>
      <w:r>
        <w:rPr>
          <w:rFonts w:ascii="Arial" w:cs="Arial" w:eastAsia="Arial" w:hAnsi="Arial"/>
          <w:sz w:val="19"/>
          <w:szCs w:val="19"/>
          <w:color w:val="auto"/>
        </w:rPr>
        <w:t>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Delaware General Corporation Law if such action had been voted on by stockholders at a meeting thereof, then the certificate filed under such section shall state, in lieu of any statement required by such section concerning any vote of stockholders, that written consent has been given as provided in Section 228 of the Delaware General Corporation Law.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u w:val="single" w:color="auto"/>
          <w:color w:val="auto"/>
        </w:rPr>
        <w:t>Record Date For Stockholder Notice; Voting; Giving Consents</w:t>
      </w:r>
    </w:p>
    <w:p>
      <w:pPr>
        <w:spacing w:after="0" w:line="239" w:lineRule="exact"/>
        <w:rPr>
          <w:sz w:val="20"/>
          <w:szCs w:val="20"/>
          <w:color w:val="auto"/>
        </w:rPr>
      </w:pPr>
    </w:p>
    <w:p>
      <w:pPr>
        <w:ind w:right="80" w:firstLine="1304"/>
        <w:spacing w:after="0" w:line="244" w:lineRule="auto"/>
        <w:tabs>
          <w:tab w:leader="none" w:pos="159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In order that the corporation may determine the stockholders entitled to notice of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any adjournment thereof, shall, unless otherwise required by law, not be more than 60 nor less than 10 days before the date of such meeting and, unless the Board of Directors determines, at the time it fixes such record date, that a later date on or before the date of the meeting shall be the date for determining the stockholders entitled to vote at such meeting, the record date for determining the stockholders entitled to notice of such meeting shall also be the record date for determining the stockholders entitled to vote at such meeting; (2) in the case of determination of stockholders entitled to express consent to corporate action in writing without a meeting, shall not be more than 10 days from the date upon which the resolution fixing the record date is adopted by the Board of Directors; and (3) in the case of any other action, shall not be more than 60 days prior to such other action.</w:t>
      </w:r>
    </w:p>
    <w:p>
      <w:pPr>
        <w:sectPr>
          <w:pgSz w:w="11900" w:h="16838" w:orient="portrait"/>
          <w:cols w:equalWidth="0" w:num="1">
            <w:col w:w="11240"/>
          </w:cols>
          <w:pgMar w:left="320" w:top="361" w:right="339" w:bottom="109" w:gutter="0" w:footer="0" w:header="0"/>
        </w:sectPr>
      </w:pPr>
    </w:p>
    <w:bookmarkStart w:id="187" w:name="page188"/>
    <w:bookmarkEnd w:id="187"/>
    <w:p>
      <w:pPr>
        <w:ind w:firstLine="1304"/>
        <w:spacing w:after="0" w:line="274" w:lineRule="auto"/>
        <w:tabs>
          <w:tab w:leader="none" w:pos="160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the Board of Directors does not so fix a record date: (1)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of the Board of Directors is required by law, shall be the first date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w:t>
      </w:r>
    </w:p>
    <w:p>
      <w:pPr>
        <w:spacing w:after="0" w:line="185" w:lineRule="exact"/>
        <w:rPr>
          <w:rFonts w:ascii="Arial" w:cs="Arial" w:eastAsia="Arial" w:hAnsi="Arial"/>
          <w:sz w:val="19"/>
          <w:szCs w:val="19"/>
          <w:color w:val="auto"/>
        </w:rPr>
      </w:pPr>
    </w:p>
    <w:p>
      <w:pPr>
        <w:ind w:right="220" w:firstLine="1304"/>
        <w:spacing w:after="0" w:line="282" w:lineRule="auto"/>
        <w:tabs>
          <w:tab w:leader="none" w:pos="159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 determination of stockholders of record entitled to notice of or to vote at a meeting of stockholders shall apply to any adjournment of the meeting; provided, however, that the Board of Directors may fix a new record date for the determination of stockholders entitled to vote at the adjourned meeting, and in such case shall also fix as the record date for the stockholders entitled to notice of such adjourned meeting the same or an earlier date as that fixed for the determination of stockholders entitled to vote in accordance with the foregoing provisions of this Section 2.12 at the adjourned meeting.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b w:val="1"/>
          <w:bCs w:val="1"/>
          <w:u w:val="single" w:color="auto"/>
          <w:color w:val="auto"/>
        </w:rPr>
        <w:t>Proxies</w:t>
      </w:r>
    </w:p>
    <w:p>
      <w:pPr>
        <w:spacing w:after="0" w:line="239"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9"/>
          <w:szCs w:val="19"/>
          <w:color w:val="auto"/>
        </w:rPr>
        <w:t>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Delaware General Corporation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ind w:left="4980"/>
        <w:spacing w:after="0"/>
        <w:rPr>
          <w:sz w:val="20"/>
          <w:szCs w:val="20"/>
          <w:color w:val="auto"/>
        </w:rPr>
      </w:pPr>
      <w:r>
        <w:rPr>
          <w:rFonts w:ascii="Arial" w:cs="Arial" w:eastAsia="Arial" w:hAnsi="Arial"/>
          <w:sz w:val="22"/>
          <w:szCs w:val="22"/>
          <w:b w:val="1"/>
          <w:bCs w:val="1"/>
          <w:u w:val="single" w:color="auto"/>
          <w:color w:val="auto"/>
        </w:rPr>
        <w:t>DIRECTORS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u w:val="single" w:color="auto"/>
          <w:color w:val="auto"/>
        </w:rPr>
        <w:t>Powers</w:t>
      </w:r>
    </w:p>
    <w:p>
      <w:pPr>
        <w:spacing w:after="0" w:line="239" w:lineRule="exact"/>
        <w:rPr>
          <w:sz w:val="20"/>
          <w:szCs w:val="20"/>
          <w:color w:val="auto"/>
        </w:rPr>
      </w:pPr>
    </w:p>
    <w:p>
      <w:pPr>
        <w:ind w:right="160" w:firstLine="1296"/>
        <w:spacing w:after="0" w:line="238" w:lineRule="auto"/>
        <w:rPr>
          <w:sz w:val="20"/>
          <w:szCs w:val="20"/>
          <w:color w:val="auto"/>
        </w:rPr>
      </w:pPr>
      <w:r>
        <w:rPr>
          <w:rFonts w:ascii="Arial" w:cs="Arial" w:eastAsia="Arial" w:hAnsi="Arial"/>
          <w:sz w:val="22"/>
          <w:szCs w:val="22"/>
          <w:color w:val="auto"/>
        </w:rPr>
        <w:t>Subject to the provisions of the Delaware General Corporation Law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u w:val="single" w:color="auto"/>
          <w:color w:val="auto"/>
        </w:rPr>
        <w:t>Number Of Directors</w:t>
      </w:r>
    </w:p>
    <w:p>
      <w:pPr>
        <w:spacing w:after="0" w:line="239" w:lineRule="exact"/>
        <w:rPr>
          <w:sz w:val="20"/>
          <w:szCs w:val="20"/>
          <w:color w:val="auto"/>
        </w:rPr>
      </w:pPr>
    </w:p>
    <w:p>
      <w:pPr>
        <w:ind w:right="60" w:firstLine="1296"/>
        <w:spacing w:after="0" w:line="297" w:lineRule="auto"/>
        <w:rPr>
          <w:sz w:val="20"/>
          <w:szCs w:val="20"/>
          <w:color w:val="auto"/>
        </w:rPr>
      </w:pPr>
      <w:r>
        <w:rPr>
          <w:rFonts w:ascii="Arial" w:cs="Arial" w:eastAsia="Arial" w:hAnsi="Arial"/>
          <w:sz w:val="19"/>
          <w:szCs w:val="19"/>
          <w:color w:val="auto"/>
        </w:rPr>
        <w:t>The number of directors constituting the entire Board of Directors is seven. This number may be changed by a resolution of the Board of Directors or of the stockholders, subject to Section 3.4 of these bylaws. No reduction of the authorized number of directors shall have the effect of removing any director before such director’s term of office expires.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u w:val="single" w:color="auto"/>
          <w:color w:val="auto"/>
        </w:rPr>
        <w:t>Election, Qualification And Term Of Office Of Directors</w:t>
      </w:r>
    </w:p>
    <w:p>
      <w:pPr>
        <w:spacing w:after="0" w:line="239" w:lineRule="exact"/>
        <w:rPr>
          <w:sz w:val="20"/>
          <w:szCs w:val="20"/>
          <w:color w:val="auto"/>
        </w:rPr>
      </w:pPr>
    </w:p>
    <w:p>
      <w:pPr>
        <w:ind w:right="180" w:firstLine="1296"/>
        <w:spacing w:after="0" w:line="249" w:lineRule="auto"/>
        <w:rPr>
          <w:sz w:val="20"/>
          <w:szCs w:val="20"/>
          <w:color w:val="auto"/>
        </w:rPr>
      </w:pPr>
      <w:r>
        <w:rPr>
          <w:rFonts w:ascii="Arial" w:cs="Arial" w:eastAsia="Arial" w:hAnsi="Arial"/>
          <w:sz w:val="21"/>
          <w:szCs w:val="21"/>
          <w:color w:val="auto"/>
        </w:rPr>
        <w:t>Except as provided in Section 3.4 of these bylaws, and unless otherwise provided in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Unless otherwise specified in the certificate of incorporation, elections of directors need not be by written ballot.</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u w:val="single" w:color="auto"/>
          <w:color w:val="auto"/>
        </w:rPr>
        <w:t>Resignation And Vacancies</w:t>
      </w:r>
    </w:p>
    <w:p>
      <w:pPr>
        <w:spacing w:after="0" w:line="239"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color w:val="auto"/>
        </w:rPr>
        <w:t>Any director may resign at any time upon written notice to the attention of the Secretary of the corporation. Notwithstanding the provisions of Section 223(a)(1) and 223(a)(2) of the Delaware General Corporation Law, any vacancy or newly created directorship may be filled by a majority vote of the directors then in office (including any directors that have tendered a resignation effective at a future date), though less than a quorum, or by a sole remaining director, and the directors so chosen shall hold office until the next annual election and until their successors are duly elected and shall qualify, unless sooner displaced; provided, however, that where such vacancy or newly created directorship occurs among the directors elected by the holders of a class or series of stock, the holders of shares of such class or series may override the Board of Directors’ action to fill such vacancy or newly created directorship by (i) voting for their own designee to fill such vacancy or newly created directorship at a meeting of the corporation’s stockholders or (ii) written consent, if the consenting stockholders hold a sufficient number of shares to elect their designee at a meeting of the stockholders.</w:t>
      </w:r>
    </w:p>
    <w:p>
      <w:pPr>
        <w:sectPr>
          <w:pgSz w:w="11900" w:h="16838" w:orient="portrait"/>
          <w:cols w:equalWidth="0" w:num="1">
            <w:col w:w="11220"/>
          </w:cols>
          <w:pgMar w:left="320" w:top="118" w:right="359" w:bottom="0" w:gutter="0" w:footer="0" w:header="0"/>
        </w:sectPr>
      </w:pPr>
    </w:p>
    <w:bookmarkStart w:id="188" w:name="page189"/>
    <w:bookmarkEnd w:id="188"/>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p>
      <w:pPr>
        <w:ind w:right="40" w:firstLine="1296"/>
        <w:spacing w:after="0" w:line="282" w:lineRule="auto"/>
        <w:rPr>
          <w:sz w:val="20"/>
          <w:szCs w:val="20"/>
          <w:color w:val="auto"/>
        </w:rPr>
      </w:pPr>
      <w:r>
        <w:rPr>
          <w:rFonts w:ascii="Arial" w:cs="Arial" w:eastAsia="Arial" w:hAnsi="Arial"/>
          <w:sz w:val="19"/>
          <w:szCs w:val="19"/>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Delaware General Corporation Law.</w:t>
      </w:r>
    </w:p>
    <w:p>
      <w:pPr>
        <w:spacing w:after="0" w:line="174" w:lineRule="exact"/>
        <w:rPr>
          <w:sz w:val="20"/>
          <w:szCs w:val="20"/>
          <w:color w:val="auto"/>
        </w:rPr>
      </w:pPr>
    </w:p>
    <w:p>
      <w:pPr>
        <w:ind w:right="20" w:firstLine="1296"/>
        <w:spacing w:after="0" w:line="248" w:lineRule="auto"/>
        <w:rPr>
          <w:sz w:val="20"/>
          <w:szCs w:val="20"/>
          <w:color w:val="auto"/>
        </w:rPr>
      </w:pPr>
      <w:r>
        <w:rPr>
          <w:rFonts w:ascii="Arial" w:cs="Arial" w:eastAsia="Arial" w:hAnsi="Arial"/>
          <w:sz w:val="21"/>
          <w:szCs w:val="21"/>
          <w:color w:val="auto"/>
        </w:rPr>
        <w:t>If, at the time of filling any vacancy or any newly created directorship, the directors then in office constitute less than a majority vote of the whole Board of Directors (as constituted immediately prior to any such increase), then the Court of Chancery may, upon application of any stockholder or stockholders holding at least 10% of the total voting power of the shares at the time outstanding, summarily order an election to be held to fill any such vacancies or newly created directorships, or to replace the directors chosen by the directors then in office as aforesaid, which election shall be governed by the provisions of Section 211 of the Delaware General Corporation Law as far as applicable.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u w:val="single" w:color="auto"/>
          <w:color w:val="auto"/>
        </w:rPr>
        <w:t>Place Of Meetings; Meetings By Telephone</w:t>
      </w:r>
    </w:p>
    <w:p>
      <w:pPr>
        <w:spacing w:after="0" w:line="239"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The Board of Directors of the corporation may hold meetings, both regular and special, either within or outside the state of Delaware.</w:t>
      </w:r>
    </w:p>
    <w:p>
      <w:pPr>
        <w:spacing w:after="0" w:line="202"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b w:val="1"/>
          <w:bCs w:val="1"/>
          <w:u w:val="single" w:color="auto"/>
          <w:color w:val="auto"/>
        </w:rPr>
        <w:t>Regular Meetings</w:t>
      </w:r>
    </w:p>
    <w:p>
      <w:pPr>
        <w:spacing w:after="0" w:line="239" w:lineRule="exact"/>
        <w:rPr>
          <w:sz w:val="20"/>
          <w:szCs w:val="20"/>
          <w:color w:val="auto"/>
        </w:rPr>
      </w:pPr>
    </w:p>
    <w:p>
      <w:pPr>
        <w:ind w:right="460" w:firstLine="1296"/>
        <w:spacing w:after="0" w:line="250" w:lineRule="auto"/>
        <w:rPr>
          <w:sz w:val="20"/>
          <w:szCs w:val="20"/>
          <w:color w:val="auto"/>
        </w:rPr>
      </w:pPr>
      <w:r>
        <w:rPr>
          <w:rFonts w:ascii="Arial" w:cs="Arial" w:eastAsia="Arial" w:hAnsi="Arial"/>
          <w:sz w:val="22"/>
          <w:szCs w:val="22"/>
          <w:color w:val="auto"/>
        </w:rPr>
        <w:t>Regular meetings of the Board of Directors may be held without notice at such time and at such place as shall from time to time be determined by the Board of Directors.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b w:val="1"/>
          <w:bCs w:val="1"/>
          <w:u w:val="single" w:color="auto"/>
          <w:color w:val="auto"/>
        </w:rPr>
        <w:t>Special Meetings; Notice</w:t>
      </w:r>
    </w:p>
    <w:p>
      <w:pPr>
        <w:spacing w:after="0" w:line="239" w:lineRule="exact"/>
        <w:rPr>
          <w:sz w:val="20"/>
          <w:szCs w:val="20"/>
          <w:color w:val="auto"/>
        </w:rPr>
      </w:pPr>
    </w:p>
    <w:p>
      <w:pPr>
        <w:ind w:right="100" w:firstLine="1296"/>
        <w:spacing w:after="0"/>
        <w:rPr>
          <w:sz w:val="20"/>
          <w:szCs w:val="20"/>
          <w:color w:val="auto"/>
        </w:rPr>
      </w:pPr>
      <w:r>
        <w:rPr>
          <w:rFonts w:ascii="Arial" w:cs="Arial" w:eastAsia="Arial" w:hAnsi="Arial"/>
          <w:sz w:val="22"/>
          <w:szCs w:val="22"/>
          <w:color w:val="auto"/>
        </w:rPr>
        <w:t>Special meetings of the Board of Directors for any purpose or purposes may be called at any time by the chairperson of the Board of Directors, the chief executive officer, the president, the secretary or a majority of the members of the Board of Directors then in office.</w:t>
      </w:r>
    </w:p>
    <w:p>
      <w:pPr>
        <w:spacing w:after="0" w:line="213" w:lineRule="exact"/>
        <w:rPr>
          <w:sz w:val="20"/>
          <w:szCs w:val="20"/>
          <w:color w:val="auto"/>
        </w:rPr>
      </w:pPr>
    </w:p>
    <w:p>
      <w:pPr>
        <w:ind w:right="20" w:firstLine="1296"/>
        <w:spacing w:after="0" w:line="245" w:lineRule="auto"/>
        <w:rPr>
          <w:sz w:val="20"/>
          <w:szCs w:val="20"/>
          <w:color w:val="auto"/>
        </w:rPr>
      </w:pPr>
      <w:r>
        <w:rPr>
          <w:rFonts w:ascii="Arial" w:cs="Arial" w:eastAsia="Arial" w:hAnsi="Arial"/>
          <w:sz w:val="21"/>
          <w:szCs w:val="21"/>
          <w:color w:val="auto"/>
        </w:rPr>
        <w:t>Notice of the time and place of special meetings shall be delivered personally or by telephone to each director or sent by first-class mail, facsimile, electronic transmission, or telegram, charges prepaid, addressed to each director at that director’s address as it is shown on the records of the corporation. If the notice is mailed, it shall be deposited in the United States mail at least 4 days before the time of the holding of the meeting. If the notice is delivered personally or by facsimile, electronic transmission, telephone or telegram, it shall be delivered at least 24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b w:val="1"/>
          <w:bCs w:val="1"/>
          <w:u w:val="single" w:color="auto"/>
          <w:color w:val="auto"/>
        </w:rPr>
        <w:t>Quorum</w:t>
      </w:r>
    </w:p>
    <w:p>
      <w:pPr>
        <w:spacing w:after="0" w:line="239"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color w:val="auto"/>
        </w:rPr>
        <w:t>At all meetings of the Board of Directors, a majority of the total number of duly elected directors then in office (which majority shall include both (a) at least one of: (i) the Series A Director (as such term is defined in the certificate of incorporation); or (ii) a director elected by the holders of a majority of the voting power of the then-outstanding shares of the corporation’s Class A Common Stock, Class B Common Stock, Series 1 Preferred Stock and Preferred Stock, voting together as a single class, pursuant to the certificate of incorporation; and (b) the Common Director (as such term is defined in the certificate of incorporation)) shall constitute a quorum, provided that in no event shall a quorum consist of fewer directors than one-third of the total number of authorized directors.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vote of the required quorum for that meeting.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b w:val="1"/>
          <w:bCs w:val="1"/>
          <w:u w:val="single" w:color="auto"/>
          <w:color w:val="auto"/>
        </w:rPr>
        <w:t>Waiver Of Notice</w:t>
      </w:r>
    </w:p>
    <w:p>
      <w:pPr>
        <w:spacing w:after="0" w:line="239" w:lineRule="exact"/>
        <w:rPr>
          <w:sz w:val="20"/>
          <w:szCs w:val="20"/>
          <w:color w:val="auto"/>
        </w:rPr>
      </w:pPr>
    </w:p>
    <w:p>
      <w:pPr>
        <w:ind w:right="200" w:firstLine="1296"/>
        <w:spacing w:after="0" w:line="287" w:lineRule="auto"/>
        <w:rPr>
          <w:sz w:val="20"/>
          <w:szCs w:val="20"/>
          <w:color w:val="auto"/>
        </w:rPr>
      </w:pPr>
      <w:r>
        <w:rPr>
          <w:rFonts w:ascii="Arial" w:cs="Arial" w:eastAsia="Arial" w:hAnsi="Arial"/>
          <w:sz w:val="19"/>
          <w:szCs w:val="19"/>
          <w:color w:val="auto"/>
        </w:rPr>
        <w:t>Whenever notice is required to be given under any provision of the Delaware General Corporation Law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w:t>
      </w:r>
    </w:p>
    <w:p>
      <w:pPr>
        <w:sectPr>
          <w:pgSz w:w="11900" w:h="16889" w:orient="portrait"/>
          <w:cols w:equalWidth="0" w:num="1">
            <w:col w:w="11240"/>
          </w:cols>
          <w:pgMar w:left="320" w:top="125" w:right="339" w:bottom="0" w:gutter="0" w:footer="0" w:header="0"/>
        </w:sectPr>
      </w:pPr>
    </w:p>
    <w:bookmarkStart w:id="189" w:name="page190"/>
    <w:bookmarkEnd w:id="189"/>
    <w:p>
      <w:pPr>
        <w:spacing w:after="0" w:line="4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b w:val="1"/>
          <w:bCs w:val="1"/>
          <w:u w:val="single" w:color="auto"/>
          <w:color w:val="auto"/>
        </w:rPr>
        <w:t>Board Action By Written Consent Without A Meeting</w:t>
      </w:r>
    </w:p>
    <w:p>
      <w:pPr>
        <w:spacing w:after="0" w:line="239" w:lineRule="exact"/>
        <w:rPr>
          <w:sz w:val="20"/>
          <w:szCs w:val="20"/>
          <w:color w:val="auto"/>
        </w:rPr>
      </w:pPr>
    </w:p>
    <w:p>
      <w:pPr>
        <w:ind w:right="20" w:firstLine="1296"/>
        <w:spacing w:after="0" w:line="235" w:lineRule="auto"/>
        <w:rPr>
          <w:sz w:val="20"/>
          <w:szCs w:val="20"/>
          <w:color w:val="auto"/>
        </w:rPr>
      </w:pPr>
      <w:r>
        <w:rPr>
          <w:rFonts w:ascii="Arial" w:cs="Arial" w:eastAsia="Arial" w:hAnsi="Arial"/>
          <w:sz w:val="22"/>
          <w:szCs w:val="22"/>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p>
      <w:pPr>
        <w:jc w:val="both"/>
        <w:ind w:right="100" w:firstLine="1296"/>
        <w:spacing w:after="0"/>
        <w:rPr>
          <w:sz w:val="20"/>
          <w:szCs w:val="20"/>
          <w:color w:val="auto"/>
        </w:rPr>
      </w:pPr>
      <w:r>
        <w:rPr>
          <w:rFonts w:ascii="Arial" w:cs="Arial" w:eastAsia="Arial" w:hAnsi="Arial"/>
          <w:sz w:val="22"/>
          <w:szCs w:val="22"/>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b w:val="1"/>
          <w:bCs w:val="1"/>
          <w:u w:val="single" w:color="auto"/>
          <w:color w:val="auto"/>
        </w:rPr>
        <w:t>Fees And Compensation Of Directors</w:t>
      </w:r>
    </w:p>
    <w:p>
      <w:pPr>
        <w:spacing w:after="0" w:line="239" w:lineRule="exact"/>
        <w:rPr>
          <w:sz w:val="20"/>
          <w:szCs w:val="20"/>
          <w:color w:val="auto"/>
        </w:rPr>
      </w:pPr>
    </w:p>
    <w:p>
      <w:pPr>
        <w:ind w:right="40" w:firstLine="1296"/>
        <w:spacing w:after="0"/>
        <w:rPr>
          <w:sz w:val="20"/>
          <w:szCs w:val="20"/>
          <w:color w:val="auto"/>
        </w:rPr>
      </w:pPr>
      <w:r>
        <w:rPr>
          <w:rFonts w:ascii="Arial" w:cs="Arial" w:eastAsia="Arial" w:hAnsi="Arial"/>
          <w:sz w:val="22"/>
          <w:szCs w:val="22"/>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b w:val="1"/>
          <w:bCs w:val="1"/>
          <w:u w:val="single" w:color="auto"/>
          <w:color w:val="auto"/>
        </w:rPr>
        <w:t>Approval Of Loans To Officers</w:t>
      </w:r>
    </w:p>
    <w:p>
      <w:pPr>
        <w:spacing w:after="0" w:line="239" w:lineRule="exact"/>
        <w:rPr>
          <w:sz w:val="20"/>
          <w:szCs w:val="20"/>
          <w:color w:val="auto"/>
        </w:rPr>
      </w:pPr>
    </w:p>
    <w:p>
      <w:pPr>
        <w:ind w:right="20" w:firstLine="1296"/>
        <w:spacing w:after="0" w:line="234" w:lineRule="auto"/>
        <w:rPr>
          <w:sz w:val="20"/>
          <w:szCs w:val="20"/>
          <w:color w:val="auto"/>
        </w:rPr>
      </w:pPr>
      <w:r>
        <w:rPr>
          <w:rFonts w:ascii="Arial" w:cs="Arial" w:eastAsia="Arial" w:hAnsi="Arial"/>
          <w:sz w:val="22"/>
          <w:szCs w:val="22"/>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b w:val="1"/>
          <w:bCs w:val="1"/>
          <w:u w:val="single" w:color="auto"/>
          <w:color w:val="auto"/>
        </w:rPr>
        <w:t>Removal Of Directors</w:t>
      </w:r>
    </w:p>
    <w:p>
      <w:pPr>
        <w:spacing w:after="0" w:line="239" w:lineRule="exact"/>
        <w:rPr>
          <w:sz w:val="20"/>
          <w:szCs w:val="20"/>
          <w:color w:val="auto"/>
        </w:rPr>
      </w:pPr>
    </w:p>
    <w:p>
      <w:pPr>
        <w:ind w:right="100" w:firstLine="1296"/>
        <w:spacing w:after="0" w:line="246" w:lineRule="auto"/>
        <w:rPr>
          <w:sz w:val="20"/>
          <w:szCs w:val="20"/>
          <w:color w:val="auto"/>
        </w:rPr>
      </w:pPr>
      <w:r>
        <w:rPr>
          <w:rFonts w:ascii="Arial" w:cs="Arial" w:eastAsia="Arial" w:hAnsi="Arial"/>
          <w:sz w:val="21"/>
          <w:szCs w:val="21"/>
          <w:color w:val="auto"/>
        </w:rPr>
        <w:t>Unless otherwise restricted by statute, by the certificate of incorporation or by these bylaws, any director or the entire Board of Directors may be removed,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provided, however, that if the stockholders of the corporation are entitled to cumulative voting, if less than the entire Board of Directors is to be removed, no director may be removed without cause if the votes cast against his removal would be sufficient to elect him if then cumulatively voted at an election of the entire Board of Directors.</w:t>
      </w:r>
    </w:p>
    <w:p>
      <w:pPr>
        <w:spacing w:after="0" w:line="211" w:lineRule="exact"/>
        <w:rPr>
          <w:sz w:val="20"/>
          <w:szCs w:val="20"/>
          <w:color w:val="auto"/>
        </w:rPr>
      </w:pPr>
    </w:p>
    <w:p>
      <w:pPr>
        <w:ind w:right="520" w:firstLine="1296"/>
        <w:spacing w:after="0" w:line="250" w:lineRule="auto"/>
        <w:rPr>
          <w:sz w:val="20"/>
          <w:szCs w:val="20"/>
          <w:color w:val="auto"/>
        </w:rPr>
      </w:pPr>
      <w:r>
        <w:rPr>
          <w:rFonts w:ascii="Arial" w:cs="Arial" w:eastAsia="Arial" w:hAnsi="Arial"/>
          <w:sz w:val="22"/>
          <w:szCs w:val="22"/>
          <w:color w:val="auto"/>
        </w:rPr>
        <w:t>No reduction of the authorized number of directors shall have the effect of removing any director prior to the expiration of such director’s term of office.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b w:val="1"/>
          <w:bCs w:val="1"/>
          <w:u w:val="single" w:color="auto"/>
          <w:color w:val="auto"/>
        </w:rPr>
        <w:t>Chairperson Of The Board Of Directors</w:t>
      </w:r>
    </w:p>
    <w:p>
      <w:pPr>
        <w:spacing w:after="0" w:line="239"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The corporation may also have, at the discretion of the Board of Directors, a chairperson of the Board of Directors who shall not be considered an officer of the corporation.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COMMITTEES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Committees Of Directors</w:t>
      </w:r>
    </w:p>
    <w:p>
      <w:pPr>
        <w:spacing w:after="0" w:line="239"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w:t>
      </w:r>
    </w:p>
    <w:p>
      <w:pPr>
        <w:sectPr>
          <w:pgSz w:w="11900" w:h="16882" w:orient="portrait"/>
          <w:cols w:equalWidth="0" w:num="1">
            <w:col w:w="11240"/>
          </w:cols>
          <w:pgMar w:left="320" w:top="118" w:right="339" w:bottom="0" w:gutter="0" w:footer="0" w:header="0"/>
        </w:sectPr>
      </w:pPr>
    </w:p>
    <w:bookmarkStart w:id="190" w:name="page191"/>
    <w:bookmarkEnd w:id="190"/>
    <w:p>
      <w:pPr>
        <w:ind w:right="180"/>
        <w:spacing w:after="0" w:line="235" w:lineRule="auto"/>
        <w:rPr>
          <w:sz w:val="20"/>
          <w:szCs w:val="20"/>
          <w:color w:val="auto"/>
        </w:rPr>
      </w:pPr>
      <w:r>
        <w:rPr>
          <w:rFonts w:ascii="Arial" w:cs="Arial" w:eastAsia="Arial" w:hAnsi="Arial"/>
          <w:sz w:val="22"/>
          <w:szCs w:val="22"/>
          <w:color w:val="auto"/>
        </w:rPr>
        <w:t>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General Corporate Law of Delaware to be submitted to stockholders for approval or (ii) adopting, amending or repealing any bylaw of the corporation.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u w:val="single" w:color="auto"/>
          <w:color w:val="auto"/>
        </w:rPr>
        <w:t>Committee Minutes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Each committee shall keep regular minutes of its meetings and report the same to the Board of Directors when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required.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u w:val="single" w:color="auto"/>
          <w:color w:val="auto"/>
        </w:rPr>
        <w:t>Meetings And Action Of Committees</w:t>
      </w:r>
    </w:p>
    <w:p>
      <w:pPr>
        <w:spacing w:after="0" w:line="239" w:lineRule="exact"/>
        <w:rPr>
          <w:sz w:val="20"/>
          <w:szCs w:val="20"/>
          <w:color w:val="auto"/>
        </w:rPr>
      </w:pPr>
    </w:p>
    <w:p>
      <w:pPr>
        <w:ind w:firstLine="1296"/>
        <w:spacing w:after="0" w:line="274" w:lineRule="auto"/>
        <w:rPr>
          <w:sz w:val="20"/>
          <w:szCs w:val="20"/>
          <w:color w:val="auto"/>
        </w:rPr>
      </w:pPr>
      <w:r>
        <w:rPr>
          <w:rFonts w:ascii="Arial" w:cs="Arial" w:eastAsia="Arial" w:hAnsi="Arial"/>
          <w:sz w:val="19"/>
          <w:szCs w:val="19"/>
          <w:color w:val="auto"/>
        </w:rPr>
        <w:t>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OFFICERS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u w:val="single" w:color="auto"/>
          <w:color w:val="auto"/>
        </w:rPr>
        <w:t>Officers</w:t>
      </w:r>
    </w:p>
    <w:p>
      <w:pPr>
        <w:spacing w:after="0" w:line="239" w:lineRule="exact"/>
        <w:rPr>
          <w:sz w:val="20"/>
          <w:szCs w:val="20"/>
          <w:color w:val="auto"/>
        </w:rPr>
      </w:pPr>
    </w:p>
    <w:p>
      <w:pPr>
        <w:ind w:right="100" w:firstLine="1296"/>
        <w:spacing w:after="0" w:line="287" w:lineRule="auto"/>
        <w:rPr>
          <w:sz w:val="20"/>
          <w:szCs w:val="20"/>
          <w:color w:val="auto"/>
        </w:rPr>
      </w:pPr>
      <w:r>
        <w:rPr>
          <w:rFonts w:ascii="Arial" w:cs="Arial" w:eastAsia="Arial" w:hAnsi="Arial"/>
          <w:sz w:val="19"/>
          <w:szCs w:val="19"/>
          <w:color w:val="auto"/>
        </w:rPr>
        <w:t>The officers of the corporation shall be a president and a secretary. The corporation may also have, at the discretion of the Board of Directors, a chief executive officer, a chief financial officer, a treasurer, one or more vice presidents, one or more assistant secretaries, one or more assistant treasurers, and any such other officers as may be appointed in accordance with the provisions of Section 5.3 of these bylaws. Any number of offices may be held by the same person.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u w:val="single" w:color="auto"/>
          <w:color w:val="auto"/>
        </w:rPr>
        <w:t>Appointment Of Officers</w:t>
      </w:r>
    </w:p>
    <w:p>
      <w:pPr>
        <w:spacing w:after="0" w:line="239" w:lineRule="exact"/>
        <w:rPr>
          <w:sz w:val="20"/>
          <w:szCs w:val="20"/>
          <w:color w:val="auto"/>
        </w:rPr>
      </w:pPr>
    </w:p>
    <w:p>
      <w:pPr>
        <w:ind w:right="120" w:firstLine="1296"/>
        <w:spacing w:after="0"/>
        <w:rPr>
          <w:sz w:val="20"/>
          <w:szCs w:val="20"/>
          <w:color w:val="auto"/>
        </w:rPr>
      </w:pPr>
      <w:r>
        <w:rPr>
          <w:rFonts w:ascii="Arial" w:cs="Arial" w:eastAsia="Arial" w:hAnsi="Arial"/>
          <w:sz w:val="22"/>
          <w:szCs w:val="22"/>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u w:val="single" w:color="auto"/>
          <w:color w:val="auto"/>
        </w:rPr>
        <w:t>Subordinate Officers</w:t>
      </w:r>
    </w:p>
    <w:p>
      <w:pPr>
        <w:spacing w:after="0" w:line="239" w:lineRule="exact"/>
        <w:rPr>
          <w:sz w:val="20"/>
          <w:szCs w:val="20"/>
          <w:color w:val="auto"/>
        </w:rPr>
      </w:pPr>
    </w:p>
    <w:p>
      <w:pPr>
        <w:ind w:right="20" w:firstLine="1296"/>
        <w:spacing w:after="0" w:line="297" w:lineRule="auto"/>
        <w:rPr>
          <w:sz w:val="20"/>
          <w:szCs w:val="20"/>
          <w:color w:val="auto"/>
        </w:rPr>
      </w:pPr>
      <w:r>
        <w:rPr>
          <w:rFonts w:ascii="Arial" w:cs="Arial" w:eastAsia="Arial" w:hAnsi="Arial"/>
          <w:sz w:val="19"/>
          <w:szCs w:val="19"/>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u w:val="single" w:color="auto"/>
          <w:color w:val="auto"/>
        </w:rPr>
        <w:t>Removal And Resignation Of Officers</w:t>
      </w:r>
    </w:p>
    <w:p>
      <w:pPr>
        <w:spacing w:after="0" w:line="239"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Subject to the rights (if any) of an officer under any contract of employment, any officer may be removed, either with or without cause, by an action of the Board of Directors at any regular or special meeting of the Board of Directors or, except in the case of an officer chosen by the Board of Directors, by any officer upon whom the power of removal is conferred by the Board of Directors.</w:t>
      </w:r>
    </w:p>
    <w:p>
      <w:pPr>
        <w:spacing w:after="0" w:line="21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b w:val="1"/>
          <w:bCs w:val="1"/>
          <w:u w:val="single" w:color="auto"/>
          <w:color w:val="auto"/>
        </w:rPr>
        <w:t>Vacancies In Offices</w:t>
      </w:r>
    </w:p>
    <w:p>
      <w:pPr>
        <w:spacing w:after="0" w:line="239"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Any vacancy occurring in any office of the corporation shall be filled by the Board of Directors.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u w:val="single" w:color="auto"/>
          <w:color w:val="auto"/>
        </w:rPr>
        <w:t>Chief Executive Officer</w:t>
      </w:r>
    </w:p>
    <w:p>
      <w:pPr>
        <w:sectPr>
          <w:pgSz w:w="11900" w:h="16838" w:orient="portrait"/>
          <w:cols w:equalWidth="0" w:num="1">
            <w:col w:w="11240"/>
          </w:cols>
          <w:pgMar w:left="320" w:top="118" w:right="339" w:bottom="0" w:gutter="0" w:footer="0" w:header="0"/>
          <w:type w:val="continuous"/>
        </w:sectPr>
      </w:pPr>
    </w:p>
    <w:bookmarkStart w:id="191" w:name="page192"/>
    <w:bookmarkEnd w:id="191"/>
    <w:p>
      <w:pPr>
        <w:ind w:right="80" w:firstLine="1296"/>
        <w:spacing w:after="0" w:line="282" w:lineRule="auto"/>
        <w:rPr>
          <w:sz w:val="20"/>
          <w:szCs w:val="20"/>
          <w:color w:val="auto"/>
        </w:rPr>
      </w:pPr>
      <w:r>
        <w:rPr>
          <w:rFonts w:ascii="Arial" w:cs="Arial" w:eastAsia="Arial" w:hAnsi="Arial"/>
          <w:sz w:val="19"/>
          <w:szCs w:val="19"/>
          <w:color w:val="auto"/>
        </w:rPr>
        <w:t>Subject to such supervisory powers (if any) as may be given by the Board of Directors to the chairperson of the Board of Directors (if any), the chief executive officer of the corporation (if such an officer is appointed) shall, subject to the control of the Board of Directors, have general supervision, direction, and control of the business and the officers of the corporation and shall have the general powers and duties of management usually vested in the office of chief executive officer of a corporation and shall have such other powers and duties as may be prescribed by the Board of Directors or these bylaws.</w:t>
      </w:r>
    </w:p>
    <w:p>
      <w:pPr>
        <w:spacing w:after="0" w:line="174" w:lineRule="exact"/>
        <w:rPr>
          <w:sz w:val="20"/>
          <w:szCs w:val="20"/>
          <w:color w:val="auto"/>
        </w:rPr>
      </w:pPr>
    </w:p>
    <w:p>
      <w:pPr>
        <w:ind w:right="400" w:firstLine="1296"/>
        <w:spacing w:after="0" w:line="250" w:lineRule="auto"/>
        <w:rPr>
          <w:sz w:val="20"/>
          <w:szCs w:val="20"/>
          <w:color w:val="auto"/>
        </w:rPr>
      </w:pPr>
      <w:r>
        <w:rPr>
          <w:rFonts w:ascii="Arial" w:cs="Arial" w:eastAsia="Arial" w:hAnsi="Arial"/>
          <w:sz w:val="22"/>
          <w:szCs w:val="22"/>
          <w:color w:val="auto"/>
        </w:rPr>
        <w:t>The person serving as chief executive officer shall also be the acting president of the corporation whenever no other person is then serving in such capacity.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u w:val="single" w:color="auto"/>
          <w:color w:val="auto"/>
        </w:rPr>
        <w:t>President</w:t>
      </w:r>
    </w:p>
    <w:p>
      <w:pPr>
        <w:spacing w:after="0" w:line="239"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Subject to such supervisory powers (if any) as may be given by the Board of Directors to the chairperson of the Board of Directors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214" w:lineRule="exact"/>
        <w:rPr>
          <w:sz w:val="20"/>
          <w:szCs w:val="20"/>
          <w:color w:val="auto"/>
        </w:rPr>
      </w:pPr>
    </w:p>
    <w:p>
      <w:pPr>
        <w:ind w:right="700" w:firstLine="1296"/>
        <w:spacing w:after="0" w:line="250" w:lineRule="auto"/>
        <w:rPr>
          <w:sz w:val="20"/>
          <w:szCs w:val="20"/>
          <w:color w:val="auto"/>
        </w:rPr>
      </w:pPr>
      <w:r>
        <w:rPr>
          <w:rFonts w:ascii="Arial" w:cs="Arial" w:eastAsia="Arial" w:hAnsi="Arial"/>
          <w:sz w:val="22"/>
          <w:szCs w:val="22"/>
          <w:color w:val="auto"/>
        </w:rPr>
        <w:t>The person serving as president shall also be the acting chief executive officer, secretary or treasurer of the corporation, as applicable, whenever no other person is then serving in such capacity.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b w:val="1"/>
          <w:bCs w:val="1"/>
          <w:u w:val="single" w:color="auto"/>
          <w:color w:val="auto"/>
        </w:rPr>
        <w:t>Vice Presidents</w:t>
      </w:r>
    </w:p>
    <w:p>
      <w:pPr>
        <w:spacing w:after="0" w:line="239"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chairperson of the Board of Directors.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b w:val="1"/>
          <w:bCs w:val="1"/>
          <w:u w:val="single" w:color="auto"/>
          <w:color w:val="auto"/>
        </w:rPr>
        <w:t>Secretary</w:t>
      </w:r>
    </w:p>
    <w:p>
      <w:pPr>
        <w:spacing w:after="0" w:line="239"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70" w:lineRule="exact"/>
        <w:rPr>
          <w:sz w:val="20"/>
          <w:szCs w:val="20"/>
          <w:color w:val="auto"/>
        </w:rPr>
      </w:pPr>
    </w:p>
    <w:p>
      <w:pPr>
        <w:ind w:right="100" w:firstLine="1296"/>
        <w:spacing w:after="0" w:line="236" w:lineRule="auto"/>
        <w:rPr>
          <w:sz w:val="20"/>
          <w:szCs w:val="20"/>
          <w:color w:val="auto"/>
        </w:rPr>
      </w:pPr>
      <w:r>
        <w:rPr>
          <w:rFonts w:ascii="Arial" w:cs="Arial" w:eastAsia="Arial" w:hAnsi="Arial"/>
          <w:sz w:val="22"/>
          <w:szCs w:val="22"/>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(if any) evidencing such shares, and the number and date of cancellation of every certificate (if any) surrendered for cancellation.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p>
      <w:pPr>
        <w:ind w:right="200" w:firstLine="1296"/>
        <w:spacing w:after="0"/>
        <w:rPr>
          <w:sz w:val="20"/>
          <w:szCs w:val="20"/>
          <w:color w:val="auto"/>
        </w:rPr>
      </w:pPr>
      <w:r>
        <w:rPr>
          <w:rFonts w:ascii="Arial" w:cs="Arial" w:eastAsia="Arial" w:hAnsi="Arial"/>
          <w:sz w:val="22"/>
          <w:szCs w:val="22"/>
          <w:color w:val="auto"/>
        </w:rPr>
        <w:t>The secretary shall give, or cause to be given, notice of all meetings of the stockholders and of the Board of Directors required to be given by law or by these bylaws. He or she shall have such other powers and perform such other duties as may be prescribed by the Board of Directors or by these bylaws.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b w:val="1"/>
          <w:bCs w:val="1"/>
          <w:u w:val="single" w:color="auto"/>
          <w:color w:val="auto"/>
        </w:rPr>
        <w:t>Chief Financial Officer</w:t>
      </w:r>
    </w:p>
    <w:p>
      <w:pPr>
        <w:spacing w:after="0" w:line="239" w:lineRule="exact"/>
        <w:rPr>
          <w:sz w:val="20"/>
          <w:szCs w:val="20"/>
          <w:color w:val="auto"/>
        </w:rPr>
      </w:pPr>
    </w:p>
    <w:p>
      <w:pPr>
        <w:ind w:right="60" w:firstLine="1296"/>
        <w:spacing w:after="0" w:line="287" w:lineRule="auto"/>
        <w:rPr>
          <w:sz w:val="20"/>
          <w:szCs w:val="20"/>
          <w:color w:val="auto"/>
        </w:rPr>
      </w:pPr>
      <w:r>
        <w:rPr>
          <w:rFonts w:ascii="Arial" w:cs="Arial" w:eastAsia="Arial" w:hAnsi="Arial"/>
          <w:sz w:val="19"/>
          <w:szCs w:val="19"/>
          <w:color w:val="auto"/>
        </w:rPr>
        <w:t>The chief financial officer (if such an officer is appointed)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member of the Board of Directors.</w:t>
      </w:r>
    </w:p>
    <w:p>
      <w:pPr>
        <w:spacing w:after="0" w:line="170" w:lineRule="exact"/>
        <w:rPr>
          <w:sz w:val="20"/>
          <w:szCs w:val="20"/>
          <w:color w:val="auto"/>
        </w:rPr>
      </w:pPr>
    </w:p>
    <w:p>
      <w:pPr>
        <w:jc w:val="both"/>
        <w:ind w:right="40" w:firstLine="1296"/>
        <w:spacing w:after="0" w:line="287" w:lineRule="auto"/>
        <w:rPr>
          <w:sz w:val="20"/>
          <w:szCs w:val="20"/>
          <w:color w:val="auto"/>
        </w:rPr>
      </w:pPr>
      <w:r>
        <w:rPr>
          <w:rFonts w:ascii="Arial" w:cs="Arial" w:eastAsia="Arial" w:hAnsi="Arial"/>
          <w:sz w:val="19"/>
          <w:szCs w:val="19"/>
          <w:color w:val="auto"/>
        </w:rPr>
        <w:t>The chief financial officer shall render to the chief executive officer, the president, or the Board of Directors, upon request, an account of all his or her transactions as chief financial officer and of the financial condition of the corporation. He or she shall have the general powers and duties usually vested in the office of chief financial officer of a corporation and shall have such other powers and perform such other duties as may be prescribed by the Board of Directors or these bylaws.</w:t>
      </w:r>
    </w:p>
    <w:p>
      <w:pPr>
        <w:spacing w:after="0" w:line="170" w:lineRule="exact"/>
        <w:rPr>
          <w:sz w:val="20"/>
          <w:szCs w:val="20"/>
          <w:color w:val="auto"/>
        </w:rPr>
      </w:pPr>
    </w:p>
    <w:p>
      <w:pPr>
        <w:ind w:right="200" w:firstLine="1296"/>
        <w:spacing w:after="0" w:line="287" w:lineRule="auto"/>
        <w:rPr>
          <w:sz w:val="20"/>
          <w:szCs w:val="20"/>
          <w:color w:val="auto"/>
        </w:rPr>
      </w:pPr>
      <w:r>
        <w:rPr>
          <w:rFonts w:ascii="Arial" w:cs="Arial" w:eastAsia="Arial" w:hAnsi="Arial"/>
          <w:sz w:val="19"/>
          <w:szCs w:val="19"/>
          <w:color w:val="auto"/>
        </w:rPr>
        <w:t>The person serving as the chief financial officer shall also be the acting treasurer of the corporation whenever no other person is then serving in such capacity. Subject to such supervisory powers (if any) as may be given by the Board of Directors to another officer of the corporation, the chief financial officer shall supervise and direct the responsibilities of the treasurer whenever someone other than the chief financial officer is serving as treasurer of the corporation.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b w:val="1"/>
          <w:bCs w:val="1"/>
          <w:u w:val="single" w:color="auto"/>
          <w:color w:val="auto"/>
        </w:rPr>
        <w:t>Treasurer</w:t>
      </w:r>
    </w:p>
    <w:p>
      <w:pPr>
        <w:sectPr>
          <w:pgSz w:w="11900" w:h="16838" w:orient="portrait"/>
          <w:cols w:equalWidth="0" w:num="1">
            <w:col w:w="11220"/>
          </w:cols>
          <w:pgMar w:left="320" w:top="361" w:right="359" w:bottom="127" w:gutter="0" w:footer="0" w:header="0"/>
        </w:sectPr>
      </w:pPr>
    </w:p>
    <w:bookmarkStart w:id="192" w:name="page193"/>
    <w:bookmarkEnd w:id="192"/>
    <w:p>
      <w:pPr>
        <w:spacing w:after="0" w:line="50" w:lineRule="exact"/>
        <w:rPr>
          <w:sz w:val="20"/>
          <w:szCs w:val="20"/>
          <w:color w:val="auto"/>
        </w:rPr>
      </w:pPr>
    </w:p>
    <w:p>
      <w:pPr>
        <w:ind w:right="80" w:firstLine="1296"/>
        <w:spacing w:after="0" w:line="238" w:lineRule="auto"/>
        <w:rPr>
          <w:sz w:val="20"/>
          <w:szCs w:val="20"/>
          <w:color w:val="auto"/>
        </w:rPr>
      </w:pPr>
      <w:r>
        <w:rPr>
          <w:rFonts w:ascii="Arial" w:cs="Arial" w:eastAsia="Arial" w:hAnsi="Arial"/>
          <w:sz w:val="22"/>
          <w:szCs w:val="22"/>
          <w:color w:val="auto"/>
        </w:rPr>
        <w:t>The treasurer (if such an officer is appointed) shall keep and maintain, or cause to be kept and maintained, adequate and correct books and records with respect to all bank accounts, deposit accounts, cash management accounts and other investment accounts of the corporation. The books of account shall at all reasonable times be open to inspection by any member of the Board of Directors.</w:t>
      </w:r>
    </w:p>
    <w:p>
      <w:pPr>
        <w:spacing w:after="0" w:line="212"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The treasurer shall deposit, or cause to be deposited, all moneys and other valuables in the name and to the credit of the corporation with such depositories as may be designated by the Board of Directors. He or she shall disburse the funds of the corporation as may be ordered by the Board of Directors and shall render to the chief financial officer, the chief executive officer, the president or the Board of Directors, upon request, an account of all his or her transactions as treasurer. He or she shall have the general powers and duties usually vested in the office of treasurer of a corporation and shall have such other powers and perform such other duties as may be prescribed by the Board of Directors or these bylaws.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p>
      <w:pPr>
        <w:ind w:right="220" w:firstLine="1296"/>
        <w:spacing w:after="0" w:line="250" w:lineRule="auto"/>
        <w:rPr>
          <w:sz w:val="20"/>
          <w:szCs w:val="20"/>
          <w:color w:val="auto"/>
        </w:rPr>
      </w:pPr>
      <w:r>
        <w:rPr>
          <w:rFonts w:ascii="Arial" w:cs="Arial" w:eastAsia="Arial" w:hAnsi="Arial"/>
          <w:sz w:val="22"/>
          <w:szCs w:val="22"/>
          <w:color w:val="auto"/>
        </w:rPr>
        <w:t>The person serving as the treasurer shall also be the acting chief financial officer of the corporation whenever no other person is then serving in such capacity.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b w:val="1"/>
          <w:bCs w:val="1"/>
          <w:u w:val="single" w:color="auto"/>
          <w:color w:val="auto"/>
        </w:rPr>
        <w:t>Representation Of Shares Of Other Corporations</w:t>
      </w:r>
    </w:p>
    <w:p>
      <w:pPr>
        <w:spacing w:after="0" w:line="239" w:lineRule="exact"/>
        <w:rPr>
          <w:sz w:val="20"/>
          <w:szCs w:val="20"/>
          <w:color w:val="auto"/>
        </w:rPr>
      </w:pPr>
    </w:p>
    <w:p>
      <w:pPr>
        <w:ind w:right="40" w:firstLine="1296"/>
        <w:spacing w:after="0" w:line="279" w:lineRule="auto"/>
        <w:rPr>
          <w:sz w:val="20"/>
          <w:szCs w:val="20"/>
          <w:color w:val="auto"/>
        </w:rPr>
      </w:pPr>
      <w:r>
        <w:rPr>
          <w:rFonts w:ascii="Arial" w:cs="Arial" w:eastAsia="Arial" w:hAnsi="Arial"/>
          <w:sz w:val="19"/>
          <w:szCs w:val="19"/>
          <w:color w:val="auto"/>
        </w:rPr>
        <w:t>The chairperson of the Board of Directors,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5.13 </w:t>
      </w:r>
      <w:r>
        <w:rPr>
          <w:rFonts w:ascii="Arial" w:cs="Arial" w:eastAsia="Arial" w:hAnsi="Arial"/>
          <w:sz w:val="22"/>
          <w:szCs w:val="22"/>
          <w:b w:val="1"/>
          <w:bCs w:val="1"/>
          <w:u w:val="single" w:color="auto"/>
          <w:color w:val="auto"/>
        </w:rPr>
        <w:t>Authority And Duties Of Officers</w:t>
      </w:r>
    </w:p>
    <w:p>
      <w:pPr>
        <w:spacing w:after="0" w:line="239" w:lineRule="exact"/>
        <w:rPr>
          <w:sz w:val="20"/>
          <w:szCs w:val="20"/>
          <w:color w:val="auto"/>
        </w:rPr>
      </w:pPr>
    </w:p>
    <w:p>
      <w:pPr>
        <w:ind w:right="220" w:firstLine="1296"/>
        <w:spacing w:after="0"/>
        <w:rPr>
          <w:sz w:val="20"/>
          <w:szCs w:val="20"/>
          <w:color w:val="auto"/>
        </w:rPr>
      </w:pPr>
      <w:r>
        <w:rPr>
          <w:rFonts w:ascii="Arial" w:cs="Arial" w:eastAsia="Arial" w:hAnsi="Arial"/>
          <w:sz w:val="22"/>
          <w:szCs w:val="22"/>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w:t>
      </w:r>
    </w:p>
    <w:p>
      <w:pPr>
        <w:spacing w:after="0" w:line="207"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22"/>
          <w:szCs w:val="22"/>
          <w:b w:val="1"/>
          <w:bCs w:val="1"/>
          <w:u w:val="single" w:color="auto"/>
          <w:color w:val="auto"/>
        </w:rPr>
        <w:t>INDEMNIFICATION OF DIRECTORS, OFFICERS, EMPLOYEES, AND OTHER AGENTS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u w:val="single" w:color="auto"/>
          <w:color w:val="auto"/>
        </w:rPr>
        <w:t>Indemnification Of Directors And Officers</w:t>
      </w:r>
    </w:p>
    <w:p>
      <w:pPr>
        <w:spacing w:after="0" w:line="239" w:lineRule="exact"/>
        <w:rPr>
          <w:sz w:val="20"/>
          <w:szCs w:val="20"/>
          <w:color w:val="auto"/>
        </w:rPr>
      </w:pPr>
    </w:p>
    <w:p>
      <w:pPr>
        <w:ind w:right="120" w:firstLine="1296"/>
        <w:spacing w:after="0" w:line="246" w:lineRule="auto"/>
        <w:rPr>
          <w:sz w:val="20"/>
          <w:szCs w:val="20"/>
          <w:color w:val="auto"/>
        </w:rPr>
      </w:pPr>
      <w:r>
        <w:rPr>
          <w:rFonts w:ascii="Arial" w:cs="Arial" w:eastAsia="Arial" w:hAnsi="Arial"/>
          <w:sz w:val="21"/>
          <w:szCs w:val="21"/>
          <w:color w:val="auto"/>
        </w:rPr>
        <w:t>The corporation shall, to the maximum extent and in the manner permitted by the Delaware General Corporation Law,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u w:val="single" w:color="auto"/>
          <w:color w:val="auto"/>
        </w:rPr>
        <w:t>Indemnification Of Others</w:t>
      </w:r>
    </w:p>
    <w:p>
      <w:pPr>
        <w:spacing w:after="0" w:line="239" w:lineRule="exact"/>
        <w:rPr>
          <w:sz w:val="20"/>
          <w:szCs w:val="20"/>
          <w:color w:val="auto"/>
        </w:rPr>
      </w:pPr>
    </w:p>
    <w:p>
      <w:pPr>
        <w:ind w:right="160" w:firstLine="1296"/>
        <w:spacing w:after="0" w:line="287" w:lineRule="auto"/>
        <w:rPr>
          <w:sz w:val="20"/>
          <w:szCs w:val="20"/>
          <w:color w:val="auto"/>
        </w:rPr>
      </w:pPr>
      <w:r>
        <w:rPr>
          <w:rFonts w:ascii="Arial" w:cs="Arial" w:eastAsia="Arial" w:hAnsi="Arial"/>
          <w:sz w:val="19"/>
          <w:szCs w:val="19"/>
          <w:color w:val="auto"/>
        </w:rPr>
        <w:t>The corporation shall have the power, to the maximum extent and in the manner permitted by the Delaware General Corporation Law,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p>
      <w:pPr>
        <w:ind w:right="40" w:firstLine="1296"/>
        <w:spacing w:after="0" w:line="236" w:lineRule="auto"/>
        <w:rPr>
          <w:sz w:val="20"/>
          <w:szCs w:val="20"/>
          <w:color w:val="auto"/>
        </w:rPr>
      </w:pPr>
      <w:r>
        <w:rPr>
          <w:rFonts w:ascii="Arial" w:cs="Arial" w:eastAsia="Arial" w:hAnsi="Arial"/>
          <w:sz w:val="22"/>
          <w:szCs w:val="22"/>
          <w:color w:val="auto"/>
        </w:rPr>
        <w:t>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u w:val="single" w:color="auto"/>
          <w:color w:val="auto"/>
        </w:rPr>
        <w:t>Payment Of Expenses In Advance</w:t>
      </w:r>
    </w:p>
    <w:p>
      <w:pPr>
        <w:spacing w:after="0" w:line="239"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w:t>
      </w:r>
    </w:p>
    <w:p>
      <w:pPr>
        <w:sectPr>
          <w:pgSz w:w="11900" w:h="16889" w:orient="portrait"/>
          <w:cols w:equalWidth="0" w:num="1">
            <w:col w:w="11240"/>
          </w:cols>
          <w:pgMar w:left="320" w:top="118" w:right="339" w:bottom="0" w:gutter="0" w:footer="0" w:header="0"/>
        </w:sectPr>
      </w:pPr>
    </w:p>
    <w:bookmarkStart w:id="193" w:name="page194"/>
    <w:bookmarkEnd w:id="193"/>
    <w:p>
      <w:pPr>
        <w:ind w:right="240"/>
        <w:spacing w:after="0" w:line="251" w:lineRule="auto"/>
        <w:rPr>
          <w:sz w:val="20"/>
          <w:szCs w:val="20"/>
          <w:color w:val="auto"/>
        </w:rPr>
      </w:pPr>
      <w:r>
        <w:rPr>
          <w:rFonts w:ascii="Arial" w:cs="Arial" w:eastAsia="Arial" w:hAnsi="Arial"/>
          <w:sz w:val="22"/>
          <w:szCs w:val="22"/>
          <w:color w:val="auto"/>
        </w:rPr>
        <w:t>which there is no further right to appeal that the indemnified party is not entitled to be indemnified as authorized in this Article VI.</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u w:val="single" w:color="auto"/>
          <w:color w:val="auto"/>
        </w:rPr>
        <w:t>Indemnity Not Exclusive</w:t>
      </w:r>
    </w:p>
    <w:p>
      <w:pPr>
        <w:spacing w:after="0" w:line="239" w:lineRule="exact"/>
        <w:rPr>
          <w:sz w:val="20"/>
          <w:szCs w:val="20"/>
          <w:color w:val="auto"/>
        </w:rPr>
      </w:pPr>
    </w:p>
    <w:p>
      <w:pPr>
        <w:ind w:firstLine="1296"/>
        <w:spacing w:after="0" w:line="252" w:lineRule="auto"/>
        <w:rPr>
          <w:sz w:val="20"/>
          <w:szCs w:val="20"/>
          <w:color w:val="auto"/>
        </w:rPr>
      </w:pPr>
      <w:r>
        <w:rPr>
          <w:rFonts w:ascii="Arial" w:cs="Arial" w:eastAsia="Arial" w:hAnsi="Arial"/>
          <w:sz w:val="21"/>
          <w:szCs w:val="21"/>
          <w:color w:val="auto"/>
        </w:rPr>
        <w:t>The indemnification provided by this Article VI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u w:val="single" w:color="auto"/>
          <w:color w:val="auto"/>
        </w:rPr>
        <w:t>Insurance</w:t>
      </w:r>
    </w:p>
    <w:p>
      <w:pPr>
        <w:spacing w:after="0" w:line="239" w:lineRule="exact"/>
        <w:rPr>
          <w:sz w:val="20"/>
          <w:szCs w:val="20"/>
          <w:color w:val="auto"/>
        </w:rPr>
      </w:pPr>
    </w:p>
    <w:p>
      <w:pPr>
        <w:ind w:right="180" w:firstLine="1296"/>
        <w:spacing w:after="0" w:line="282" w:lineRule="auto"/>
        <w:rPr>
          <w:sz w:val="20"/>
          <w:szCs w:val="20"/>
          <w:color w:val="auto"/>
        </w:rPr>
      </w:pPr>
      <w:r>
        <w:rPr>
          <w:rFonts w:ascii="Arial" w:cs="Arial" w:eastAsia="Arial" w:hAnsi="Arial"/>
          <w:sz w:val="19"/>
          <w:szCs w:val="19"/>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Delaware General Corporation Law.</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b w:val="1"/>
          <w:bCs w:val="1"/>
          <w:u w:val="single" w:color="auto"/>
          <w:color w:val="auto"/>
        </w:rPr>
        <w:t>Conflicts</w:t>
      </w:r>
    </w:p>
    <w:p>
      <w:pPr>
        <w:spacing w:after="0" w:line="239" w:lineRule="exact"/>
        <w:rPr>
          <w:sz w:val="20"/>
          <w:szCs w:val="20"/>
          <w:color w:val="auto"/>
        </w:rPr>
      </w:pPr>
    </w:p>
    <w:p>
      <w:pPr>
        <w:jc w:val="both"/>
        <w:ind w:right="20" w:firstLine="1296"/>
        <w:spacing w:after="0" w:line="328" w:lineRule="auto"/>
        <w:rPr>
          <w:sz w:val="20"/>
          <w:szCs w:val="20"/>
          <w:color w:val="auto"/>
        </w:rPr>
      </w:pPr>
      <w:r>
        <w:rPr>
          <w:rFonts w:ascii="Arial" w:cs="Arial" w:eastAsia="Arial" w:hAnsi="Arial"/>
          <w:sz w:val="19"/>
          <w:szCs w:val="19"/>
          <w:color w:val="auto"/>
        </w:rPr>
        <w:t>No indemnification or advance shall be made under this Article VI, except where such indemnification or advance is mandated by law or the order, judgment or decree of any court of competent jurisdiction, in any circumstance where it appears:</w:t>
      </w:r>
    </w:p>
    <w:p>
      <w:pPr>
        <w:spacing w:after="0" w:line="132" w:lineRule="exact"/>
        <w:rPr>
          <w:sz w:val="20"/>
          <w:szCs w:val="20"/>
          <w:color w:val="auto"/>
        </w:rPr>
      </w:pPr>
    </w:p>
    <w:p>
      <w:pPr>
        <w:jc w:val="both"/>
        <w:ind w:right="160" w:firstLine="1304"/>
        <w:spacing w:after="0" w:line="297" w:lineRule="auto"/>
        <w:tabs>
          <w:tab w:leader="none" w:pos="159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w:t>
      </w:r>
    </w:p>
    <w:p>
      <w:pPr>
        <w:spacing w:after="0" w:line="160" w:lineRule="exact"/>
        <w:rPr>
          <w:rFonts w:ascii="Arial" w:cs="Arial" w:eastAsia="Arial" w:hAnsi="Arial"/>
          <w:sz w:val="19"/>
          <w:szCs w:val="19"/>
          <w:color w:val="auto"/>
        </w:rPr>
      </w:pPr>
    </w:p>
    <w:p>
      <w:pPr>
        <w:ind w:left="1600" w:hanging="296"/>
        <w:spacing w:after="0"/>
        <w:tabs>
          <w:tab w:leader="none" w:pos="160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That it would be inconsistent with any condition expressly imposed by a court in approving a settlement.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ind w:left="4300"/>
        <w:spacing w:after="0"/>
        <w:rPr>
          <w:sz w:val="20"/>
          <w:szCs w:val="20"/>
          <w:color w:val="auto"/>
        </w:rPr>
      </w:pPr>
      <w:r>
        <w:rPr>
          <w:rFonts w:ascii="Arial" w:cs="Arial" w:eastAsia="Arial" w:hAnsi="Arial"/>
          <w:sz w:val="22"/>
          <w:szCs w:val="22"/>
          <w:b w:val="1"/>
          <w:bCs w:val="1"/>
          <w:u w:val="single" w:color="auto"/>
          <w:color w:val="auto"/>
        </w:rPr>
        <w:t>RECORDS AND REPORTS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u w:val="single" w:color="auto"/>
          <w:color w:val="auto"/>
        </w:rPr>
        <w:t>Maintenance And Inspection Of Records</w:t>
      </w:r>
    </w:p>
    <w:p>
      <w:pPr>
        <w:spacing w:after="0" w:line="239" w:lineRule="exact"/>
        <w:rPr>
          <w:sz w:val="20"/>
          <w:szCs w:val="20"/>
          <w:color w:val="auto"/>
        </w:rPr>
      </w:pPr>
    </w:p>
    <w:p>
      <w:pPr>
        <w:jc w:val="both"/>
        <w:ind w:right="40" w:firstLine="1296"/>
        <w:spacing w:after="0" w:line="257" w:lineRule="auto"/>
        <w:rPr>
          <w:sz w:val="20"/>
          <w:szCs w:val="20"/>
          <w:color w:val="auto"/>
        </w:rPr>
      </w:pPr>
      <w:r>
        <w:rPr>
          <w:rFonts w:ascii="Arial" w:cs="Arial" w:eastAsia="Arial" w:hAnsi="Arial"/>
          <w:sz w:val="21"/>
          <w:szCs w:val="21"/>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96" w:lineRule="exact"/>
        <w:rPr>
          <w:sz w:val="20"/>
          <w:szCs w:val="20"/>
          <w:color w:val="auto"/>
        </w:rPr>
      </w:pPr>
    </w:p>
    <w:p>
      <w:pPr>
        <w:ind w:right="60" w:firstLine="1296"/>
        <w:spacing w:after="0" w:line="248" w:lineRule="auto"/>
        <w:rPr>
          <w:sz w:val="20"/>
          <w:szCs w:val="20"/>
          <w:color w:val="auto"/>
        </w:rPr>
      </w:pPr>
      <w:r>
        <w:rPr>
          <w:rFonts w:ascii="Arial" w:cs="Arial" w:eastAsia="Arial" w:hAnsi="Arial"/>
          <w:sz w:val="21"/>
          <w:szCs w:val="21"/>
          <w:color w:val="auto"/>
        </w:rPr>
        <w:t>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u w:val="single" w:color="auto"/>
          <w:color w:val="auto"/>
        </w:rPr>
        <w:t>Inspection By Directors</w:t>
      </w:r>
    </w:p>
    <w:p>
      <w:pPr>
        <w:spacing w:after="0" w:line="239" w:lineRule="exact"/>
        <w:rPr>
          <w:sz w:val="20"/>
          <w:szCs w:val="20"/>
          <w:color w:val="auto"/>
        </w:rPr>
      </w:pPr>
    </w:p>
    <w:p>
      <w:pPr>
        <w:ind w:right="160" w:firstLine="1296"/>
        <w:spacing w:after="0" w:line="279" w:lineRule="auto"/>
        <w:rPr>
          <w:sz w:val="20"/>
          <w:szCs w:val="20"/>
          <w:color w:val="auto"/>
        </w:rPr>
      </w:pPr>
      <w:r>
        <w:rPr>
          <w:rFonts w:ascii="Arial" w:cs="Arial" w:eastAsia="Arial" w:hAnsi="Arial"/>
          <w:sz w:val="19"/>
          <w:szCs w:val="19"/>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GENERAL MATTERS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u w:val="single" w:color="auto"/>
          <w:color w:val="auto"/>
        </w:rPr>
        <w:t>Checks</w:t>
      </w:r>
    </w:p>
    <w:p>
      <w:pPr>
        <w:spacing w:after="0" w:line="239" w:lineRule="exact"/>
        <w:rPr>
          <w:sz w:val="20"/>
          <w:szCs w:val="20"/>
          <w:color w:val="auto"/>
        </w:rPr>
      </w:pPr>
    </w:p>
    <w:p>
      <w:pPr>
        <w:jc w:val="both"/>
        <w:ind w:right="480" w:firstLine="1296"/>
        <w:spacing w:after="0" w:line="297" w:lineRule="auto"/>
        <w:rPr>
          <w:sz w:val="20"/>
          <w:szCs w:val="20"/>
          <w:color w:val="auto"/>
        </w:rPr>
      </w:pPr>
      <w:r>
        <w:rPr>
          <w:rFonts w:ascii="Arial" w:cs="Arial" w:eastAsia="Arial" w:hAnsi="Arial"/>
          <w:sz w:val="19"/>
          <w:szCs w:val="19"/>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ectPr>
          <w:pgSz w:w="11900" w:h="16838" w:orient="portrait"/>
          <w:cols w:equalWidth="0" w:num="1">
            <w:col w:w="11220"/>
          </w:cols>
          <w:pgMar w:left="320" w:top="118" w:right="359" w:bottom="0" w:gutter="0" w:footer="0" w:header="0"/>
        </w:sectPr>
      </w:pP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0" w:gutter="0" w:footer="0" w:header="0"/>
          <w:type w:val="continuous"/>
        </w:sectPr>
      </w:pPr>
    </w:p>
    <w:bookmarkStart w:id="194" w:name="page195"/>
    <w:bookmarkEnd w:id="194"/>
    <w:p>
      <w:pPr>
        <w:ind w:left="660"/>
        <w:spacing w:after="0"/>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u w:val="single" w:color="auto"/>
          <w:color w:val="auto"/>
        </w:rPr>
        <w:t>Execution Of Corporate Contracts And Instruments</w:t>
      </w:r>
    </w:p>
    <w:p>
      <w:pPr>
        <w:spacing w:after="0" w:line="239"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u w:val="single" w:color="auto"/>
          <w:color w:val="auto"/>
        </w:rPr>
        <w:t>Stock Certificates and Notices; Uncertificated Stock; Partly Paid Shares</w:t>
      </w:r>
    </w:p>
    <w:p>
      <w:pPr>
        <w:spacing w:after="0" w:line="239" w:lineRule="exact"/>
        <w:rPr>
          <w:sz w:val="20"/>
          <w:szCs w:val="20"/>
          <w:color w:val="auto"/>
        </w:rPr>
      </w:pPr>
    </w:p>
    <w:p>
      <w:pPr>
        <w:ind w:right="200" w:firstLine="1296"/>
        <w:spacing w:after="0" w:line="279" w:lineRule="auto"/>
        <w:rPr>
          <w:sz w:val="20"/>
          <w:szCs w:val="20"/>
          <w:color w:val="auto"/>
        </w:rPr>
      </w:pPr>
      <w:r>
        <w:rPr>
          <w:rFonts w:ascii="Arial" w:cs="Arial" w:eastAsia="Arial" w:hAnsi="Arial"/>
          <w:sz w:val="19"/>
          <w:szCs w:val="19"/>
          <w:color w:val="auto"/>
        </w:rPr>
        <w:t>The shares of the corporation may be certificated or uncertificated, as provided under Delaware law, and shall be entered in the books of the corporation and recorded as they are issued. Any duly appointed officer of the corporation is authorized to sign share certificates. Any or all of the signatures on any certificate may be a facsimile or electronic signature. In case any officer, transfer agent or registrar who has signed or whose facsimile or electronic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77" w:lineRule="exact"/>
        <w:rPr>
          <w:sz w:val="20"/>
          <w:szCs w:val="20"/>
          <w:color w:val="auto"/>
        </w:rPr>
      </w:pPr>
    </w:p>
    <w:p>
      <w:pPr>
        <w:ind w:right="40" w:firstLine="1296"/>
        <w:spacing w:after="0" w:line="235" w:lineRule="auto"/>
        <w:rPr>
          <w:sz w:val="20"/>
          <w:szCs w:val="20"/>
          <w:color w:val="auto"/>
        </w:rPr>
      </w:pPr>
      <w:r>
        <w:rPr>
          <w:rFonts w:ascii="Arial" w:cs="Arial" w:eastAsia="Arial" w:hAnsi="Arial"/>
          <w:sz w:val="22"/>
          <w:szCs w:val="22"/>
          <w:color w:val="auto"/>
        </w:rPr>
        <w:t>Within a reasonable time after the issuance or transfer of uncertificated stock and upon the request of a stockholder, the corporation shall send to the record owner thereof a written notice that shall set forth the name of the corporation, that the corporation is organized under the laws of Delaware, the name of the stockholder, the number and class (and the designation of the series, if any) of the shares, and any restrictions on the transfer or registration of such shares of stock imposed by the corporation’s certificate of incorporation, these bylaws, any agreement among stockholders or any agreement between stockholders and the corporation.</w:t>
      </w:r>
    </w:p>
    <w:p>
      <w:pPr>
        <w:spacing w:after="0" w:line="215" w:lineRule="exact"/>
        <w:rPr>
          <w:sz w:val="20"/>
          <w:szCs w:val="20"/>
          <w:color w:val="auto"/>
        </w:rPr>
      </w:pPr>
    </w:p>
    <w:p>
      <w:pPr>
        <w:ind w:right="40" w:firstLine="1296"/>
        <w:spacing w:after="0" w:line="248" w:lineRule="auto"/>
        <w:rPr>
          <w:sz w:val="20"/>
          <w:szCs w:val="20"/>
          <w:color w:val="auto"/>
        </w:rPr>
      </w:pPr>
      <w:r>
        <w:rPr>
          <w:rFonts w:ascii="Arial" w:cs="Arial" w:eastAsia="Arial" w:hAnsi="Arial"/>
          <w:sz w:val="21"/>
          <w:szCs w:val="21"/>
          <w:color w:val="auto"/>
        </w:rPr>
        <w:t>The corporation may issue the whole or any part of its shares as partly paid and subject to call for the remainder of the consideration to be paid therefor. Upon the face or back of each stock certificate (if any)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u w:val="single" w:color="auto"/>
          <w:color w:val="auto"/>
        </w:rPr>
        <w:t>Special Designation On Certificates and Notices of Issuance</w:t>
      </w:r>
    </w:p>
    <w:p>
      <w:pPr>
        <w:spacing w:after="0" w:line="239" w:lineRule="exact"/>
        <w:rPr>
          <w:sz w:val="20"/>
          <w:szCs w:val="20"/>
          <w:color w:val="auto"/>
        </w:rPr>
      </w:pPr>
    </w:p>
    <w:p>
      <w:pPr>
        <w:ind w:right="60" w:firstLine="1296"/>
        <w:spacing w:after="0" w:line="244" w:lineRule="auto"/>
        <w:rPr>
          <w:sz w:val="20"/>
          <w:szCs w:val="20"/>
          <w:color w:val="auto"/>
        </w:rPr>
      </w:pPr>
      <w:r>
        <w:rPr>
          <w:rFonts w:ascii="Arial" w:cs="Arial" w:eastAsia="Arial" w:hAnsi="Arial"/>
          <w:sz w:val="21"/>
          <w:szCs w:val="21"/>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or the notice of issuance to the record owner of uncertificated stock; provided, however, that, except as otherwise provided in Section 202 of the Delaware General Corporation Law, in lieu of the foregoing requirements there may be set forth on the face or back of the certificate that the corporation shall issue to represent such class or series of stock or the notice of issuance to the record owner of uncertificated stock, or the purchase agreement for such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b w:val="1"/>
          <w:bCs w:val="1"/>
          <w:u w:val="single" w:color="auto"/>
          <w:color w:val="auto"/>
        </w:rPr>
        <w:t>Lost Certificates</w:t>
      </w:r>
    </w:p>
    <w:p>
      <w:pPr>
        <w:spacing w:after="0" w:line="239" w:lineRule="exact"/>
        <w:rPr>
          <w:sz w:val="20"/>
          <w:szCs w:val="20"/>
          <w:color w:val="auto"/>
        </w:rPr>
      </w:pPr>
    </w:p>
    <w:p>
      <w:pPr>
        <w:ind w:right="100" w:firstLine="1296"/>
        <w:spacing w:after="0" w:line="234" w:lineRule="auto"/>
        <w:rPr>
          <w:sz w:val="20"/>
          <w:szCs w:val="20"/>
          <w:color w:val="auto"/>
        </w:rPr>
      </w:pPr>
      <w:r>
        <w:rPr>
          <w:rFonts w:ascii="Arial" w:cs="Arial" w:eastAsia="Arial" w:hAnsi="Arial"/>
          <w:sz w:val="22"/>
          <w:szCs w:val="22"/>
          <w:color w:val="auto"/>
        </w:rPr>
        <w:t>Except as provided in this Section 8.5, no new certificates for shares shall be issued to replace a previously issued certificate unless the latter is surrendered to the corporation and cancelled at the same time. The corporation may issue a new certificate of stock or notice of uncertificated stock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b w:val="1"/>
          <w:bCs w:val="1"/>
          <w:u w:val="single" w:color="auto"/>
          <w:color w:val="auto"/>
        </w:rPr>
        <w:t>Construction; Definitions</w:t>
      </w:r>
    </w:p>
    <w:p>
      <w:pPr>
        <w:spacing w:after="0" w:line="239" w:lineRule="exact"/>
        <w:rPr>
          <w:sz w:val="20"/>
          <w:szCs w:val="20"/>
          <w:color w:val="auto"/>
        </w:rPr>
      </w:pPr>
    </w:p>
    <w:p>
      <w:pPr>
        <w:ind w:right="80" w:firstLine="1296"/>
        <w:spacing w:after="0" w:line="238" w:lineRule="auto"/>
        <w:rPr>
          <w:sz w:val="20"/>
          <w:szCs w:val="20"/>
          <w:color w:val="auto"/>
        </w:rPr>
      </w:pPr>
      <w:r>
        <w:rPr>
          <w:rFonts w:ascii="Arial" w:cs="Arial" w:eastAsia="Arial" w:hAnsi="Arial"/>
          <w:sz w:val="22"/>
          <w:szCs w:val="22"/>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b w:val="1"/>
          <w:bCs w:val="1"/>
          <w:u w:val="single" w:color="auto"/>
          <w:color w:val="auto"/>
        </w:rPr>
        <w:t>Dividends</w:t>
      </w:r>
    </w:p>
    <w:p>
      <w:pPr>
        <w:sectPr>
          <w:pgSz w:w="11900" w:h="16838" w:orient="portrait"/>
          <w:cols w:equalWidth="0" w:num="1">
            <w:col w:w="11240"/>
          </w:cols>
          <w:pgMar w:left="320" w:top="355" w:right="339" w:bottom="127" w:gutter="0" w:footer="0" w:header="0"/>
        </w:sectPr>
      </w:pPr>
    </w:p>
    <w:bookmarkStart w:id="195" w:name="page196"/>
    <w:bookmarkEnd w:id="195"/>
    <w:p>
      <w:pPr>
        <w:ind w:right="180" w:firstLine="1296"/>
        <w:spacing w:after="0" w:line="241" w:lineRule="auto"/>
        <w:rPr>
          <w:sz w:val="20"/>
          <w:szCs w:val="20"/>
          <w:color w:val="auto"/>
        </w:rPr>
      </w:pPr>
      <w:r>
        <w:rPr>
          <w:rFonts w:ascii="Arial" w:cs="Arial" w:eastAsia="Arial" w:hAnsi="Arial"/>
          <w:sz w:val="22"/>
          <w:szCs w:val="22"/>
          <w:color w:val="auto"/>
        </w:rPr>
        <w:t>The Board of Directors, subject to any restrictions contained in (a) the Delaware General Corporation Law or (b) the certificate of incorporation, may declare and pay dividends upon the shares of its capital stock. Dividends may be paid in cash, in property, or in shares of the corporation’s capital stock.</w:t>
      </w:r>
    </w:p>
    <w:p>
      <w:pPr>
        <w:spacing w:after="0" w:line="211" w:lineRule="exact"/>
        <w:rPr>
          <w:sz w:val="20"/>
          <w:szCs w:val="20"/>
          <w:color w:val="auto"/>
        </w:rPr>
      </w:pPr>
    </w:p>
    <w:p>
      <w:pPr>
        <w:ind w:firstLine="1296"/>
        <w:spacing w:after="0" w:line="257" w:lineRule="auto"/>
        <w:rPr>
          <w:sz w:val="20"/>
          <w:szCs w:val="20"/>
          <w:color w:val="auto"/>
        </w:rPr>
      </w:pPr>
      <w:r>
        <w:rPr>
          <w:rFonts w:ascii="Arial" w:cs="Arial" w:eastAsia="Arial" w:hAnsi="Arial"/>
          <w:sz w:val="21"/>
          <w:szCs w:val="21"/>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b w:val="1"/>
          <w:bCs w:val="1"/>
          <w:u w:val="single" w:color="auto"/>
          <w:color w:val="auto"/>
        </w:rPr>
        <w:t>Fiscal Year</w:t>
      </w:r>
    </w:p>
    <w:p>
      <w:pPr>
        <w:spacing w:after="0" w:line="239"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The fiscal year of the corporation shall be fixed by resolution of the Board of Directors and may be changed by the Board of Directors.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b w:val="1"/>
          <w:bCs w:val="1"/>
          <w:u w:val="single" w:color="auto"/>
          <w:color w:val="auto"/>
        </w:rPr>
        <w:t>Transfer Of Stock</w:t>
      </w:r>
    </w:p>
    <w:p>
      <w:pPr>
        <w:spacing w:after="0" w:line="239" w:lineRule="exact"/>
        <w:rPr>
          <w:sz w:val="20"/>
          <w:szCs w:val="20"/>
          <w:color w:val="auto"/>
        </w:rPr>
      </w:pPr>
    </w:p>
    <w:p>
      <w:pPr>
        <w:ind w:right="140" w:firstLine="1296"/>
        <w:spacing w:after="0" w:line="282" w:lineRule="auto"/>
        <w:rPr>
          <w:sz w:val="20"/>
          <w:szCs w:val="20"/>
          <w:color w:val="auto"/>
        </w:rPr>
      </w:pPr>
      <w:r>
        <w:rPr>
          <w:rFonts w:ascii="Arial" w:cs="Arial" w:eastAsia="Arial" w:hAnsi="Arial"/>
          <w:sz w:val="19"/>
          <w:szCs w:val="19"/>
          <w:color w:val="auto"/>
        </w:rPr>
        <w:t>Upon receipt by the corporation or the transfer agent of the corporation of proper transfer instructions from the record holder of uncertificated shares or upon surrender to the corporation or the transfer agent of the corporation of a certificate for shares duly endorsed or accompanied by proper evidence of succession, assignation or authority to transfer, it shall be the duty of the corporation to issue a new certificate or, in the case of uncertificated securities and upon request, a notice of issuance of shares, to the person entitled thereto, cancel the old certificate (if any) and record the transaction in its books.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b w:val="1"/>
          <w:bCs w:val="1"/>
          <w:u w:val="single" w:color="auto"/>
          <w:color w:val="auto"/>
        </w:rPr>
        <w:t>Stock Transfer Agreements</w:t>
      </w:r>
    </w:p>
    <w:p>
      <w:pPr>
        <w:spacing w:after="0" w:line="239"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Delaware General Corporation Law.</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b w:val="1"/>
          <w:bCs w:val="1"/>
          <w:u w:val="single" w:color="auto"/>
          <w:color w:val="auto"/>
        </w:rPr>
        <w:t>Stockholders of Record</w:t>
      </w:r>
    </w:p>
    <w:p>
      <w:pPr>
        <w:spacing w:after="0" w:line="239"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The corporation shall be entitled to recognize the exclusive right of a person recorded on its books as the owner of shares to receive dividends and to vote as such owner, shall be entitled to hold liable for calls and assessments the person recorded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8.12 </w:t>
      </w:r>
      <w:r>
        <w:rPr>
          <w:rFonts w:ascii="Arial" w:cs="Arial" w:eastAsia="Arial" w:hAnsi="Arial"/>
          <w:sz w:val="22"/>
          <w:szCs w:val="22"/>
          <w:b w:val="1"/>
          <w:bCs w:val="1"/>
          <w:u w:val="single" w:color="auto"/>
          <w:color w:val="auto"/>
        </w:rPr>
        <w:t>Facsimile or Electronic Signature</w:t>
      </w:r>
    </w:p>
    <w:p>
      <w:pPr>
        <w:spacing w:after="0" w:line="239" w:lineRule="exact"/>
        <w:rPr>
          <w:sz w:val="20"/>
          <w:szCs w:val="20"/>
          <w:color w:val="auto"/>
        </w:rPr>
      </w:pPr>
    </w:p>
    <w:p>
      <w:pPr>
        <w:jc w:val="both"/>
        <w:ind w:right="40" w:firstLine="1296"/>
        <w:spacing w:after="0"/>
        <w:rPr>
          <w:sz w:val="20"/>
          <w:szCs w:val="20"/>
          <w:color w:val="auto"/>
        </w:rPr>
      </w:pPr>
      <w:r>
        <w:rPr>
          <w:rFonts w:ascii="Arial" w:cs="Arial" w:eastAsia="Arial" w:hAnsi="Arial"/>
          <w:sz w:val="22"/>
          <w:szCs w:val="22"/>
          <w:color w:val="auto"/>
        </w:rPr>
        <w:t>In addition to the provisions for use of facsimile or electronic signatures elsewhere specifically authorized in these bylaws, facsimile or electronic signatures of any stockholder, director or officer of the corporation may be used whenever and as authorized by the Board of Directors or a committee thereof.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AMENDMENTS</w:t>
      </w:r>
    </w:p>
    <w:p>
      <w:pPr>
        <w:spacing w:after="0" w:line="239" w:lineRule="exact"/>
        <w:rPr>
          <w:sz w:val="20"/>
          <w:szCs w:val="20"/>
          <w:color w:val="auto"/>
        </w:rPr>
      </w:pPr>
    </w:p>
    <w:p>
      <w:pPr>
        <w:ind w:right="40" w:firstLine="1296"/>
        <w:spacing w:after="0" w:line="236" w:lineRule="auto"/>
        <w:rPr>
          <w:sz w:val="20"/>
          <w:szCs w:val="20"/>
          <w:color w:val="auto"/>
        </w:rPr>
      </w:pPr>
      <w:r>
        <w:rPr>
          <w:rFonts w:ascii="Arial" w:cs="Arial" w:eastAsia="Arial" w:hAnsi="Arial"/>
          <w:sz w:val="22"/>
          <w:szCs w:val="22"/>
          <w:color w:val="auto"/>
        </w:rPr>
        <w:t>The bylaws of the corporation may be adopted, amended or repealed by the holders of a majority of the voting power of the shares of stock issued and outstanding entitled to vote; provided, however, that the corporation may, in its certificate of incorporation, confer the power to adopt, amend or repeal the bylaws upon the Board of Directors. The fact that such power has been so conferred upon the Board of Directors shall not divest the stockholders of the power, nor limit their power to adopt, amend or repeal bylaws.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TRANSFER RESTRICTIONS</w:t>
      </w:r>
    </w:p>
    <w:p>
      <w:pPr>
        <w:spacing w:after="0" w:line="239" w:lineRule="exact"/>
        <w:rPr>
          <w:sz w:val="20"/>
          <w:szCs w:val="20"/>
          <w:color w:val="auto"/>
        </w:rPr>
      </w:pPr>
    </w:p>
    <w:p>
      <w:pPr>
        <w:ind w:right="60" w:firstLine="1296"/>
        <w:spacing w:after="0" w:line="275" w:lineRule="auto"/>
        <w:rPr>
          <w:sz w:val="20"/>
          <w:szCs w:val="20"/>
          <w:color w:val="auto"/>
        </w:rPr>
      </w:pPr>
      <w:r>
        <w:rPr>
          <w:rFonts w:ascii="Arial" w:cs="Arial" w:eastAsia="Arial" w:hAnsi="Arial"/>
          <w:sz w:val="19"/>
          <w:szCs w:val="19"/>
          <w:color w:val="auto"/>
        </w:rPr>
        <w:t>Notwithstanding anything to the contrary, a stockholder shall not transfer, whether by sale, gift or otherwise, Restricted Shares (as such term is defined below) to any person unless such transfer is approved by the Board of Directors prior to such transfer, which approval may be granted or withheld in the Board of Directors’ sole and absolute discretion. “Restricted Shares” are shares of the corporation’s stock: (1) that were issued prior to the approval of the amendment to the Bylaws adding this Article X (the “Transfer Restriction Amendment”) on November 2, 2011 (the “Approval Date”) and are owned by stockholders who voted in favor of the approval of the Transfer Restriction Amendment on or after the Approval Date; or (2) that were issued after the Approval Date. Any purported transfer of any Restricted Shares effected in violation of this Article X shall be null and void and shall have no force or effect and the corporation shall not register any such purported transfer.</w:t>
      </w:r>
    </w:p>
    <w:p>
      <w:pPr>
        <w:sectPr>
          <w:pgSz w:w="11900" w:h="16838" w:orient="portrait"/>
          <w:cols w:equalWidth="0" w:num="1">
            <w:col w:w="11240"/>
          </w:cols>
          <w:pgMar w:left="320" w:top="118" w:right="339" w:bottom="0" w:gutter="0" w:footer="0" w:header="0"/>
        </w:sectPr>
      </w:pPr>
    </w:p>
    <w:bookmarkStart w:id="196" w:name="page197"/>
    <w:bookmarkEnd w:id="196"/>
    <w:p>
      <w:pPr>
        <w:ind w:right="120" w:firstLine="1296"/>
        <w:spacing w:after="0" w:line="236" w:lineRule="auto"/>
        <w:rPr>
          <w:sz w:val="20"/>
          <w:szCs w:val="20"/>
          <w:color w:val="auto"/>
        </w:rPr>
      </w:pPr>
      <w:r>
        <w:rPr>
          <w:rFonts w:ascii="Arial" w:cs="Arial" w:eastAsia="Arial" w:hAnsi="Arial"/>
          <w:sz w:val="22"/>
          <w:szCs w:val="22"/>
          <w:color w:val="auto"/>
        </w:rPr>
        <w:t>Any stockholder seeking approval of the Board of Directors of a transfer of some or all of its Restricted Shares shall give prior written notice thereof to the Secretary of the corporation that shall include: (1) the name of the stockholder; (2) the proposed transfer; (3) the number of shares the transfer of which approval is thereby requested; and (4) the purchase price, if any, of the shares proposed for transfer. The corporation may require the stockholder to supplement its notice with such additional information as the corporation may request.</w:t>
      </w:r>
    </w:p>
    <w:p>
      <w:pPr>
        <w:spacing w:after="0" w:line="215" w:lineRule="exact"/>
        <w:rPr>
          <w:sz w:val="20"/>
          <w:szCs w:val="20"/>
          <w:color w:val="auto"/>
        </w:rPr>
      </w:pPr>
    </w:p>
    <w:p>
      <w:pPr>
        <w:ind w:right="120" w:firstLine="1296"/>
        <w:spacing w:after="0" w:line="328" w:lineRule="auto"/>
        <w:rPr>
          <w:sz w:val="20"/>
          <w:szCs w:val="20"/>
          <w:color w:val="auto"/>
        </w:rPr>
      </w:pPr>
      <w:r>
        <w:rPr>
          <w:rFonts w:ascii="Arial" w:cs="Arial" w:eastAsia="Arial" w:hAnsi="Arial"/>
          <w:sz w:val="19"/>
          <w:szCs w:val="19"/>
          <w:color w:val="auto"/>
        </w:rPr>
        <w:t>Certificates representing, and in the case of uncertificated securities, notices of issuance with respect to, shares of stock of the corporation shall have impressed on, printed on, written on or otherwise affixed to them the following legend:</w:t>
      </w:r>
    </w:p>
    <w:p>
      <w:pPr>
        <w:spacing w:after="0" w:line="139" w:lineRule="exact"/>
        <w:rPr>
          <w:sz w:val="20"/>
          <w:szCs w:val="20"/>
          <w:color w:val="auto"/>
        </w:rPr>
      </w:pPr>
    </w:p>
    <w:p>
      <w:pPr>
        <w:jc w:val="both"/>
        <w:ind w:left="860" w:right="820"/>
        <w:spacing w:after="0" w:line="255" w:lineRule="auto"/>
        <w:rPr>
          <w:sz w:val="20"/>
          <w:szCs w:val="20"/>
          <w:color w:val="auto"/>
        </w:rPr>
      </w:pPr>
      <w:r>
        <w:rPr>
          <w:rFonts w:ascii="Arial" w:cs="Arial" w:eastAsia="Arial" w:hAnsi="Arial"/>
          <w:sz w:val="18"/>
          <w:szCs w:val="18"/>
          <w:color w:val="auto"/>
        </w:rPr>
        <w:t>THE TRANSFER OF THE SHARES REPRESENTED BY THIS CERTIFICATE IS SUBJECT TO TRANSFER RESTRICTIONS REQUIRING APPROVAL OF THE BOARD OF DIRECTORS PURSUANT TO AND IN ACCORDANCE WITH ARTICLE X OF THE BYLAWS OF THE COMPANY, COPIES OF WHICH MAY BE OBTAINED UPON WRITTEN REQUEST TO THE COMPANY AT ITS PRINCIPAL PLACE OF BUSINESS. THE COMPANY SHALL NOT REGISTER OR OTHERWISE RECOGNIZE OR GIVE EFFECT TO ANY PURPORTED TRANSFER OF SHARES OF STOCK THAT DOES NOT COMPLY WITH ARTICLE X OF THE BYLAWS OF THE COMPANY.</w:t>
      </w:r>
    </w:p>
    <w:p>
      <w:pPr>
        <w:spacing w:after="0" w:line="212" w:lineRule="exact"/>
        <w:rPr>
          <w:sz w:val="20"/>
          <w:szCs w:val="20"/>
          <w:color w:val="auto"/>
        </w:rPr>
      </w:pPr>
    </w:p>
    <w:p>
      <w:pPr>
        <w:ind w:firstLine="1296"/>
        <w:spacing w:after="0" w:line="328" w:lineRule="auto"/>
        <w:rPr>
          <w:sz w:val="20"/>
          <w:szCs w:val="20"/>
          <w:color w:val="auto"/>
        </w:rPr>
      </w:pPr>
      <w:r>
        <w:rPr>
          <w:rFonts w:ascii="Arial" w:cs="Arial" w:eastAsia="Arial" w:hAnsi="Arial"/>
          <w:sz w:val="19"/>
          <w:szCs w:val="19"/>
          <w:color w:val="auto"/>
        </w:rPr>
        <w:t>The corporation shall take all such actions as are practicable to cause the certificates representing shares issued prior to the Approval Date that are subject to the restrictions on transfer set forth in this Article X to contain the foregoing legend.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 OF ADOPTION OF AMENDED AND RESTATED BYLAWS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ASANA, INC.</w:t>
      </w:r>
    </w:p>
    <w:p>
      <w:pPr>
        <w:spacing w:after="0" w:line="239"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The undersigned hereby certifies that the undersigned is the duly elected, qualified, and acting Secretary of Asana, Inc., a Delaware corporation, and that the foregoing Amended and Restated Bylaws were adopted as the bylaws of the corporation on January 18, 2018, by the Board of Directors of the corporation and approved by the required stockholders of the corporation on January 18, 2018.</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Executed on January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161290</wp:posOffset>
            </wp:positionV>
            <wp:extent cx="1543050" cy="8058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430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decimal"/>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1)"/>
      <w:numFmt w:val="decimal"/>
      <w:start w:val="1"/>
    </w:lvl>
  </w:abstractNum>
  <w:abstractNum w:abstractNumId="13">
    <w:nsid w:val="D34B6A8"/>
    <w:multiLevelType w:val="hybridMultilevel"/>
    <w:lvl w:ilvl="0">
      <w:lvlJc w:val="left"/>
      <w:lvlText w:val="(%1)"/>
      <w:numFmt w:val="decimal"/>
      <w:start w:val="2"/>
    </w:lvl>
  </w:abstractNum>
  <w:abstractNum w:abstractNumId="14">
    <w:nsid w:val="10233C99"/>
    <w:multiLevelType w:val="hybridMultilevel"/>
    <w:lvl w:ilvl="0">
      <w:lvlJc w:val="left"/>
      <w:lvlText w:val="(%1)"/>
      <w:numFmt w:val="decimal"/>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1)"/>
      <w:numFmt w:val="lowerLetter"/>
      <w:start w:val="25"/>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lvl w:ilvl="1">
      <w:lvlJc w:val="left"/>
      <w:lvlText w:val="•"/>
      <w:numFmt w:val="bullet"/>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1)"/>
      <w:numFmt w:val="decimal"/>
      <w:start w:val="2"/>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1)"/>
      <w:numFmt w:val="decimal"/>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decimal"/>
      <w:start w:val="1"/>
    </w:lvl>
  </w:abstractNum>
  <w:abstractNum w:abstractNumId="74">
    <w:nsid w:val="46B7D447"/>
    <w:multiLevelType w:val="hybridMultilevel"/>
    <w:lvl w:ilvl="0">
      <w:lvlJc w:val="left"/>
      <w:lvlText w:val="(%1)"/>
      <w:numFmt w:val="decimal"/>
      <w:start w:val="2"/>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1)"/>
      <w:numFmt w:val="lowerLetter"/>
      <w:start w:val="25"/>
    </w:lvl>
  </w:abstractNum>
  <w:abstractNum w:abstractNumId="79">
    <w:nsid w:val="43F18422"/>
    <w:multiLevelType w:val="hybridMultilevel"/>
    <w:lvl w:ilvl="0">
      <w:lvlJc w:val="left"/>
      <w:lvlText w:val="(%1)"/>
      <w:numFmt w:val="decimal"/>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1)"/>
      <w:numFmt w:val="decimal"/>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1)"/>
      <w:numFmt w:val="lowerLetter"/>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1)"/>
      <w:numFmt w:val="lowerRoman"/>
      <w:start w:val="3"/>
    </w:lvl>
  </w:abstractNum>
  <w:abstractNum w:abstractNumId="96">
    <w:nsid w:val="7DE67713"/>
    <w:multiLevelType w:val="hybridMultilevel"/>
    <w:lvl w:ilvl="0">
      <w:lvlJc w:val="left"/>
      <w:lvlText w:val="(%1)"/>
      <w:numFmt w:val="decimal"/>
      <w:start w:val="100"/>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1."/>
      <w:numFmt w:val="decimal"/>
      <w:start w:val="1"/>
    </w:lvl>
  </w:abstractNum>
  <w:abstractNum w:abstractNumId="99">
    <w:nsid w:val="14FCE74E"/>
    <w:multiLevelType w:val="hybridMultilevel"/>
    <w:lvl w:ilvl="0">
      <w:lvlJc w:val="left"/>
      <w:lvlText w:val="%1."/>
      <w:numFmt w:val="decimal"/>
      <w:start w:val="2"/>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
      <w:numFmt w:val="bullet"/>
      <w:start w:val="1"/>
    </w:lvl>
    <w:lvl w:ilvl="1">
      <w:lvlJc w:val="left"/>
      <w:lvlText w:val="(%2)"/>
      <w:numFmt w:val="lowerLetter"/>
      <w:start w:val="2"/>
    </w:lvl>
  </w:abstractNum>
  <w:abstractNum w:abstractNumId="102">
    <w:nsid w:val="9DAF632"/>
    <w:multiLevelType w:val="hybridMultilevel"/>
    <w:lvl w:ilvl="0">
      <w:lvlJc w:val="left"/>
      <w:lvlText w:val="(%1)"/>
      <w:numFmt w:val="decimal"/>
      <w:start w:val="1"/>
    </w:lvl>
    <w:lvl w:ilvl="1">
      <w:lvlJc w:val="left"/>
      <w:lvlText w:val="(%2)"/>
      <w:numFmt w:val="lowerRoman"/>
      <w:start w:val="1"/>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lowerLetter"/>
      <w:start w:val="1"/>
    </w:lvl>
  </w:abstractNum>
  <w:abstractNum w:abstractNumId="105">
    <w:nsid w:val="5092CA79"/>
    <w:multiLevelType w:val="hybridMultilevel"/>
    <w:lvl w:ilvl="0">
      <w:lvlJc w:val="left"/>
      <w:lvlText w:val="(%1)"/>
      <w:numFmt w:val="lowerLetter"/>
      <w:start w:val="2"/>
    </w:lvl>
  </w:abstractNum>
  <w:abstractNum w:abstractNumId="106">
    <w:nsid w:val="1D545C4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2020-08-31T00:16:53Z</dcterms:created>
  <dcterms:modified xsi:type="dcterms:W3CDTF">2020-08-31T00:16:53Z</dcterms:modified>
</cp:coreProperties>
</file>