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08.png" ContentType="image/png"/>
  <Override PartName="/word/media/image107.jpeg" ContentType="image/jpeg"/>
  <Override PartName="/word/media/image106.jpeg" ContentType="image/jpeg"/>
  <Override PartName="/word/media/image105.jpeg" ContentType="image/jpeg"/>
  <Override PartName="/word/media/image104.jpeg" ContentType="image/jpeg"/>
  <Override PartName="/word/media/image103.jpeg" ContentType="image/jpeg"/>
  <Override PartName="/word/media/image102.jpeg" ContentType="image/jpeg"/>
  <Override PartName="/word/media/image101.jpeg" ContentType="image/jpeg"/>
  <Override PartName="/word/media/image100.jpeg" ContentType="image/jpeg"/>
  <Override PartName="/word/media/image97.jpeg" ContentType="image/jpeg"/>
  <Override PartName="/word/media/image52.jpeg" ContentType="image/jpeg"/>
  <Override PartName="/word/media/image51.jpeg" ContentType="image/jpeg"/>
  <Override PartName="/word/media/image34.jpeg" ContentType="image/jpeg"/>
  <Override PartName="/word/media/image77.jpeg" ContentType="image/jpeg"/>
  <Override PartName="/word/media/image33.jpeg" ContentType="image/jpeg"/>
  <Override PartName="/word/media/image76.jpeg" ContentType="image/jpeg"/>
  <Override PartName="/word/media/image32.jpeg" ContentType="image/jpeg"/>
  <Override PartName="/word/media/image2.jpeg" ContentType="image/jpeg"/>
  <Override PartName="/word/media/image19.jpeg" ContentType="image/jpeg"/>
  <Override PartName="/word/media/image75.jpeg" ContentType="image/jpeg"/>
  <Override PartName="/word/media/image31.jpeg" ContentType="image/jpeg"/>
  <Override PartName="/word/media/image1.jpeg" ContentType="image/jpeg"/>
  <Override PartName="/word/media/image18.jpeg" ContentType="image/jpeg"/>
  <Override PartName="/word/media/image74.jpeg" ContentType="image/jpeg"/>
  <Override PartName="/word/media/image30.jpeg" ContentType="image/jpeg"/>
  <Override PartName="/word/media/image17.jpeg" ContentType="image/jpeg"/>
  <Override PartName="/word/media/image73.jpeg" ContentType="image/jpeg"/>
  <Override PartName="/word/media/image29.jpeg" ContentType="image/jpeg"/>
  <Override PartName="/word/media/image28.jpeg" ContentType="image/jpeg"/>
  <Override PartName="/word/media/image88.jpeg" ContentType="image/jpeg"/>
  <Override PartName="/word/media/image27.jpeg" ContentType="image/jpeg"/>
  <Override PartName="/word/media/image87.jpeg" ContentType="image/jpeg"/>
  <Override PartName="/word/media/image26.jpeg" ContentType="image/jpeg"/>
  <Override PartName="/word/media/image9.jpeg" ContentType="image/jpeg"/>
  <Override PartName="/word/media/image8.jpeg" ContentType="image/jpeg"/>
  <Override PartName="/word/media/image7.jpeg" ContentType="image/jpeg"/>
  <Override PartName="/word/media/image3.jpeg" ContentType="image/jpeg"/>
  <Override PartName="/word/media/image35.jpeg" ContentType="image/jpeg"/>
  <Override PartName="/word/media/image78.jpeg" ContentType="image/jpeg"/>
  <Override PartName="/word/media/image5.jpeg" ContentType="image/jpeg"/>
  <Override PartName="/word/media/image37.jpeg" ContentType="image/jpeg"/>
  <Override PartName="/word/media/image10.jpeg" ContentType="image/jpeg"/>
  <Override PartName="/word/media/image53.jpeg" ContentType="image/jpeg"/>
  <Override PartName="/word/media/image4.jpeg" ContentType="image/jpeg"/>
  <Override PartName="/word/media/image36.jpeg" ContentType="image/jpeg"/>
  <Override PartName="/word/media/image79.jpeg" ContentType="image/jpeg"/>
  <Override PartName="/word/media/image6.jpeg" ContentType="image/jpeg"/>
  <Override PartName="/word/media/image11.jpeg" ContentType="image/jpeg"/>
  <Override PartName="/word/media/image54.jpeg" ContentType="image/jpeg"/>
  <Override PartName="/word/media/image42.jpeg" ContentType="image/jpeg"/>
  <Override PartName="/word/media/image12.jpeg" ContentType="image/jpeg"/>
  <Override PartName="/word/media/image55.jpeg" ContentType="image/jpeg"/>
  <Override PartName="/word/media/image43.jpeg" ContentType="image/jpeg"/>
  <Override PartName="/word/media/image13.jpeg" ContentType="image/jpeg"/>
  <Override PartName="/word/media/image56.jpeg" ContentType="image/jpeg"/>
  <Override PartName="/word/media/image44.jpeg" ContentType="image/jpeg"/>
  <Override PartName="/word/media/image14.jpeg" ContentType="image/jpeg"/>
  <Override PartName="/word/media/image90.jpeg" ContentType="image/jpeg"/>
  <Override PartName="/word/media/image57.jpeg" ContentType="image/jpeg"/>
  <Override PartName="/word/media/image98.jpeg" ContentType="image/jpeg"/>
  <Override PartName="/word/media/image70.jpeg" ContentType="image/jpeg"/>
  <Override PartName="/word/media/image45.jpeg" ContentType="image/jpeg"/>
  <Override PartName="/word/media/image15.jpeg" ContentType="image/jpeg"/>
  <Override PartName="/word/media/image91.jpeg" ContentType="image/jpeg"/>
  <Override PartName="/word/media/image58.jpeg" ContentType="image/jpeg"/>
  <Override PartName="/word/media/image99.jpeg" ContentType="image/jpeg"/>
  <Override PartName="/word/media/image38.jpeg" ContentType="image/jpeg"/>
  <Override PartName="/word/media/image71.jpeg" ContentType="image/jpeg"/>
  <Override PartName="/word/media/image46.jpeg" ContentType="image/jpeg"/>
  <Override PartName="/word/media/image89.jpeg" ContentType="image/jpeg"/>
  <Override PartName="/word/media/image16.jpeg" ContentType="image/jpeg"/>
  <Override PartName="/word/media/image92.jpeg" ContentType="image/jpeg"/>
  <Override PartName="/word/media/image59.jpeg" ContentType="image/jpeg"/>
  <Override PartName="/word/media/image39.jpeg" ContentType="image/jpeg"/>
  <Override PartName="/word/media/image72.jpeg" ContentType="image/jpeg"/>
  <Override PartName="/word/media/image60.jpeg" ContentType="image/jpeg"/>
  <Override PartName="/word/media/image61.jpeg" ContentType="image/jpeg"/>
  <Override PartName="/word/media/image62.jpeg" ContentType="image/jpeg"/>
  <Override PartName="/word/media/image50.jpeg" ContentType="image/jpeg"/>
  <Override PartName="/word/media/image25.jpeg" ContentType="image/jpeg"/>
  <Override PartName="/word/media/image86.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47.jpeg" ContentType="image/jpeg"/>
  <Override PartName="/word/media/image80.jpeg" ContentType="image/jpeg"/>
  <Override PartName="/word/media/image40.jpeg" ContentType="image/jpeg"/>
  <Override PartName="/word/media/image68.jpeg" ContentType="image/jpeg"/>
  <Override PartName="/word/media/image20.jpeg" ContentType="image/jpeg"/>
  <Override PartName="/word/media/image48.jpeg" ContentType="image/jpeg"/>
  <Override PartName="/word/media/image81.jpeg" ContentType="image/jpeg"/>
  <Override PartName="/word/media/image41.jpeg" ContentType="image/jpeg"/>
  <Override PartName="/word/media/image69.jpeg" ContentType="image/jpeg"/>
  <Override PartName="/word/media/image21.jpeg" ContentType="image/jpeg"/>
  <Override PartName="/word/media/image49.jpeg" ContentType="image/jpeg"/>
  <Override PartName="/word/media/image82.jpeg" ContentType="image/jpeg"/>
  <Override PartName="/word/media/image22.jpeg" ContentType="image/jpeg"/>
  <Override PartName="/word/media/image83.jpeg" ContentType="image/jpeg"/>
  <Override PartName="/word/media/image23.jpeg" ContentType="image/jpeg"/>
  <Override PartName="/word/media/image84.jpeg" ContentType="image/jpeg"/>
  <Override PartName="/word/media/image24.jpeg" ContentType="image/jpeg"/>
  <Override PartName="/word/media/image85.jpeg" ContentType="image/jpeg"/>
  <Override PartName="/word/media/image93.jpeg" ContentType="image/jpeg"/>
  <Override PartName="/word/media/image94.jpeg" ContentType="image/jpeg"/>
  <Override PartName="/word/media/image95.jpeg" ContentType="image/jpeg"/>
  <Override PartName="/word/media/image96.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80"/>
        <w:ind w:left="0" w:right="0" w:firstLine="360"/>
        <w:jc w:val="both"/>
        <w:rPr/>
      </w:pPr>
      <w:r>
        <w:rPr/>
      </w:r>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10-K</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(Mark One) </w:t>
      </w:r>
    </w:p>
    <w:tbl>
      <w:tblPr>
        <w:tblW w:w="9714" w:type="dxa"/>
        <w:jc w:val="left"/>
        <w:tblInd w:w="0" w:type="dxa"/>
        <w:tblCellMar>
          <w:top w:w="28" w:type="dxa"/>
          <w:left w:w="28" w:type="dxa"/>
          <w:bottom w:w="28" w:type="dxa"/>
          <w:right w:w="28" w:type="dxa"/>
        </w:tblCellMar>
      </w:tblPr>
      <w:tblGrid>
        <w:gridCol w:w="124"/>
        <w:gridCol w:w="109"/>
        <w:gridCol w:w="109"/>
        <w:gridCol w:w="109"/>
        <w:gridCol w:w="109"/>
        <w:gridCol w:w="109"/>
        <w:gridCol w:w="2644"/>
        <w:gridCol w:w="2644"/>
        <w:gridCol w:w="375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4" w:type="dxa"/>
            <w:tcBorders/>
            <w:shd w:fill="auto" w:val="clear"/>
            <w:vAlign w:val="center"/>
          </w:tcPr>
          <w:p>
            <w:pPr>
              <w:pStyle w:val="TableContents"/>
              <w:spacing w:before="0" w:after="283"/>
              <w:rPr>
                <w:sz w:val="4"/>
                <w:szCs w:val="4"/>
              </w:rPr>
            </w:pPr>
            <w:r>
              <w:rPr>
                <w:sz w:val="4"/>
                <w:szCs w:val="4"/>
              </w:rPr>
            </w:r>
          </w:p>
        </w:tc>
        <w:tc>
          <w:tcPr>
            <w:tcW w:w="2644" w:type="dxa"/>
            <w:tcBorders/>
            <w:shd w:fill="auto" w:val="clear"/>
            <w:vAlign w:val="center"/>
          </w:tcPr>
          <w:p>
            <w:pPr>
              <w:pStyle w:val="TableContents"/>
              <w:spacing w:before="0" w:after="283"/>
              <w:rPr>
                <w:sz w:val="4"/>
                <w:szCs w:val="4"/>
              </w:rPr>
            </w:pPr>
            <w:r>
              <w:rPr>
                <w:sz w:val="4"/>
                <w:szCs w:val="4"/>
              </w:rPr>
            </w:r>
          </w:p>
        </w:tc>
        <w:tc>
          <w:tcPr>
            <w:tcW w:w="375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bl>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088" w:type="dxa"/>
        <w:jc w:val="left"/>
        <w:tblInd w:w="0" w:type="dxa"/>
        <w:tblCellMar>
          <w:top w:w="28" w:type="dxa"/>
          <w:left w:w="28" w:type="dxa"/>
          <w:bottom w:w="28" w:type="dxa"/>
          <w:right w:w="28" w:type="dxa"/>
        </w:tblCellMar>
      </w:tblPr>
      <w:tblGrid>
        <w:gridCol w:w="124"/>
        <w:gridCol w:w="109"/>
        <w:gridCol w:w="109"/>
        <w:gridCol w:w="109"/>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For the Fiscal Year Ended January 31, 2021</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Commission file number: 001-39495</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ASANA, INC.</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(Exact name of registrant as specified in its charter)</w:t>
      </w:r>
    </w:p>
    <w:tbl>
      <w:tblPr>
        <w:tblW w:w="8610" w:type="dxa"/>
        <w:jc w:val="center"/>
        <w:tblInd w:w="0" w:type="dxa"/>
        <w:tblCellMar>
          <w:top w:w="28" w:type="dxa"/>
          <w:left w:w="28" w:type="dxa"/>
          <w:bottom w:w="28" w:type="dxa"/>
          <w:right w:w="28" w:type="dxa"/>
        </w:tblCellMar>
      </w:tblPr>
      <w:tblGrid>
        <w:gridCol w:w="1358"/>
        <w:gridCol w:w="1190"/>
        <w:gridCol w:w="1202"/>
        <w:gridCol w:w="885"/>
        <w:gridCol w:w="885"/>
        <w:gridCol w:w="900"/>
        <w:gridCol w:w="640"/>
        <w:gridCol w:w="640"/>
        <w:gridCol w:w="910"/>
      </w:tblGrid>
      <w:tr>
        <w:trPr/>
        <w:tc>
          <w:tcPr>
            <w:tcW w:w="1358"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r>
      <w:tr>
        <w:trPr/>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7372</w:t>
            </w:r>
          </w:p>
        </w:tc>
        <w:tc>
          <w:tcPr>
            <w:tcW w:w="21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26-3912448</w:t>
            </w:r>
          </w:p>
        </w:tc>
      </w:tr>
      <w:tr>
        <w:trPr/>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 incorporation or organization)</w:t>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(Primary standard industrial code number)</w:t>
            </w:r>
          </w:p>
        </w:tc>
        <w:tc>
          <w:tcPr>
            <w:tcW w:w="219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(I.R.S. employer identification no.)</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1550 Bryant Street, Suite 200</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San Francisco, CA 94103</w:t>
      </w:r>
    </w:p>
    <w:p>
      <w:pPr>
        <w:pStyle w:val="TextBody"/>
        <w:spacing w:lineRule="auto" w:line="288" w:before="0" w:after="180"/>
        <w:jc w:val="center"/>
        <w:rPr>
          <w:rFonts w:ascii="Times New Roman;sans-serif" w:hAnsi="Times New Roman;sans-serif"/>
          <w:b/>
          <w:i/>
          <w:color w:val="000000"/>
          <w:sz w:val="16"/>
        </w:rPr>
      </w:pPr>
      <w:r>
        <w:rPr>
          <w:rFonts w:ascii="Times New Roman;sans-serif" w:hAnsi="Times New Roman;sans-serif"/>
          <w:b/>
          <w:i/>
          <w:color w:val="000000"/>
          <w:sz w:val="16"/>
        </w:rPr>
        <w:t>(Address of principal executive offices and Zip Code)</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(415) 525-3888</w:t>
      </w:r>
    </w:p>
    <w:p>
      <w:pPr>
        <w:pStyle w:val="TextBody"/>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(Registrant’s telephone number, including area code)</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681" w:type="dxa"/>
        <w:jc w:val="left"/>
        <w:tblInd w:w="0" w:type="dxa"/>
        <w:tblCellMar>
          <w:top w:w="28" w:type="dxa"/>
          <w:left w:w="28" w:type="dxa"/>
          <w:bottom w:w="28" w:type="dxa"/>
          <w:right w:w="28" w:type="dxa"/>
        </w:tblCellMar>
      </w:tblPr>
      <w:tblGrid>
        <w:gridCol w:w="1442"/>
        <w:gridCol w:w="1269"/>
        <w:gridCol w:w="1278"/>
        <w:gridCol w:w="109"/>
        <w:gridCol w:w="109"/>
        <w:gridCol w:w="109"/>
        <w:gridCol w:w="519"/>
        <w:gridCol w:w="519"/>
        <w:gridCol w:w="521"/>
        <w:gridCol w:w="109"/>
        <w:gridCol w:w="109"/>
        <w:gridCol w:w="109"/>
        <w:gridCol w:w="1019"/>
        <w:gridCol w:w="1019"/>
        <w:gridCol w:w="1441"/>
      </w:tblGrid>
      <w:tr>
        <w:trPr/>
        <w:tc>
          <w:tcPr>
            <w:tcW w:w="1442"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lineRule="auto" w:line="196" w:before="0" w:after="0"/>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196" w:before="0" w:after="0"/>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shd w:fill="auto" w:val="clear"/>
            <w:tcMar>
              <w:top w:w="0" w:type="dxa"/>
              <w:left w:w="0" w:type="dxa"/>
              <w:bottom w:w="0" w:type="dxa"/>
              <w:right w:w="0" w:type="dxa"/>
            </w:tcMar>
            <w:vAlign w:val="center"/>
          </w:tcPr>
          <w:p>
            <w:pPr>
              <w:pStyle w:val="TableContents"/>
              <w:spacing w:lineRule="auto" w:line="196" w:before="0" w:after="0"/>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9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19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$0.00001 par value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19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ASAN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19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spacing w:lineRule="auto" w:line="288" w:before="0" w:after="180"/>
        <w:jc w:val="both"/>
        <w:rPr>
          <w:rFonts w:ascii="Times New Roman;sans-serif" w:hAnsi="Times New Roman;sans-serif"/>
          <w:b w:val="false"/>
          <w:color w:val="000000"/>
          <w:sz w:val="14"/>
        </w:rPr>
      </w:pPr>
      <w:r>
        <w:rPr>
          <w:rFonts w:ascii="Times New Roman;sans-serif" w:hAnsi="Times New Roman;sans-serif"/>
          <w:b w:val="false"/>
          <w:color w:val="000000"/>
          <w:sz w:val="14"/>
        </w:rPr>
        <w:t xml:space="preserve">Indicate by check mark if the registrant is a well-known seasoned issuer, as defined in Rule 405 of the Securities Act. Yes ☐ No ☒ </w:t>
      </w:r>
    </w:p>
    <w:p>
      <w:pPr>
        <w:pStyle w:val="TextBody"/>
        <w:spacing w:lineRule="auto" w:line="288" w:before="0" w:after="180"/>
        <w:jc w:val="both"/>
        <w:rPr>
          <w:rFonts w:ascii="Times New Roman;sans-serif" w:hAnsi="Times New Roman;sans-serif"/>
          <w:b w:val="false"/>
          <w:color w:val="000000"/>
          <w:sz w:val="14"/>
        </w:rPr>
      </w:pPr>
      <w:r>
        <w:rPr>
          <w:rFonts w:ascii="Times New Roman;sans-serif" w:hAnsi="Times New Roman;sans-serif"/>
          <w:b w:val="false"/>
          <w:color w:val="000000"/>
          <w:sz w:val="14"/>
        </w:rPr>
        <w:t>Indicate by check mark if the registrant is not required to file reports pursuant to Section 13 or Section 15(d) of the Act. Yes ☐ No ☒</w:t>
      </w:r>
    </w:p>
    <w:p>
      <w:pPr>
        <w:pStyle w:val="TextBody"/>
        <w:spacing w:lineRule="auto" w:line="288" w:before="0" w:after="180"/>
        <w:jc w:val="both"/>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 No ☐</w:t>
      </w:r>
    </w:p>
    <w:p>
      <w:pPr>
        <w:pStyle w:val="TextBody"/>
        <w:spacing w:lineRule="auto" w:line="288" w:before="0" w:after="180"/>
        <w:jc w:val="both"/>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lineRule="auto" w:line="288" w:before="0" w:after="0"/>
        <w:jc w:val="both"/>
        <w:rPr>
          <w:rFonts w:ascii="Times New Roman;sans-serif" w:hAnsi="Times New Roman;sans-serif"/>
          <w:b w:val="false"/>
          <w:color w:val="000000"/>
          <w:sz w:val="14"/>
        </w:rPr>
      </w:pPr>
      <w:r>
        <w:rPr>
          <w:rFonts w:ascii="Times New Roman;sans-serif" w:hAnsi="Times New Roman;sans-serif"/>
          <w:b w:val="false"/>
          <w:color w:val="000000"/>
          <w:sz w:val="14"/>
        </w:rPr>
        <w:t xml:space="preserve">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 </w:t>
      </w:r>
    </w:p>
    <w:tbl>
      <w:tblPr>
        <w:tblW w:w="3728" w:type="dxa"/>
        <w:jc w:val="left"/>
        <w:tblInd w:w="0" w:type="dxa"/>
        <w:tblCellMar>
          <w:top w:w="28" w:type="dxa"/>
          <w:left w:w="28" w:type="dxa"/>
          <w:bottom w:w="28" w:type="dxa"/>
          <w:right w:w="28" w:type="dxa"/>
        </w:tblCellMar>
      </w:tblPr>
      <w:tblGrid>
        <w:gridCol w:w="494"/>
        <w:gridCol w:w="434"/>
        <w:gridCol w:w="436"/>
        <w:gridCol w:w="109"/>
        <w:gridCol w:w="109"/>
        <w:gridCol w:w="109"/>
        <w:gridCol w:w="554"/>
        <w:gridCol w:w="554"/>
        <w:gridCol w:w="557"/>
        <w:gridCol w:w="109"/>
        <w:gridCol w:w="109"/>
        <w:gridCol w:w="154"/>
      </w:tblGrid>
      <w:tr>
        <w:trPr/>
        <w:tc>
          <w:tcPr>
            <w:tcW w:w="49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w:t>
            </w:r>
          </w:p>
        </w:tc>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w:t>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w:t>
            </w:r>
          </w:p>
        </w:tc>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w:t>
            </w:r>
          </w:p>
        </w:tc>
      </w:tr>
    </w:tbl>
    <w:p>
      <w:pPr>
        <w:pStyle w:val="TextBody"/>
        <w:spacing w:lineRule="auto" w:line="288" w:before="0" w:after="0"/>
        <w:jc w:val="both"/>
        <w:rPr/>
      </w:pPr>
      <w:r>
        <w:rPr>
          <w:rFonts w:ascii="Times New Roman;sans-serif" w:hAnsi="Times New Roman;sans-serif"/>
          <w:b w:val="false"/>
          <w:color w:val="000000"/>
          <w:sz w:val="14"/>
        </w:rPr>
        <w:t>If an emerging growth company, indicate by checkmark if the registrant has not elected to use the extended transition period for complying with any new or revised financial accounting standards provided pursuant to Section 7(a)(2)(B) of the Securities Act.  </w:t>
      </w:r>
      <w:r>
        <w:rPr>
          <w:color w:val="000000"/>
        </w:rPr>
        <w:t>☐</w:t>
      </w:r>
    </w:p>
    <w:p>
      <w:pPr>
        <w:pStyle w:val="TextBody"/>
        <w:spacing w:lineRule="auto" w:line="288" w:before="0" w:after="180"/>
        <w:jc w:val="both"/>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lineRule="auto" w:line="288" w:before="0" w:after="180"/>
        <w:jc w:val="both"/>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the registrant is a shell company (as defined in Rule 12b-2 of the Act). Yes ☐ No ☒</w:t>
      </w:r>
    </w:p>
    <w:p>
      <w:pPr>
        <w:pStyle w:val="TextBody"/>
        <w:spacing w:lineRule="auto" w:line="288" w:before="0" w:after="0"/>
        <w:jc w:val="both"/>
        <w:rPr/>
      </w:pPr>
      <w:r>
        <w:rPr>
          <w:rFonts w:ascii="Times New Roman;sans-serif" w:hAnsi="Times New Roman;sans-serif"/>
          <w:b w:val="false"/>
          <w:color w:val="000000"/>
          <w:sz w:val="14"/>
        </w:rPr>
        <w:t>The aggregate market value of the registrant’s shares of Class A common stock held by non-affiliates of the registrant as of January 31, 2021was approximately</w:t>
      </w:r>
      <w:r>
        <w:rPr>
          <w:color w:val="000000"/>
          <w:highlight w:val="white"/>
        </w:rPr>
        <w:t xml:space="preserve"> </w:t>
      </w:r>
      <w:r>
        <w:rPr>
          <w:rFonts w:ascii="Times New Roman;sans-serif" w:hAnsi="Times New Roman;sans-serif"/>
          <w:b w:val="false"/>
          <w:color w:val="000000"/>
          <w:sz w:val="14"/>
          <w:highlight w:val="white"/>
        </w:rPr>
        <w:t>$2.0 billion</w:t>
      </w:r>
      <w:r>
        <w:rPr>
          <w:rFonts w:ascii="Times New Roman;sans-serif" w:hAnsi="Times New Roman;sans-serif"/>
          <w:b w:val="false"/>
          <w:color w:val="000000"/>
          <w:sz w:val="14"/>
        </w:rPr>
        <w:t>, based on the closing price reported for such date on the New York Stock Exchange. The registrant has elected to use January 31, 2021 as the election date because on July 31, 2020 (the last business day of the registrant’s most recently completed second fiscal quarter), the registrant was a privately held company. Shares of common stock held by each executive officer, director and holder of 5% or more of the outstanding common stock have been excluded in that such persons may be deemed to be affiliates. This determination of affiliate status does not reflect a determination that such persons are affiliates of the registrant for any other purpose</w:t>
      </w:r>
      <w:r>
        <w:rPr>
          <w:rFonts w:ascii="Times New Roman;sans-serif" w:hAnsi="Times New Roman;sans-serif"/>
          <w:b w:val="false"/>
          <w:color w:val="000000"/>
          <w:sz w:val="20"/>
        </w:rPr>
        <w:t>.</w:t>
      </w:r>
    </w:p>
    <w:p>
      <w:pPr>
        <w:pStyle w:val="TextBody"/>
        <w:spacing w:before="0" w:after="180"/>
        <w:jc w:val="both"/>
        <w:rPr/>
      </w:pPr>
      <w:r>
        <w:rPr/>
      </w:r>
    </w:p>
    <w:p>
      <w:pPr>
        <w:pStyle w:val="TextBody"/>
        <w:spacing w:lineRule="auto" w:line="288" w:before="0" w:after="180"/>
        <w:jc w:val="both"/>
        <w:rPr>
          <w:rFonts w:ascii="Times New Roman;sans-serif" w:hAnsi="Times New Roman;sans-serif"/>
          <w:b w:val="false"/>
          <w:color w:val="000000"/>
          <w:sz w:val="14"/>
          <w:highlight w:val="white"/>
        </w:rPr>
      </w:pPr>
      <w:r>
        <w:rPr>
          <w:rFonts w:ascii="Times New Roman;sans-serif" w:hAnsi="Times New Roman;sans-serif"/>
          <w:b w:val="false"/>
          <w:color w:val="000000"/>
          <w:sz w:val="14"/>
          <w:highlight w:val="white"/>
        </w:rPr>
        <w:t>As of March 22, 2021, the number of shares of the registrant’s Class A common stock outstanding was 91,266,753 and the number of shares of the registrant’s Class B common stock outstanding was 71,785,101.</w:t>
      </w:r>
    </w:p>
    <w:p>
      <w:pPr>
        <w:pStyle w:val="TextBody"/>
        <w:spacing w:lineRule="auto" w:line="288" w:before="0" w:after="180"/>
        <w:jc w:val="center"/>
        <w:rPr>
          <w:rFonts w:ascii="Times New Roman;sans-serif" w:hAnsi="Times New Roman;sans-serif"/>
          <w:b/>
          <w:color w:val="000000"/>
          <w:sz w:val="14"/>
        </w:rPr>
      </w:pPr>
      <w:r>
        <w:rPr>
          <w:rFonts w:ascii="Times New Roman;sans-serif" w:hAnsi="Times New Roman;sans-serif"/>
          <w:b/>
          <w:color w:val="000000"/>
          <w:sz w:val="14"/>
        </w:rPr>
        <w:t>Documents incorporated by reference:</w:t>
      </w:r>
    </w:p>
    <w:p>
      <w:pPr>
        <w:pStyle w:val="TextBody"/>
        <w:spacing w:lineRule="auto" w:line="288" w:before="0" w:after="180"/>
        <w:jc w:val="both"/>
        <w:rPr>
          <w:rFonts w:ascii="Times New Roman;sans-serif" w:hAnsi="Times New Roman;sans-serif"/>
          <w:b w:val="false"/>
          <w:color w:val="000000"/>
          <w:sz w:val="14"/>
        </w:rPr>
      </w:pPr>
      <w:r>
        <w:rPr>
          <w:rFonts w:ascii="Times New Roman;sans-serif" w:hAnsi="Times New Roman;sans-serif"/>
          <w:b w:val="false"/>
          <w:color w:val="000000"/>
          <w:sz w:val="14"/>
        </w:rPr>
        <w:t>Portions of the registrant’s definitive Proxy Statement relating to the 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January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180"/>
        <w:ind w:left="0" w:right="0" w:firstLine="360"/>
        <w:jc w:val="both"/>
        <w:rPr/>
      </w:pPr>
      <w:r>
        <w:rPr/>
      </w:r>
    </w:p>
    <w:p>
      <w:pPr>
        <w:pStyle w:val="TextBody"/>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3504"/>
        <w:gridCol w:w="3063"/>
        <w:gridCol w:w="3125"/>
        <w:gridCol w:w="149"/>
        <w:gridCol w:w="149"/>
        <w:gridCol w:w="215"/>
      </w:tblGrid>
      <w:tr>
        <w:trPr/>
        <w:tc>
          <w:tcPr>
            <w:tcW w:w="3504" w:type="dxa"/>
            <w:tcBorders/>
            <w:shd w:fill="auto" w:val="clear"/>
            <w:vAlign w:val="center"/>
          </w:tcPr>
          <w:p>
            <w:pPr>
              <w:pStyle w:val="TableContents"/>
              <w:spacing w:before="0" w:after="283"/>
              <w:rPr>
                <w:sz w:val="4"/>
                <w:szCs w:val="4"/>
              </w:rPr>
            </w:pPr>
            <w:r>
              <w:rPr>
                <w:sz w:val="4"/>
                <w:szCs w:val="4"/>
              </w:rPr>
            </w:r>
          </w:p>
        </w:tc>
        <w:tc>
          <w:tcPr>
            <w:tcW w:w="3063" w:type="dxa"/>
            <w:tcBorders/>
            <w:shd w:fill="auto" w:val="clear"/>
            <w:vAlign w:val="center"/>
          </w:tcPr>
          <w:p>
            <w:pPr>
              <w:pStyle w:val="TableContents"/>
              <w:spacing w:before="0" w:after="283"/>
              <w:rPr>
                <w:sz w:val="4"/>
                <w:szCs w:val="4"/>
              </w:rPr>
            </w:pPr>
            <w:r>
              <w:rPr>
                <w:sz w:val="4"/>
                <w:szCs w:val="4"/>
              </w:rPr>
            </w:r>
          </w:p>
        </w:tc>
        <w:tc>
          <w:tcPr>
            <w:tcW w:w="312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96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7">
              <w:r>
                <w:rPr>
                  <w:rStyle w:val="InternetLink"/>
                  <w:rFonts w:ascii="Times New Roman;sans-serif" w:hAnsi="Times New Roman;sans-serif"/>
                  <w:b w:val="false"/>
                  <w:color w:val="0000FF"/>
                  <w:sz w:val="20"/>
                  <w:u w:val="single"/>
                </w:rPr>
                <w:t>Part I</w:t>
              </w:r>
            </w:hyperlink>
          </w:p>
        </w:tc>
        <w:tc>
          <w:tcPr>
            <w:tcW w:w="5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hyperlink w:anchor="ib0d26095cdc74b36b9b41ab79c125c4b_7">
              <w:r>
                <w:rPr>
                  <w:rStyle w:val="InternetLink"/>
                  <w:rFonts w:ascii="Times New Roman;sans-serif" w:hAnsi="Times New Roman;sans-serif"/>
                  <w:b w:val="false"/>
                  <w:color w:val="0000FF"/>
                  <w:sz w:val="20"/>
                  <w:u w:val="single"/>
                </w:rPr>
                <w:t>6</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10">
              <w:r>
                <w:rPr>
                  <w:rStyle w:val="InternetLink"/>
                  <w:rFonts w:ascii="Times New Roman;sans-serif" w:hAnsi="Times New Roman;sans-serif"/>
                  <w:b w:val="false"/>
                  <w:color w:val="0000FF"/>
                  <w:sz w:val="20"/>
                  <w:u w:val="single"/>
                </w:rPr>
                <w:t>Item 1. Business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10">
              <w:r>
                <w:rPr>
                  <w:rStyle w:val="InternetLink"/>
                  <w:rFonts w:ascii="Times New Roman;sans-serif" w:hAnsi="Times New Roman;sans-serif"/>
                  <w:b w:val="false"/>
                  <w:color w:val="0000FF"/>
                  <w:sz w:val="20"/>
                  <w:u w:val="single"/>
                </w:rPr>
                <w:t>6</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13">
              <w:r>
                <w:rPr>
                  <w:rStyle w:val="InternetLink"/>
                  <w:rFonts w:ascii="Times New Roman;sans-serif" w:hAnsi="Times New Roman;sans-serif"/>
                  <w:b w:val="false"/>
                  <w:color w:val="0000FF"/>
                  <w:sz w:val="20"/>
                  <w:u w:val="single"/>
                </w:rPr>
                <w:t>Item 1A. Risk Factors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13">
              <w:r>
                <w:rPr>
                  <w:rStyle w:val="InternetLink"/>
                  <w:rFonts w:ascii="Times New Roman;sans-serif" w:hAnsi="Times New Roman;sans-serif"/>
                  <w:b w:val="false"/>
                  <w:color w:val="0000FF"/>
                  <w:sz w:val="20"/>
                  <w:u w:val="single"/>
                </w:rPr>
                <w:t>19</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16">
              <w:r>
                <w:rPr>
                  <w:rStyle w:val="InternetLink"/>
                  <w:rFonts w:ascii="Times New Roman;sans-serif" w:hAnsi="Times New Roman;sans-serif"/>
                  <w:b w:val="false"/>
                  <w:color w:val="0000FF"/>
                  <w:sz w:val="20"/>
                  <w:u w:val="single"/>
                </w:rPr>
                <w:t>Item 1B. Unresolved Staff Comments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16">
              <w:r>
                <w:rPr>
                  <w:rStyle w:val="InternetLink"/>
                  <w:rFonts w:ascii="Times New Roman;sans-serif" w:hAnsi="Times New Roman;sans-serif"/>
                  <w:b w:val="false"/>
                  <w:color w:val="0000FF"/>
                  <w:sz w:val="20"/>
                  <w:u w:val="single"/>
                </w:rPr>
                <w:t>48</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19">
              <w:r>
                <w:rPr>
                  <w:rStyle w:val="InternetLink"/>
                  <w:rFonts w:ascii="Times New Roman;sans-serif" w:hAnsi="Times New Roman;sans-serif"/>
                  <w:b w:val="false"/>
                  <w:color w:val="0000FF"/>
                  <w:sz w:val="20"/>
                  <w:u w:val="single"/>
                </w:rPr>
                <w:t>Item 2. Properties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19">
              <w:r>
                <w:rPr>
                  <w:rStyle w:val="InternetLink"/>
                  <w:rFonts w:ascii="Times New Roman;sans-serif" w:hAnsi="Times New Roman;sans-serif"/>
                  <w:b w:val="false"/>
                  <w:color w:val="0000FF"/>
                  <w:sz w:val="20"/>
                  <w:u w:val="single"/>
                </w:rPr>
                <w:t>48</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22">
              <w:r>
                <w:rPr>
                  <w:rStyle w:val="InternetLink"/>
                  <w:rFonts w:ascii="Times New Roman;sans-serif" w:hAnsi="Times New Roman;sans-serif"/>
                  <w:b w:val="false"/>
                  <w:color w:val="0000FF"/>
                  <w:sz w:val="20"/>
                  <w:u w:val="single"/>
                </w:rPr>
                <w:t>Item 3. Legal Proceedings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22">
              <w:r>
                <w:rPr>
                  <w:rStyle w:val="InternetLink"/>
                  <w:rFonts w:ascii="Times New Roman;sans-serif" w:hAnsi="Times New Roman;sans-serif"/>
                  <w:b w:val="false"/>
                  <w:color w:val="0000FF"/>
                  <w:sz w:val="20"/>
                  <w:u w:val="single"/>
                </w:rPr>
                <w:t>50</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25">
              <w:r>
                <w:rPr>
                  <w:rStyle w:val="InternetLink"/>
                  <w:rFonts w:ascii="Times New Roman;sans-serif" w:hAnsi="Times New Roman;sans-serif"/>
                  <w:b w:val="false"/>
                  <w:color w:val="0000FF"/>
                  <w:sz w:val="20"/>
                  <w:u w:val="single"/>
                </w:rPr>
                <w:t>Item 4. Mine Safety Disclosures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25">
              <w:r>
                <w:rPr>
                  <w:rStyle w:val="InternetLink"/>
                  <w:rFonts w:ascii="Times New Roman;sans-serif" w:hAnsi="Times New Roman;sans-serif"/>
                  <w:b w:val="false"/>
                  <w:color w:val="0000FF"/>
                  <w:sz w:val="20"/>
                  <w:u w:val="single"/>
                </w:rPr>
                <w:t>50</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28">
              <w:r>
                <w:rPr>
                  <w:rStyle w:val="InternetLink"/>
                  <w:rFonts w:ascii="Times New Roman;sans-serif" w:hAnsi="Times New Roman;sans-serif"/>
                  <w:b w:val="false"/>
                  <w:color w:val="0000FF"/>
                  <w:sz w:val="20"/>
                  <w:u w:val="single"/>
                </w:rPr>
                <w:t>Part II</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28">
              <w:r>
                <w:rPr>
                  <w:rStyle w:val="InternetLink"/>
                  <w:rFonts w:ascii="Times New Roman;sans-serif" w:hAnsi="Times New Roman;sans-serif"/>
                  <w:b w:val="false"/>
                  <w:color w:val="0000FF"/>
                  <w:sz w:val="20"/>
                  <w:u w:val="single"/>
                </w:rPr>
                <w:t>51</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31">
              <w:r>
                <w:rPr>
                  <w:rStyle w:val="InternetLink"/>
                  <w:rFonts w:ascii="Times New Roman;sans-serif" w:hAnsi="Times New Roman;sans-serif"/>
                  <w:b w:val="false"/>
                  <w:color w:val="0000FF"/>
                  <w:sz w:val="20"/>
                  <w:u w:val="single"/>
                </w:rPr>
                <w:t>Item 5. Market for Registrant’s Common Equity, Related Stockholder Matters and Issuer Purchases of Equity Securities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31">
              <w:r>
                <w:rPr>
                  <w:rStyle w:val="InternetLink"/>
                  <w:rFonts w:ascii="Times New Roman;sans-serif" w:hAnsi="Times New Roman;sans-serif"/>
                  <w:b w:val="false"/>
                  <w:color w:val="0000FF"/>
                  <w:sz w:val="20"/>
                  <w:u w:val="single"/>
                </w:rPr>
                <w:t>51</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34">
              <w:r>
                <w:rPr>
                  <w:rStyle w:val="InternetLink"/>
                  <w:rFonts w:ascii="Times New Roman;sans-serif" w:hAnsi="Times New Roman;sans-serif"/>
                  <w:b w:val="false"/>
                  <w:color w:val="0000FF"/>
                  <w:sz w:val="20"/>
                  <w:u w:val="single"/>
                </w:rPr>
                <w:t>Item 6. Selected Financial Data</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34">
              <w:r>
                <w:rPr>
                  <w:rStyle w:val="InternetLink"/>
                  <w:rFonts w:ascii="Times New Roman;sans-serif" w:hAnsi="Times New Roman;sans-serif"/>
                  <w:b w:val="false"/>
                  <w:color w:val="0000FF"/>
                  <w:sz w:val="20"/>
                  <w:u w:val="single"/>
                </w:rPr>
                <w:t>53</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37">
              <w:r>
                <w:rPr>
                  <w:rStyle w:val="InternetLink"/>
                  <w:rFonts w:ascii="Times New Roman;sans-serif" w:hAnsi="Times New Roman;sans-serif"/>
                  <w:b w:val="false"/>
                  <w:color w:val="0000FF"/>
                  <w:sz w:val="20"/>
                  <w:u w:val="single"/>
                </w:rPr>
                <w:t>Item 7. Management’s Discussion and Analysis of Financial Condition and Results of Operations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37">
              <w:r>
                <w:rPr>
                  <w:rStyle w:val="InternetLink"/>
                  <w:rFonts w:ascii="Times New Roman;sans-serif" w:hAnsi="Times New Roman;sans-serif"/>
                  <w:b w:val="false"/>
                  <w:color w:val="0000FF"/>
                  <w:sz w:val="20"/>
                  <w:u w:val="single"/>
                </w:rPr>
                <w:t>54</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76">
              <w:r>
                <w:rPr>
                  <w:rStyle w:val="InternetLink"/>
                  <w:rFonts w:ascii="Times New Roman;sans-serif" w:hAnsi="Times New Roman;sans-serif"/>
                  <w:b w:val="false"/>
                  <w:color w:val="0000FF"/>
                  <w:sz w:val="20"/>
                  <w:u w:val="single"/>
                </w:rPr>
                <w:t>Item 7A. Quantitative and Qualitative Disclosures about Market Risk</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76">
              <w:r>
                <w:rPr>
                  <w:rStyle w:val="InternetLink"/>
                  <w:rFonts w:ascii="Times New Roman;sans-serif" w:hAnsi="Times New Roman;sans-serif"/>
                  <w:b w:val="false"/>
                  <w:color w:val="0000FF"/>
                  <w:sz w:val="20"/>
                  <w:u w:val="single"/>
                </w:rPr>
                <w:t>72</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79">
              <w:r>
                <w:rPr>
                  <w:rStyle w:val="InternetLink"/>
                  <w:rFonts w:ascii="Times New Roman;sans-serif" w:hAnsi="Times New Roman;sans-serif"/>
                  <w:b w:val="false"/>
                  <w:color w:val="0000FF"/>
                  <w:sz w:val="20"/>
                  <w:u w:val="single"/>
                </w:rPr>
                <w:t>Item 8. Financial Statements and Supplementary Data</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79">
              <w:r>
                <w:rPr>
                  <w:rStyle w:val="InternetLink"/>
                  <w:rFonts w:ascii="Times New Roman;sans-serif" w:hAnsi="Times New Roman;sans-serif"/>
                  <w:b w:val="false"/>
                  <w:color w:val="0000FF"/>
                  <w:sz w:val="20"/>
                  <w:u w:val="single"/>
                </w:rPr>
                <w:t>74</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154">
              <w:r>
                <w:rPr>
                  <w:rStyle w:val="InternetLink"/>
                  <w:rFonts w:ascii="Times New Roman;sans-serif" w:hAnsi="Times New Roman;sans-serif"/>
                  <w:b w:val="false"/>
                  <w:color w:val="0000FF"/>
                  <w:sz w:val="20"/>
                  <w:u w:val="single"/>
                </w:rPr>
                <w:t xml:space="preserve">Item 9. Changes in and Disagreements With Accountants on Accounting and Financial Disclosures </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154">
              <w:r>
                <w:rPr>
                  <w:rStyle w:val="InternetLink"/>
                  <w:rFonts w:ascii="Times New Roman;sans-serif" w:hAnsi="Times New Roman;sans-serif"/>
                  <w:b w:val="false"/>
                  <w:color w:val="0000FF"/>
                  <w:sz w:val="20"/>
                  <w:u w:val="single"/>
                </w:rPr>
                <w:t>109</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157">
              <w:r>
                <w:rPr>
                  <w:rStyle w:val="InternetLink"/>
                  <w:rFonts w:ascii="Times New Roman;sans-serif" w:hAnsi="Times New Roman;sans-serif"/>
                  <w:b w:val="false"/>
                  <w:color w:val="0000FF"/>
                  <w:sz w:val="20"/>
                  <w:u w:val="single"/>
                </w:rPr>
                <w:t xml:space="preserve">Item 9A. Controls and Procedures </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157">
              <w:r>
                <w:rPr>
                  <w:rStyle w:val="InternetLink"/>
                  <w:rFonts w:ascii="Times New Roman;sans-serif" w:hAnsi="Times New Roman;sans-serif"/>
                  <w:b w:val="false"/>
                  <w:color w:val="0000FF"/>
                  <w:sz w:val="20"/>
                  <w:u w:val="single"/>
                </w:rPr>
                <w:t>109</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160">
              <w:r>
                <w:rPr>
                  <w:rStyle w:val="InternetLink"/>
                  <w:rFonts w:ascii="Times New Roman;sans-serif" w:hAnsi="Times New Roman;sans-serif"/>
                  <w:b w:val="false"/>
                  <w:color w:val="0000FF"/>
                  <w:sz w:val="20"/>
                  <w:u w:val="single"/>
                </w:rPr>
                <w:t>Item 9B. Other Information</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160">
              <w:r>
                <w:rPr>
                  <w:rStyle w:val="InternetLink"/>
                  <w:rFonts w:ascii="Times New Roman;sans-serif" w:hAnsi="Times New Roman;sans-serif"/>
                  <w:b w:val="false"/>
                  <w:color w:val="0000FF"/>
                  <w:sz w:val="20"/>
                  <w:u w:val="single"/>
                </w:rPr>
                <w:t>110</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163">
              <w:r>
                <w:rPr>
                  <w:rStyle w:val="InternetLink"/>
                  <w:rFonts w:ascii="Times New Roman;sans-serif" w:hAnsi="Times New Roman;sans-serif"/>
                  <w:b w:val="false"/>
                  <w:color w:val="0000FF"/>
                  <w:sz w:val="20"/>
                  <w:u w:val="single"/>
                </w:rPr>
                <w:t>Part III</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163">
              <w:r>
                <w:rPr>
                  <w:rStyle w:val="InternetLink"/>
                  <w:rFonts w:ascii="Times New Roman;sans-serif" w:hAnsi="Times New Roman;sans-serif"/>
                  <w:b w:val="false"/>
                  <w:color w:val="0000FF"/>
                  <w:sz w:val="20"/>
                  <w:u w:val="single"/>
                </w:rPr>
                <w:t>111</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166">
              <w:r>
                <w:rPr>
                  <w:rStyle w:val="InternetLink"/>
                  <w:rFonts w:ascii="Times New Roman;sans-serif" w:hAnsi="Times New Roman;sans-serif"/>
                  <w:b w:val="false"/>
                  <w:color w:val="0000FF"/>
                  <w:sz w:val="20"/>
                  <w:u w:val="single"/>
                </w:rPr>
                <w:t>Item 10. Directors, Executive Officers and Corporate Governance</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166">
              <w:r>
                <w:rPr>
                  <w:rStyle w:val="InternetLink"/>
                  <w:rFonts w:ascii="Times New Roman;sans-serif" w:hAnsi="Times New Roman;sans-serif"/>
                  <w:b w:val="false"/>
                  <w:color w:val="0000FF"/>
                  <w:sz w:val="20"/>
                  <w:u w:val="single"/>
                </w:rPr>
                <w:t>111</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169">
              <w:r>
                <w:rPr>
                  <w:rStyle w:val="InternetLink"/>
                  <w:rFonts w:ascii="Times New Roman;sans-serif" w:hAnsi="Times New Roman;sans-serif"/>
                  <w:b w:val="false"/>
                  <w:color w:val="0000FF"/>
                  <w:sz w:val="20"/>
                  <w:u w:val="single"/>
                </w:rPr>
                <w:t>Item 11. Executive Compensation</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169">
              <w:r>
                <w:rPr>
                  <w:rStyle w:val="InternetLink"/>
                  <w:rFonts w:ascii="Times New Roman;sans-serif" w:hAnsi="Times New Roman;sans-serif"/>
                  <w:b w:val="false"/>
                  <w:color w:val="0000FF"/>
                  <w:sz w:val="20"/>
                  <w:u w:val="single"/>
                </w:rPr>
                <w:t>112</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172">
              <w:r>
                <w:rPr>
                  <w:rStyle w:val="InternetLink"/>
                  <w:rFonts w:ascii="Times New Roman;sans-serif" w:hAnsi="Times New Roman;sans-serif"/>
                  <w:b w:val="false"/>
                  <w:color w:val="0000FF"/>
                  <w:sz w:val="20"/>
                  <w:u w:val="single"/>
                </w:rPr>
                <w:t>Item 12. Security Ownership of Certain Beneficial Owner and Management and Related Stockholder Matters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172">
              <w:r>
                <w:rPr>
                  <w:rStyle w:val="InternetLink"/>
                  <w:rFonts w:ascii="Times New Roman;sans-serif" w:hAnsi="Times New Roman;sans-serif"/>
                  <w:b w:val="false"/>
                  <w:color w:val="0000FF"/>
                  <w:sz w:val="20"/>
                  <w:u w:val="single"/>
                </w:rPr>
                <w:t>112</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175">
              <w:r>
                <w:rPr>
                  <w:rStyle w:val="InternetLink"/>
                  <w:rFonts w:ascii="Times New Roman;sans-serif" w:hAnsi="Times New Roman;sans-serif"/>
                  <w:b w:val="false"/>
                  <w:color w:val="0000FF"/>
                  <w:sz w:val="20"/>
                  <w:u w:val="single"/>
                </w:rPr>
                <w:t>Item 13. Certain Relationships and Related Transactions, and Director Independence</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175">
              <w:r>
                <w:rPr>
                  <w:rStyle w:val="InternetLink"/>
                  <w:rFonts w:ascii="Times New Roman;sans-serif" w:hAnsi="Times New Roman;sans-serif"/>
                  <w:b w:val="false"/>
                  <w:color w:val="0000FF"/>
                  <w:sz w:val="20"/>
                  <w:u w:val="single"/>
                </w:rPr>
                <w:t>113</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178">
              <w:r>
                <w:rPr>
                  <w:rStyle w:val="InternetLink"/>
                  <w:rFonts w:ascii="Times New Roman;sans-serif" w:hAnsi="Times New Roman;sans-serif"/>
                  <w:b w:val="false"/>
                  <w:color w:val="0000FF"/>
                  <w:sz w:val="20"/>
                  <w:u w:val="single"/>
                </w:rPr>
                <w:t xml:space="preserve">Item 14. Principal Accounting Fees and Services </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178">
              <w:r>
                <w:rPr>
                  <w:rStyle w:val="InternetLink"/>
                  <w:rFonts w:ascii="Times New Roman;sans-serif" w:hAnsi="Times New Roman;sans-serif"/>
                  <w:b w:val="false"/>
                  <w:color w:val="0000FF"/>
                  <w:sz w:val="20"/>
                  <w:u w:val="single"/>
                </w:rPr>
                <w:t>113</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181">
              <w:r>
                <w:rPr>
                  <w:rStyle w:val="InternetLink"/>
                  <w:rFonts w:ascii="Times New Roman;sans-serif" w:hAnsi="Times New Roman;sans-serif"/>
                  <w:b w:val="false"/>
                  <w:color w:val="0000FF"/>
                  <w:sz w:val="20"/>
                  <w:u w:val="single"/>
                </w:rPr>
                <w:t>Part IV</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181">
              <w:r>
                <w:rPr>
                  <w:rStyle w:val="InternetLink"/>
                  <w:rFonts w:ascii="Times New Roman;sans-serif" w:hAnsi="Times New Roman;sans-serif"/>
                  <w:b w:val="false"/>
                  <w:color w:val="0000FF"/>
                  <w:sz w:val="20"/>
                  <w:u w:val="single"/>
                </w:rPr>
                <w:t>114</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184">
              <w:r>
                <w:rPr>
                  <w:rStyle w:val="InternetLink"/>
                  <w:rFonts w:ascii="Times New Roman;sans-serif" w:hAnsi="Times New Roman;sans-serif"/>
                  <w:b w:val="false"/>
                  <w:color w:val="0000FF"/>
                  <w:sz w:val="20"/>
                  <w:u w:val="single"/>
                </w:rPr>
                <w:t xml:space="preserve">Item 15. Exhibits, Financial Statement Schedules </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184">
              <w:r>
                <w:rPr>
                  <w:rStyle w:val="InternetLink"/>
                  <w:rFonts w:ascii="Times New Roman;sans-serif" w:hAnsi="Times New Roman;sans-serif"/>
                  <w:b w:val="false"/>
                  <w:color w:val="0000FF"/>
                  <w:sz w:val="20"/>
                  <w:u w:val="single"/>
                </w:rPr>
                <w:t>114</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187">
              <w:r>
                <w:rPr>
                  <w:rStyle w:val="InternetLink"/>
                  <w:rFonts w:ascii="Times New Roman;sans-serif" w:hAnsi="Times New Roman;sans-serif"/>
                  <w:b w:val="false"/>
                  <w:color w:val="0000FF"/>
                  <w:sz w:val="20"/>
                  <w:u w:val="single"/>
                </w:rPr>
                <w:t>Item 16. Form 10K Summary</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187">
              <w:r>
                <w:rPr>
                  <w:rStyle w:val="InternetLink"/>
                  <w:rFonts w:ascii="Times New Roman;sans-serif" w:hAnsi="Times New Roman;sans-serif"/>
                  <w:b w:val="false"/>
                  <w:color w:val="0000FF"/>
                  <w:sz w:val="20"/>
                  <w:u w:val="single"/>
                </w:rPr>
                <w:t>115</w:t>
              </w:r>
            </w:hyperlink>
          </w:p>
        </w:tc>
      </w:tr>
      <w:tr>
        <w:trPr/>
        <w:tc>
          <w:tcPr>
            <w:tcW w:w="96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190">
              <w:r>
                <w:rPr>
                  <w:rStyle w:val="InternetLink"/>
                  <w:rFonts w:ascii="Times New Roman;sans-serif" w:hAnsi="Times New Roman;sans-serif"/>
                  <w:b w:val="false"/>
                  <w:color w:val="0000FF"/>
                  <w:sz w:val="20"/>
                  <w:u w:val="single"/>
                </w:rPr>
                <w:t>Signatures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d26095cdc74b36b9b41ab79c125c4b_190">
              <w:r>
                <w:rPr>
                  <w:rStyle w:val="InternetLink"/>
                  <w:rFonts w:ascii="Times New Roman;sans-serif" w:hAnsi="Times New Roman;sans-serif"/>
                  <w:b w:val="false"/>
                  <w:color w:val="0000FF"/>
                  <w:sz w:val="20"/>
                  <w:u w:val="single"/>
                </w:rPr>
                <w:t>116</w:t>
              </w:r>
            </w:hyperlink>
          </w:p>
        </w:tc>
      </w:tr>
    </w:tbl>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w:t>
      </w:r>
    </w:p>
    <w:p>
      <w:pPr>
        <w:pStyle w:val="TextBody"/>
        <w:spacing w:before="0" w:after="180"/>
        <w:ind w:left="0" w:right="0" w:firstLine="360"/>
        <w:jc w:val="both"/>
        <w:rPr/>
      </w:pPr>
      <w:r>
        <w:rPr/>
      </w:r>
    </w:p>
    <w:p>
      <w:pPr>
        <w:pStyle w:val="TextBody"/>
        <w:spacing w:before="0" w:after="180"/>
        <w:ind w:left="0" w:right="0" w:firstLine="360"/>
        <w:jc w:val="both"/>
        <w:rPr/>
      </w:pPr>
      <w:r>
        <w:rPr/>
      </w:r>
    </w:p>
    <w:p>
      <w:pPr>
        <w:pStyle w:val="TextBody"/>
        <w:spacing w:before="0" w:after="180"/>
        <w:ind w:left="0" w:right="0" w:firstLine="360"/>
        <w:jc w:val="both"/>
        <w:rPr/>
      </w:pPr>
      <w:r>
        <w:rPr/>
      </w:r>
    </w:p>
    <w:p>
      <w:pPr>
        <w:pStyle w:val="TextBody"/>
        <w:spacing w:before="0" w:after="180"/>
        <w:ind w:left="0" w:right="0" w:firstLine="360"/>
        <w:jc w:val="both"/>
        <w:rPr/>
      </w:pPr>
      <w:r>
        <w:rPr/>
      </w:r>
    </w:p>
    <w:p>
      <w:pPr>
        <w:pStyle w:val="TextBody"/>
        <w:spacing w:before="0" w:after="180"/>
        <w:ind w:left="0" w:right="0" w:firstLine="360"/>
        <w:jc w:val="both"/>
        <w:rPr/>
      </w:pPr>
      <w:r>
        <w:rPr/>
      </w:r>
    </w:p>
    <w:p>
      <w:pPr>
        <w:pStyle w:val="TextBody"/>
        <w:spacing w:before="0" w:after="180"/>
        <w:ind w:left="0" w:right="0" w:firstLine="360"/>
        <w:jc w:val="both"/>
        <w:rPr/>
      </w:pPr>
      <w:r>
        <w:rPr/>
      </w:r>
    </w:p>
    <w:p>
      <w:pPr>
        <w:pStyle w:val="TextBody"/>
        <w:spacing w:before="0" w:after="180"/>
        <w:ind w:left="0" w:right="0" w:firstLine="360"/>
        <w:jc w:val="both"/>
        <w:rPr/>
      </w:pPr>
      <w:r>
        <w:rPr/>
      </w:r>
    </w:p>
    <w:p>
      <w:pPr>
        <w:pStyle w:val="TextBody"/>
        <w:spacing w:before="0" w:after="180"/>
        <w:ind w:left="0" w:right="0" w:firstLine="360"/>
        <w:jc w:val="both"/>
        <w:rPr/>
      </w:pPr>
      <w:r>
        <w:rPr/>
      </w:r>
    </w:p>
    <w:p>
      <w:pPr>
        <w:pStyle w:val="TextBody"/>
        <w:spacing w:before="0" w:after="18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“will,” or “would” or the negative of these words or other similar terms or expressions. Forward-looking statements contained in this Annual Report on Form 10-K include, but are not limited to, statements about: our ability to grow or maintain our dollar-based net retention rate, expand usage of our platform within organizations, and sell subscriptions to our platform; our ability to convert individuals, teams, and organizations on our free and trial versions into paying customers; the timing and success of new features, integrations, capabilities, and enhancements by us, or by our competitors to their products, or any other changes in the competitive landscape of our market; our ability to achieve widespread acceptance and use of our platform; growth in the work management market; the amount and timing of operating expenses and capital expenditures, as well as entry into operating leases, that we may incur to maintain and expand our business and operations and to remain competitive; our focus on growth to drive long-term value; the timing of expenses and our expectations regarding our cost of revenues, gross margin, and operating expenses; the effect of uncertainties related to the global COVID-19 pandemic on our business, results of operations, and financial condition; expansion of our sales and marketing activities; our protections against security breaches, technical difficulties, or interruptions to our platform; our ability to successfully defend litigation brought against us, potential dispute-related settlement payments, or other litigation-related costs; our expectations about additional hiring; potential pricing pressure as a result of competition or otherwise; anticipated fluctuations in foreign currency exchange rates; potential costs and the anticipated timing of expenses related to the acquisition of businesses, talent, technologies, or intellectual property, including potentially significant amortization costs and possible write-downs; and general economic conditions in either domestic or international markets, including the societal and economic impact of the COVID-19 pandemic, including on the rate of global IT spending, and geopolitical uncertainty and instability.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Annual Report on Form 10-K relate only to events as of the date on which the statements are made. We undertake no obligation to update any forward-looking statements made in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Annual Report on Form 10-K and the documents that we reference in this Annual Report on Form 10-K and have filed with the Securities and Exchange Commission (the “SEC”) as exhibits to this Annual Report on Form 10-K with the understanding that our actual future results, levels of activity, performance, and events and circumstances may be materially different from what we expect.</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180"/>
        <w:ind w:left="0" w:right="0" w:firstLine="360"/>
        <w:jc w:val="both"/>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all references in this Annual Report on Form 10-K to “we,” “us,” “our,” “our company,” and “Asana” refer to Asana, Inc. and its consolidated subsidiaries. The Asana design logo, “Asana,” and our other registered or common law trademarks, service marks, or trade names appearing in this Annual Report on Form 10-K are the property of Asana, Inc. Other trade names, trademarks, and service marks used in this Annual Report on Form 10-K are the property of their respective owners.</w:t>
      </w:r>
    </w:p>
    <w:p>
      <w:pPr>
        <w:pStyle w:val="TextBody"/>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SUMMARY OF RISKS AFFECTING OUR BUSINESS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Investing in our common stock involves numerous risks, including the risks described in “Part I—Item 1A. Risk Factors” of this Annual Report on Form 10-K. Below are some of these risks, any one of which could materially adversely affect our business, financial condition, results of operations, and prospects.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We have experienced rapid growth in recent periods, and our recent growth rates may not be indicative of our future growth.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have a limited operating history at our current scale, which makes it difficult to evaluate our future prospects and may increase the risk that we will not be successful.</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have a history of losses and may not be able to achieve profitability or, if achieved, sustain profitability.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believe our long-term value as a company will be greater if we focus on growth, which may negatively impact our profitability in the near and medium term.</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quarterly results may fluctuate significantly and may not meet our expectations or those of investors or securities analysts.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COVID-19 pandemic has affected how we, our partners, and our customers operate and has adversely affected the global economy, and the duration and extent to which this will affect our business, future results of operations, and financial condition remains uncertain.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the market for work management solutions develops more slowly than we expect or declines, our business would be adversely affected, and the estimates of market opportunity and forecasts of market growth may prove to be inaccurate.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operate in a highly competitive industry, and competition presents an ongoing threat to the success of our business.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Failure to effectively develop and expand our direct sales capabilities would harm our ability to expand usage of our platform within our customer base and achieve broader market acceptance of our platform.</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loss of one or more of our key personnel, in particular our co-founder, President, Chief Executive Officer, and Chair, Dustin Moskovitz, would harm our business.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must continue to attract and retain highly qualified personnel in very competitive markets to continue to execute on our business strategy and growth plans.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failure to protect our sites, networks, and systems against security breaches, or otherwise to protect our confidential information or the confidential information of our users, customers, or other third parties, would damage our reputation and brand, and substantially harm our business and results of operations.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180"/>
        <w:ind w:left="0" w:right="0" w:firstLine="360"/>
        <w:jc w:val="both"/>
        <w:rPr/>
      </w:pPr>
      <w:r>
        <w:rPr/>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we fail to manage our technical operations infrastructure, or experience service outages, interruptions, or delays in the deployment of our platform, our results of operations may be harmed.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we are unable to ensure that our platform interoperates with a variety of software applications that are developed by others, including our integration partners, we may become less competitive and our results of operations may be harmed.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culture has contributed to our success, and if we cannot maintain this culture as we grow, we could lose the high employee engagement fostered by our culture, which could harm our business.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business depends on a strong brand, and if we are not able to maintain and enhance our brand, our ability to expand our base of customers may be impaired, and our business and results of operations will be harmed.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rely on third parties maintaining open marketplaces to distribute our mobile application. If such third parties interfere with the distribution of our platform, our business would be adversely affected.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Sales to customers outside the United States and our international operations expose us to risks inherent in international sales and operations.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trading price of our Class A common stock may be volatile and may decline regardless of our operating performance.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dual class structure of our common stock has the effect of concentrating voting control with those stockholders who held our capital stock prior to the listing of our Class A common stock on the New York Stock Exchange (“NYSE”), including our founders, directors, executive officers, and their respective affiliates, limiting or precluding your ability to influence corporate matters.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Sales of substantial amounts of our Class A common stock in the public markets, or the perception that sales might occur, could cause the market price of our Class A common stock to decline.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adequately address these and other risks we face, our business, results of operations, and financial condition may be harmed.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 xml:space="preserve">Item 1. Business </w:t>
      </w: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mission is to help humanity thrive by enabling the world’s teams to work together effortlessly. </w:t>
      </w:r>
    </w:p>
    <w:p>
      <w:pPr>
        <w:pStyle w:val="TextBody"/>
        <w:spacing w:lineRule="auto" w:line="288" w:before="0" w:after="180"/>
        <w:ind w:left="0" w:right="0" w:firstLine="360"/>
        <w:jc w:val="both"/>
        <w:rPr/>
      </w:pPr>
      <w:r>
        <w:rPr>
          <w:rFonts w:ascii="Times New Roman;sans-serif" w:hAnsi="Times New Roman;sans-serif"/>
          <w:b w:val="false"/>
          <w:color w:val="000000"/>
          <w:sz w:val="20"/>
        </w:rPr>
        <w:t>Asana is a work management platform that helps teams orchestrate work, from daily tasks to cross-functional strategic initia</w:t>
      </w:r>
      <w:r>
        <w:rPr>
          <w:rFonts w:ascii="Times New Roman;sans-serif" w:hAnsi="Times New Roman;sans-serif"/>
          <w:b w:val="false"/>
          <w:color w:val="000000"/>
          <w:sz w:val="20"/>
          <w:highlight w:val="white"/>
        </w:rPr>
        <w:t>tives. Over 93,000 paying customers us</w:t>
      </w:r>
      <w:r>
        <w:rPr>
          <w:rFonts w:ascii="Times New Roman;sans-serif" w:hAnsi="Times New Roman;sans-serif"/>
          <w:b w:val="false"/>
          <w:color w:val="000000"/>
          <w:sz w:val="20"/>
        </w:rPr>
        <w:t xml:space="preserve">e Asana to manage everything from product launches to marketing campaigns to organization-wide goal setting. Our platform adds structure to unstructured work, creating clarity, transparency, and accountability to everyone within an organization—individuals, team leads, and executives—so they understand exactly who is doing what, by when.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History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started Asana because our co-founders experienced firsthand the growing problem of work about work. While at Facebook, they saw the coordination challenges the company faced as it scaled. Instead of spending time on work that generated results, they were spending time in status meetings and long email threads trying to figure out who was responsible for what. They recognized the pain of work about work was universal to teams that need to coordinate their work effectively to achieve their objectives. Yet there were no products in the market that adequately addressed this pain. As a result of that frustration, they were inspired to create Asana to solve this problem for the world’s teams. </w:t>
      </w:r>
    </w:p>
    <w:p>
      <w:pPr>
        <w:pStyle w:val="TextBody"/>
        <w:spacing w:lineRule="auto" w:line="288" w:before="0" w:after="180"/>
        <w:ind w:left="0" w:right="0" w:firstLine="360"/>
        <w:jc w:val="both"/>
        <w:rPr/>
      </w:pPr>
      <w:r>
        <w:rPr>
          <w:rFonts w:ascii="Times New Roman;sans-serif" w:hAnsi="Times New Roman;sans-serif"/>
          <w:b w:val="false"/>
          <w:color w:val="000000"/>
          <w:sz w:val="20"/>
        </w:rPr>
        <w:t>Since our inception, over 30 million users have registered on Asana and millions of teams in virtually every country around the world have used Asana. With Asana, users experience higher productivity, which has led to rapid adoption across teams, departments, and organizations.</w:t>
      </w:r>
      <w:r>
        <w:rPr>
          <w:color w:val="000000"/>
          <w:highlight w:val="white"/>
        </w:rPr>
        <w:t xml:space="preserve"> </w:t>
      </w:r>
      <w:r>
        <w:rPr>
          <w:rFonts w:ascii="Times New Roman;sans-serif" w:hAnsi="Times New Roman;sans-serif"/>
          <w:b w:val="false"/>
          <w:color w:val="000000"/>
          <w:sz w:val="20"/>
          <w:highlight w:val="white"/>
        </w:rPr>
        <w:t xml:space="preserve">As of January 31, 2021, we had over 1.5 million paid users.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Teams Spend Too Much Time on Work About Work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Work continues to get harder to manage as organizations try to move faster to accomplish ambitious goals and respond to changing market demands. Today, 60% of knowledge workers’ time is spent on work about work. Moreover, coordinating work within and across teams is chaotic. Without a system of record, teams move slowly, miss deadlines, and fail to live up to their full potential. At work, people face an overwhelming volume of communications from email and messaging applications, many of which are asking for status updates. These messages often provide limited clarity around what steps need to be taken, and by when, and limited accountability around who owns the action. As a result, requests go unanswered, and employees spend more time searching and responding to messages in an attempt to provide clarity and accountability to their teams. These emails and messages only give teams momentary clarity about specific deliverables or actions, and as such they do not provide a holistic, persistent, and referenceable plan of record that can be easily or quickly accessed.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minimize work about work, reduce chaos, and give individuals time back to focus on the work that matters, teams need a purpose-built solution for coordination. Despite the growth in collaboration technology such as content tools and messaging apps, there has been little innovation in work management—systems that help teams to plan, manage, and execute their work.</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How Asana Helps Teams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Asana is a system of record for work. This system collects and structures institutional knowledge about how past work was completed and provides a real-time plan and roadmap for current and future initiatives. Our platform is built on our proprietary, multi-dimensional data model, which we call the Asana Work Graph data model. The Asana Work Graph captures and associates: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units of work—tasks, projects, milestones, portfolios, and goals;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people responsible for executing those units of work;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processes in which work gets done—rules and templates;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information about that work—files, comments, status, and metadata; and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relationships across and within this data.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data model provides individuals, team leads, and executives with dynamic views into the work that is most relevant to them—across multiple people and projects—all based on the same underlying data in the Asana Work Graph. Individuals can manage and prioritize their daily tasks and collaborate with team members on shared projects, gaining visibility into who is doing what, and when each piece of work is due. Team leads can plan work and optimize team workload across multiple projects, and executives can track progress towards company objectives in real time.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Asana is flexible and applicable to virtually any use case across departments and organizations of all sizes. We designed our platform to be easy to use and intuitive to all users, regardless of role or technical proficiency. Users can start a project within minutes and onboard team members seamlessly without external support. We allow users to work the way they want with the interface that is right for them, using tasks, lists, calendars, boards, timelines, reporting dashboards, and Workload.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Our Business Model </w:t>
      </w:r>
    </w:p>
    <w:p>
      <w:pPr>
        <w:pStyle w:val="TextBody"/>
        <w:spacing w:lineRule="auto" w:line="288" w:before="0" w:after="180"/>
        <w:ind w:left="0" w:right="0" w:firstLine="360"/>
        <w:jc w:val="both"/>
        <w:rPr/>
      </w:pPr>
      <w:r>
        <w:rPr>
          <w:rFonts w:ascii="Times New Roman;sans-serif" w:hAnsi="Times New Roman;sans-serif"/>
          <w:b w:val="false"/>
          <w:color w:val="000000"/>
          <w:sz w:val="20"/>
        </w:rPr>
        <w:t>Our hybrid self-service and direct sales model allows us to efficiently reach teams everywhere and then rapidly expand the use of our platform within their organizations. A majority of our paying customers initially adopt our platform through self-service and free trials. Once adopted, customers can expand through self-service or with the assistance of our direct sales team, which is focused on promoting new use cases of Asana. As customers realize the productivity benefits we provide, our platform often becomes critical to managing their work and achieving their objectives, which drives further adoption and expansion opportunities. This is evidenced by our dollar-based net retention rate, which generally increases with greater organizational s</w:t>
      </w:r>
      <w:r>
        <w:rPr>
          <w:rFonts w:ascii="Times New Roman;sans-serif" w:hAnsi="Times New Roman;sans-serif"/>
          <w:b w:val="false"/>
          <w:color w:val="000000"/>
          <w:sz w:val="20"/>
          <w:highlight w:val="white"/>
        </w:rPr>
        <w:t>pend. As of January 31, 2021, our dollar-based net retention rate within organizations spending $5,000 or more with us on an annualized basis was 125%, consisting of 10,174 customers. Our dollar-based net retention rate within organizations spending $50,000 or more with us on an annualized basis was over 140%, consisting of 397 customers.</w:t>
      </w:r>
    </w:p>
    <w:p>
      <w:pPr>
        <w:pStyle w:val="TextBody"/>
        <w:spacing w:lineRule="auto" w:line="288" w:before="120" w:after="18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Our Company Culture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company culture enables us to achieve our mission and is a core driver of our business success. We endeavor to make product, business, and people decisions that allow us to carry out our mission while staying true to our values. We are a mission-driven organization first and have designed our values, along with our programs and processes, to help us maximize the potential of every individual in our company. Our values and processes also give us credibility when we share best practices for teamwork in the market and allow us to build those practices into our solution. </w:t>
      </w: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 xml:space="preserve">Industry Background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Teams must be coordinated and move quickly to be successful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Teams today must navigate work that is increasingly cross-functional, matrixed, and distributed, while also moving quickly to meet the objectives of their organizations. With product lifecycles now shorter than ever, organizations cannot afford to be slowed down by inefficient processes. Individuals and teams need to be empowered to make autonomous decisions aligned with organizational goals to ensure business agility in rapidly changing markets.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Communication overload hurts productivity </w:t>
      </w:r>
    </w:p>
    <w:p>
      <w:pPr>
        <w:pStyle w:val="TextBody"/>
        <w:spacing w:lineRule="auto" w:line="288" w:before="0" w:after="180"/>
        <w:ind w:left="0" w:right="0" w:firstLine="360"/>
        <w:jc w:val="both"/>
        <w:rPr/>
      </w:pPr>
      <w:r>
        <w:rPr>
          <w:rFonts w:ascii="Times New Roman;sans-serif" w:hAnsi="Times New Roman;sans-serif"/>
          <w:b w:val="false"/>
          <w:color w:val="000000"/>
          <w:sz w:val="20"/>
        </w:rPr>
        <w:t>Businesses have adopted a number of applica</w:t>
      </w:r>
      <w:r>
        <w:rPr>
          <w:rFonts w:ascii="Times New Roman;sans-serif" w:hAnsi="Times New Roman;sans-serif"/>
          <w:b w:val="false"/>
          <w:color w:val="000000"/>
          <w:sz w:val="20"/>
          <w:highlight w:val="white"/>
        </w:rPr>
        <w:t>tions to improve communication such as Skype, WeChat, WhatsApp, Microsoft Teams, and Slack, among others. W</w:t>
      </w:r>
      <w:r>
        <w:rPr>
          <w:rFonts w:ascii="Times New Roman;sans-serif" w:hAnsi="Times New Roman;sans-serif"/>
          <w:b w:val="false"/>
          <w:color w:val="000000"/>
          <w:sz w:val="20"/>
        </w:rPr>
        <w:t xml:space="preserve">hile these applications help teams communicate, they were not designed to provide a system of record to track and coordinate units of work or set up processes for rapid execution. The average knowledge worker receives 121 emails per day—70% of which are opened within six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seconds. People have become prisoners to email and messaging applications, using their inboxes as makeshift to-do lists.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Teams spend more time coordinating work than actually doing work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Productivity gains can occur when individuals and teams have the opportunity to focus uninterrupted. However, employees spend less than half of their time during the day on the work that is critical to generating results. According to a survey conducted by McKinsey Global Institute of a broad set of knowledge workers: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28% of time is spent answering email;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19% of time is spent gathering information; and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14% of time is spent on internal communication.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Teams need more effective tools to orchestrate work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methods for managing work today—across any department, any sized team, and any project—consist of a combination of spreadsheets and email, in addition to handwritten notes, calls, and meetings. Over time, communication tools (like email and messaging) and content applications (such as file sharing and storage services) have been repurposed for coordinating work because they are familiar and accessible. However, these tools lack the purpose-built functionality required for teams to collaboratively plan, manage, and execute work.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Clarity drives employee engagement that improves business results </w:t>
      </w:r>
    </w:p>
    <w:p>
      <w:pPr>
        <w:pStyle w:val="TextBody"/>
        <w:spacing w:lineRule="auto" w:line="288" w:before="0" w:after="180"/>
        <w:ind w:left="0" w:right="0" w:firstLine="360"/>
        <w:jc w:val="both"/>
        <w:rPr/>
      </w:pPr>
      <w:r>
        <w:rPr>
          <w:rFonts w:ascii="Times New Roman;sans-serif" w:hAnsi="Times New Roman;sans-serif"/>
          <w:b w:val="false"/>
          <w:color w:val="000000"/>
          <w:sz w:val="20"/>
        </w:rPr>
        <w:t>Employee engagement—the extent to which employees are invested in their job and contribute the effort needed to do their job well—is critical to high-performing busin</w:t>
      </w:r>
      <w:r>
        <w:rPr>
          <w:rFonts w:ascii="Times New Roman;sans-serif" w:hAnsi="Times New Roman;sans-serif"/>
          <w:b w:val="false"/>
          <w:color w:val="000000"/>
          <w:sz w:val="20"/>
          <w:highlight w:val="white"/>
        </w:rPr>
        <w:t>esses. Individuals are more engaged at work when they have clarity. Clarity helps individuals better understand how their work c</w:t>
      </w:r>
      <w:r>
        <w:rPr>
          <w:rFonts w:ascii="Times New Roman;sans-serif" w:hAnsi="Times New Roman;sans-serif"/>
          <w:b w:val="false"/>
          <w:color w:val="000000"/>
          <w:sz w:val="20"/>
        </w:rPr>
        <w:t>onnects to the organization’s objectives so they know where to focus their energy for maximum impact and find their work more rewarding and engaging.</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Organizations need new, purpose-built solutions for work management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Organizations need a work management solution that provides transparency, clarity, and accountability so that individuals and teams know—at any given time—what work needs to get done, by whom and by when. This solution needs to allow organizations to set goals and manage all the underlying portfolios, projects, and tasks needed to achieve them. The solution also needs to scale across every level of the organization so individuals, team leads, and executives can understand and take actions to move work forward in real time. </w:t>
      </w: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 xml:space="preserve">Our Solution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a work management platform that enables individuals and teams to get work done faster while improving employee engagement by allowing everyone to see how their work—whether it is a task, process, project, objectives and key results (OKR), or portfolio of projects—connects to the broader mission of an organization.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Asana:</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rPr>
        <w:t xml:space="preserve">Individuals </w:t>
      </w:r>
      <w:r>
        <w:rPr>
          <w:rFonts w:ascii="Times New Roman;sans-serif" w:hAnsi="Times New Roman;sans-serif"/>
          <w:b w:val="false"/>
          <w:color w:val="000000"/>
          <w:sz w:val="20"/>
        </w:rPr>
        <w:t xml:space="preserve">can manage and prioritize across each of their projects to maximize their effectiveness and reduce distractions. They can see their own tasks, how their dependencies owned by teammates are tracking, and how their work contributes to the overall team and organization-wide goals. Individuals can collaborate with teammates and have visibility into each team member’s responsibilities and progress. When teammates operate off a single, real-time plan of record, they do not need to check in with each other for updates or sit through status meetings. This clarity reduces work about work and helps individuals get work done faster. </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rPr>
        <w:t xml:space="preserve">Team leads </w:t>
      </w:r>
      <w:r>
        <w:rPr>
          <w:rFonts w:ascii="Times New Roman;sans-serif" w:hAnsi="Times New Roman;sans-serif"/>
          <w:b w:val="false"/>
          <w:color w:val="000000"/>
          <w:sz w:val="20"/>
        </w:rPr>
        <w:t xml:space="preserve">can manage work across a portfolio of projects or processes. Team leads see progress, bottlenecks, resource constraints, and milestones without having to create work for teams to come up with this information in spreadsheets, email, or via a status meeting. When surprises or disruptions occur, it is easy for team leads to adjust the plan, reallocate resources, and communicate updates in real time.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rPr>
        <w:t xml:space="preserve">Executives </w:t>
      </w:r>
      <w:r>
        <w:rPr>
          <w:rFonts w:ascii="Times New Roman;sans-serif" w:hAnsi="Times New Roman;sans-serif"/>
          <w:b w:val="false"/>
          <w:color w:val="000000"/>
          <w:sz w:val="20"/>
        </w:rPr>
        <w:t xml:space="preserve">can communicate company-wide goals, monitor status, and oversee work across projects to gain real-time insights into which initiatives are on track or at risk. With this visibility, they can proactively ensure alignment, address inefficiencies, manage team workload, and reallocate work among teams or departments so that the company can stay on track to achieve its objectives.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the system of record of past, current, and future work, Asana is powered by a proprietary, multi-dimensional data model called the Asana Work Graph. The Asana Work Graph captures and associates units of work (tasks, projects, milestones, goals, and portfolios), the people responsible for executing those units of work, the processes in which work gets done (rules and templates), information about that work (files, comments, status, and metadata), and the relationships across and within this data. The Asana Work Graph provides individuals, team leads, and executives with dynamic, up-to-date views into the work that is most relevant to them, across multiple people and projects.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core tenet of our platform is to bring clarity, transparency, and accountability to the process of getting work done. </w:t>
      </w:r>
    </w:p>
    <w:p>
      <w:pPr>
        <w:pStyle w:val="TextBody"/>
        <w:spacing w:lineRule="auto" w:line="288" w:before="0" w:after="180"/>
        <w:ind w:left="0" w:right="0" w:firstLine="360"/>
        <w:jc w:val="both"/>
        <w:rPr/>
      </w:pPr>
      <w:r>
        <w:rPr>
          <w:rFonts w:ascii="Times New Roman;sans-serif" w:hAnsi="Times New Roman;sans-serif"/>
          <w:b/>
          <w:i/>
          <w:color w:val="000000"/>
          <w:sz w:val="20"/>
        </w:rPr>
        <w:t xml:space="preserve">Clarity. </w:t>
      </w:r>
      <w:r>
        <w:rPr>
          <w:rFonts w:ascii="Times New Roman;sans-serif" w:hAnsi="Times New Roman;sans-serif"/>
          <w:b w:val="false"/>
          <w:color w:val="000000"/>
          <w:sz w:val="20"/>
        </w:rPr>
        <w:t xml:space="preserve">Our platform adds structure to unstructured work so everyone on a team has clarity into exactly what needs to be done, by whom and by when. Our multi-dimensional data model provides different views so individuals can not only see the tasks they are working on, but also understand how their individual work contributes to a broader project goal. </w:t>
      </w:r>
    </w:p>
    <w:p>
      <w:pPr>
        <w:pStyle w:val="TextBody"/>
        <w:spacing w:lineRule="auto" w:line="288" w:before="0" w:after="180"/>
        <w:ind w:left="0" w:right="0" w:firstLine="360"/>
        <w:jc w:val="both"/>
        <w:rPr/>
      </w:pPr>
      <w:r>
        <w:rPr>
          <w:rFonts w:ascii="Times New Roman;sans-serif" w:hAnsi="Times New Roman;sans-serif"/>
          <w:b/>
          <w:i/>
          <w:color w:val="000000"/>
          <w:sz w:val="20"/>
        </w:rPr>
        <w:t>Transparency.</w:t>
      </w:r>
      <w:r>
        <w:rPr>
          <w:color w:val="000000"/>
        </w:rPr>
        <w:t xml:space="preserve"> </w:t>
      </w:r>
      <w:r>
        <w:rPr>
          <w:rFonts w:ascii="Times New Roman;sans-serif" w:hAnsi="Times New Roman;sans-serif"/>
          <w:b w:val="false"/>
          <w:color w:val="000000"/>
          <w:sz w:val="20"/>
        </w:rPr>
        <w:t xml:space="preserve">Our platform provides transparency into the work being done across a project or portfolio of projects so everyone can see progress to completion, manage deadlines, identify and resolve bottlenecks, and rebalance workloads in real time. </w:t>
      </w:r>
    </w:p>
    <w:p>
      <w:pPr>
        <w:pStyle w:val="TextBody"/>
        <w:spacing w:lineRule="auto" w:line="288" w:before="0" w:after="180"/>
        <w:ind w:left="0" w:right="0" w:firstLine="360"/>
        <w:jc w:val="both"/>
        <w:rPr/>
      </w:pPr>
      <w:r>
        <w:rPr>
          <w:rFonts w:ascii="Times New Roman;sans-serif" w:hAnsi="Times New Roman;sans-serif"/>
          <w:b/>
          <w:i/>
          <w:color w:val="000000"/>
          <w:sz w:val="20"/>
        </w:rPr>
        <w:t>Accountability.</w:t>
      </w:r>
      <w:r>
        <w:rPr>
          <w:color w:val="000000"/>
        </w:rPr>
        <w:t xml:space="preserve"> </w:t>
      </w:r>
      <w:r>
        <w:rPr>
          <w:rFonts w:ascii="Times New Roman;sans-serif" w:hAnsi="Times New Roman;sans-serif"/>
          <w:b w:val="false"/>
          <w:color w:val="000000"/>
          <w:sz w:val="20"/>
        </w:rPr>
        <w:t xml:space="preserve">Our platform enables teams to assign work to individuals with completion dates and requirements, eliminating ambiguity over responsibilities. Individuals can track their action items across projects and manage their time more effectively. </w:t>
      </w: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 xml:space="preserve">Benefits of Our Solution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platform provides the following benefits for our customers: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Teams get work done faster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Teams get work done faster using Asana. When structure is added to work, creating greater clarity, transparency, and accountability, teams are able to take action and be more efficient—regardless of whether their team members are in the office or working remotely.</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Streamlined processes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horizontal application allows individuals to easily customize projects across a breadth of specific use cases. Once a process is defined, it can be templatized and scaled across an organization for consistent, repeatable process management. In October 2019, we launched Rules as part of our suite of automation features, which facilitates auto-assignment, triggers actions and notifications, and automatically populates due dates for templated projects. Since launching Rules, we have automated over 52 million steps for our users.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Increased employee engagement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users love Asana because they gain clarity into what they need to do and how their contribution is connected to broader organizational goals. This clarity is particularly important for distributed teams and remote employees. By eliminating much of the work about work, we give them back valuable hours in their day to focus on the work that matters, leading to higher productivity, higher engagement, and improved retention.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Improved confidence and execution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Using Asana, individuals reduce their anxiety about missing deadlines and having work fall through the cracks. As a system of record for work, Asana stores all task and project information on past and present initiatives so people have greater confidence in meeting deliverables. Individuals, team leads, and executives gain real-time visibility into all the work that is happening in their organization, enabling them to feel organized and in control.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Improved business continuity for distributed teams and remote work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Asana gives teams the clarity they need to stay organized and productive wherever they are. Distributed and remote teams can use Asana as a single, real-time plan of record, reducing the need for messaging threads and video calls to coordinate work. Asana is a secure, cloud-based service that is accessible via internet browsers and a mobile application so that team members can manage their work from home, office, cafe, or other workspace. </w:t>
      </w: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Our Culture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company culture is a core driver of our business success and enables us to work towards achieving our mission. A core tenet of our culture is a shared commitment to mindfulness, which informs our product, business, and people decisions and shapes how we interact with each other daily. By investing in diversity and inclusion programs, we help ensure that everyone can thrive and feel a sense of belonging, enabling us to better understand the needs of our diverse customer base and innovate in new and creative ways. We also use Asana ourselves, providing our employees with clarity into how their work contributes to our mission and enabling them to do their most impactful work. </w:t>
      </w:r>
    </w:p>
    <w:p>
      <w:pPr>
        <w:pStyle w:val="TextBody"/>
        <w:spacing w:before="0" w:after="180"/>
        <w:jc w:val="center"/>
        <w:rPr/>
      </w:pPr>
      <w:r>
        <w:rPr/>
        <w:drawing>
          <wp:inline distT="0" distB="63500" distL="0" distR="0">
            <wp:extent cx="5943600" cy="3105150"/>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5943600" cy="3105150"/>
                    </a:xfrm>
                    <a:prstGeom prst="rect">
                      <a:avLst/>
                    </a:prstGeom>
                  </pic:spPr>
                </pic:pic>
              </a:graphicData>
            </a:graphic>
          </wp:inline>
        </w:drawing>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On Glassdoor, we have a 4.9 out of 5.0 score, a 100% CEO approval rating, and a 99% "Recommend to a Friend" rating. In 2020, Great Place to Work and FORTUNE named us as a #1 workplace three times: #1 Best Workplaces in Technology (Small and Medium), #1 Best Workplaces for Millennials (Small and Medium), and the fourth consecutive year as #1 Best Workplace in the Bay Area (Small and Medium); as well as #2 Best Small &amp; Medium Workplaces and #8 Best Workplaces for Women. We were also named a Great Place to Work Best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Workplace for Parents, #7 Ireland's Best Workplaces (Small), #14 on Glassdoor's Best Places to Work 2021, and an Inc. Best Workplaces for the third consecutive year. </w:t>
      </w: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Features of our Platform</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Asana is a single unified platform that provides clarity at every level of an organization for individuals, team leads, and executives. Powered by a proprietary, multi-dimensional data model called the Asana Work Graph, which captures and associates units of work, Asana provides dynamic views—List, Calendar, Board, Timeline, Portfolio, Reports—so that individuals can see work data in whatever way makes most sense to them. Any changes made to underlying data through one view is automatically updated in real time to all other views. </w:t>
      </w:r>
    </w:p>
    <w:p>
      <w:pPr>
        <w:pStyle w:val="TextBody"/>
        <w:spacing w:before="0" w:after="180"/>
        <w:ind w:left="0" w:right="0" w:firstLine="360"/>
        <w:jc w:val="both"/>
        <w:rPr/>
      </w:pPr>
      <w:r>
        <w:rPr/>
        <w:drawing>
          <wp:inline distT="0" distB="63500" distL="0" distR="0">
            <wp:extent cx="5934075" cy="3495675"/>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5934075" cy="3495675"/>
                    </a:xfrm>
                    <a:prstGeom prst="rect">
                      <a:avLst/>
                    </a:prstGeom>
                  </pic:spPr>
                </pic:pic>
              </a:graphicData>
            </a:graphic>
          </wp:inline>
        </w:drawing>
      </w:r>
    </w:p>
    <w:p>
      <w:pPr>
        <w:pStyle w:val="TextBody"/>
        <w:spacing w:before="0" w:after="180"/>
        <w:ind w:left="0" w:right="0" w:firstLine="360"/>
        <w:jc w:val="both"/>
        <w:rPr/>
      </w:pPr>
      <w:r>
        <w:rPr/>
      </w: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 xml:space="preserve">Asana Work Graph Hierarchy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Asana Work Graph represents units of work—tasks, projects, portfolios, and goals—to enable a complete, connected, and up-to-date map of work in an organization. Unlike other work management solutions, Asana powers clarity at every level of an organization, regardless of size, structure, and complexity. The Asana Work Graph provides:</w:t>
      </w:r>
    </w:p>
    <w:p>
      <w:pPr>
        <w:pStyle w:val="TextBody"/>
        <w:spacing w:lineRule="auto" w:line="288" w:before="120" w:after="180"/>
        <w:ind w:left="0" w:right="0" w:hanging="360"/>
        <w:rPr/>
      </w:pPr>
      <w:r>
        <w:rPr>
          <w:color w:val="000000"/>
        </w:rPr>
        <w:t>•</w:t>
      </w:r>
      <w:r>
        <w:rPr>
          <w:rFonts w:ascii="Times New Roman;sans-serif" w:hAnsi="Times New Roman;sans-serif"/>
          <w:b w:val="false"/>
          <w:color w:val="000000"/>
          <w:sz w:val="20"/>
        </w:rPr>
        <w:t>Individuals with dynamic views into the work that is most relevant to them, accelerating adoption and maximizing personal productivity</w:t>
      </w:r>
      <w:r>
        <w:rPr>
          <w:rFonts w:ascii="Times New Roman;sans-serif" w:hAnsi="Times New Roman;sans-serif"/>
          <w:b/>
          <w:i/>
          <w:color w:val="000000"/>
          <w:sz w:val="20"/>
        </w:rPr>
        <w:t xml:space="preserve">.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Teams with the ability to view and modify the same work data across different views so they can coordinate complex, cross-team work with ease.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Executives with visibility into how daily work connects to higher-level goals and initiatives so they can understand real-time progress.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Tasks</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Tasks are the atomic unit of work within the Asana Work Graph. Within tasks, users can assign owners, set due dates and times, attach documents, and define custom fields for information about the task so that everyone knows who is doing what by when and has the information needed to complete the work. Custom fields are metadata that help users plan, sort, and organize work. Collaboration including comments, sharing, @-mentions, and image markup are natively built into tasks, ensuring that relevant updates and context stay with the work at hand. </w:t>
      </w:r>
      <w:r>
        <w:rPr>
          <w:rFonts w:ascii="Times New Roman;sans-serif" w:hAnsi="Times New Roman;sans-serif"/>
          <w:b w:val="false"/>
          <w:color w:val="000000"/>
          <w:sz w:val="20"/>
          <w:highlight w:val="white"/>
        </w:rPr>
        <w:t>Changes in task information made in one view are automatically updated across all views where the task is visible so that users don’t have to re-enter information.</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Projects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project consists of a set of tasks, which can be organized into sections and arranged into dependencies that give teams clarity on plan and process. Projects can be used to accomplish a specific goal, such as delivering a presentation or campaign, or can be used to intake and process requests, such as a help desk or creative production. If the project is a workflow the team normally follows, it can be converted into a template, making it easy to set up a repeatable workflow so that teams do not have to start from scratch or miss any steps.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Portfolios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Portfolio lets users organize projects into one centralized location, acting as the mission control so that team leads and executives have real-time visibility into how work is progressing across projects. Users can add or remove projects, check the status and progress of each project, view priorities, and assign relevant project owners. Individuals can click on any project to see a full summary overview of the project with the ability to edit due dates, view key milestones, link to the tasks and resources available, check or add status updates, and add comments for the team. They can also see all projects within the Portfolio on a Timeline to get a bird’s-eye view of when initiatives are kicking off and when they will be completed. Like many of the views in Asana, the layout of Portfolio can be customized based on individual preference. Portfolios can be made public or private, or can be shared only with specific individuals.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Goals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Goals gives users a centralized place to set goals and track the work needed to achieve them. Goals is a flexible system that supports OKR and other goal management methodologies. Users can set and view goals at the organization or team level and can create goal hierarchies to drive alignment across teams. Goals are connected to the underlying work (Portfolios, Projects, and Tasks) needed to achieve them, giving executives and team leads a single system to set goals and track progress. Goals can be made visible to the entire organization so all team members have clarity on the company’s priorities and see how their work contributes to the organization’s success.</w:t>
      </w: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Dynamic Views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My Tasks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My Tasks provides a single, clear view of every deliverable and due date assigned to individuals so that they start their day knowing exactly what they need to do, by when. Items can be organized and dragged and dropped into different categories so that individuals can prioritize their part of a project or any process-related tasks.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individuals have their own My Tasks. Team members can view other team members’ tasks to see what they are working on. Individuals also have the option to create private tasks, which are only visible to themselves and the people they have explicitly added as collaborators.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Inbox</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Inbox is the notification center for Asana. It displays updates on all projects that individuals are a member of and tasks that they follow or are assigned so that they can stay on top of the work that matters. Task and project updates—such as when a task is marked complete, a comment is added, or the status of a project is updated—</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triggers a notification that appears in the Inbox of anyone who follows the task or belongs to the project. Individuals can filter their Inbox based on assigned tasks and @-mentions so they can focus on their top priorities.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List View</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List view of a project lets individuals sort, organize into sections, and filter a list of tasks. Tasks can be dragged and dropped, and filtered and sorted according to what matters most so project teams can see all the work needed to complete a project and easily drill down into details. Keyboard shortcuts can be used to move tasks up or down the list, and a project toolbar allows users to adjust their project view.</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Calendar View</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Calendar view displays tasks within the project on a calendar based on due date and, optionally, start and end dates, so that individuals can see how many tasks are due within a time period and stay on top of their deadlines. Individuals can contribute tasks to a team calendar, plan their work on a schedule, and then easily drag and drop tasks to make adjustments. Individuals can see their personal task list, all the tasks within a specific project, as well as all tasks across projects relevant to a team on a calendar.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Board View</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Boards provide individuals with a kanban-style display. Individuals use boards to plan and organize their work as if they were organizing sticky notes in columns on a wall so that they can quickly visualize the current stage of each task within a workstream. Tasks in the project are represented as cards within the columns and individuals commonly use the columns to represent stages in a workflow. As a task makes its way through the workflow, it moves from the left to the right. The tasks display due dates, assignee, custom fields, and previews of the latest attached files.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Boards can be customized to what matters most to the user, with the ability to add custom fields, filter, and sort by task, assignee, or due date. Additionally, tasks appearing in one board can be added to other projects so that work stays connected and up to date across initiatives without team members having to re-enter information.</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Timeline View</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Timeline allows teams to create and visualize project plans over time so that individuals can identify bottlenecks and task dependencies and make real-time adjustments as needed. Our Timeline view is more powerful than a static Gantt chart because it is connected to the underlying work and updates dynamically as work progresses. When a deadline shifts, all subsequent deadlines can shift accordingly. Timeline helps ensure work stays on track and all team members have clear visibility over the steps involved and progress towards the end goal.</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Timeline is particularly relevant for time-bounded initiatives which have timing and sequencing dependencies. Timeline gives executives and project stakeholders an at-a-glance view of project plans and progress.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Workload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Workload visualizes the work, capacity, and trendline of each team member so that team leads have accurate and up-to-date information into the workload of their team members. The trendline is generated by number of tasks or numerical custom field values such as estimated hours or effort. Team leads can set capacity and be notified when team members are overloaded. Individuals can reallocate work from one team member to another with a drag-and-drop interface.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Dashboards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Dashboards help customers visualize and communicate their team’s work in more meaningful ways. Dashboards provides customizable charts that auto-populate with real-time work insights like how many tasks have been completed and who on the team is overloaded – all with no coding or search queries required.</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80"/>
        <w:jc w:val="both"/>
        <w:rPr>
          <w:rFonts w:ascii="Times New Roman;sans-serif" w:hAnsi="Times New Roman;sans-serif"/>
          <w:b/>
          <w:color w:val="000000"/>
          <w:sz w:val="20"/>
        </w:rPr>
      </w:pPr>
      <w:r>
        <w:rPr>
          <w:rFonts w:ascii="Times New Roman;sans-serif" w:hAnsi="Times New Roman;sans-serif"/>
          <w:b/>
          <w:color w:val="000000"/>
          <w:sz w:val="20"/>
        </w:rPr>
        <w:t>Automated Workflows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Processes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process, or workflow, is the sequence of stages a piece of work passes through from initiation to completion. Asana provides pre-made templates for common processes around ongoing work within marketing, design, operations, sales, HR, product, engineering, and IT functions so that individuals and teams have a starting point for planning, managing, and executing their work.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Teams have the ability to create and save custom templates so that they can standardize and provide clarity on all the necessary steps of their unique workflows. Additionally, teams can implement rules to automate repetitive, manual tasks in a workflow, such as auto-assigning a task based on custom field status or moving a task from one column to another in Board view.</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Rules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Rules help automate tedious and repetitive tasks so that teams can reduce manual work and spend more time on the work that matters. Individuals can select from suggested pre-built rules from the rules gallery or they can create a custom rule. A rule consists of one or more triggers and actions, enabling an individual to create logic and multiple actions around business scenarios. Actions in third-party applications that are integrated with Asana, such as Outlook, Gmail, and Slack, can also trigger rules, making it easy to automate manual work across applications.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Reporting</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Asana provides reporting capabilities that automate and simplify the process of creating status reports and give individuals and teams a searchable history of their work data. Advanced Search allows individuals to specify search parameters to find data and conversations quickly and easily. The Asana Work Graph enables users to find work based on various attributes, including who is involved, what projects a task may belong to, and even the status of dependencies. Search criteria can be saved as reports, and results can be viewed in a list or calendar.</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Integrations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Asana platform integrates with over 100 third-party applications including: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Microsoft apps such as Teams, Outlook, OneDrive, SharePoint, Power Automate, and Power Bi;</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G-suite apps such as Gmail, Calendar, Chrome, Sheets, and Drive;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Functional tools such as Salesforce and Adobe Creative Cloud;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Communication apps such as Slack and Zoom;</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File sharing apps such as Box and Dropbox;</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Development apps such as GitHub and Jira;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Reporting apps such as Tableau.</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Integrations connect applications to Asana, which provides a central hub for managing work. Teams save time by eliminating the need to switch between various sites and tools. By providing this centralized hub, Asana ensures that work in other tools is tracked and completed.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Integrations with third-party applications are achieved through Asana Connect without sharing any usernames or passwords. Asana Connect enables seamless integration with third-party applications and gives users the ability to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 all of their work streams through a single platform. Asana Connect uses OAuth 2.0, an industry standard for authentication. </w:t>
      </w: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Our Technology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architecture we have built to power Asana is secure and scalable, offering users a customized experience that is easy to navigate while handling complex data management behind the scenes. We designed our systems to allow flexible access to the Asana Work Graph, allowing us to build rich new functionality quickly and innovate in the work management space.</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Extensible, Efficient Technology Platform</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cloud-native platform includes proprietary software services built on top of infrastructure provided by our preferred cloud provider Amazon Web Services. We shard customer data in our distributed datastore to scale horizontally and provide high performance, and redundancy across multiple third-party data centers in several locations in the United States and Europe to protect against data loss and provide high availability. The distributed datastore allows flexible indexing across single or multiple attributes of the objects stored in it, thus efficiently supporting a wide variety of queries. Our platform services keep track of connected devices and data requests, automatically sending updates to devices as data is updated. This allows our client software to surface real-time information with minimal data transfer and round-trips to the servers, and provides a fast, responsive experience to our customers.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our software as a service to customers, so the technology we build includes deployment tools to ensure we can publish software updates rapidly and safely, as well as monitoring and automation tools.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Commitment to Security and Privacy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Upholding the trust that we have established with our customers and gaining the trust of new customers remains a priority for us and as a result, we have implemented robust safeguards to protect the security of customer data. Our security program includes conducting risk assessments of all systems and networks that process customer data; monitoring for security events; maintaining incident response, disaster recovery, and business continuity plans that explicitly address and provide guidance to our personnel in furtherance of the security, confidentiality, integrity, and availability of customer data; and having a qualified third party perform security assessments on a periodic basis to test against widely recognized security standards and practices.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security program is aligned to the American Institute of Certified Public Accountants (“AICPA”) Trust Services Criteria for Security, Availability, and Confidentiality as well as the ISO 27001:2013 standards. We issue a SOC 2 Type II report on an annual basis and are certified against ISO 27001:2013. This means that independent third parties have both validated our processes and practices with respect to these standards, and confirmed our ability to maintain compliance with controls we have implemented.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built our platform with security features that are designed to be scalable as we develop and introduce new functionality, including but not limited to supporting encryption of user data in transit and at rest within our platform, and implementing strong access controls and multi-factor authentication to prevent unauthorized access to customer data. Additionally, our platform allows customers to implement their own granular access controls by giving them the ability to restrict access on a per task, per project and per team basis.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security, we are deeply committed to privacy and to protecting and honoring the privacy rights of our customers. We have established a comprehensive privacy compliance program, aligning our practices with regulations such as the General Data Protection Regulation and the California Consumer Privacy Act, including by delivering periodic training to our employees on privacy best practices, reviewing and mapping the data we collect, use, and share, and creating a customer rights program and response process to honor the requests of our customers exercising their privacy rights. Above all, we strive to be transparent about our privacy practices, independent of legal obligations.</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Our Customers</w:t>
      </w:r>
    </w:p>
    <w:p>
      <w:pPr>
        <w:pStyle w:val="TextBody"/>
        <w:spacing w:lineRule="auto" w:line="288" w:before="0" w:after="180"/>
        <w:ind w:left="0" w:right="0" w:firstLine="360"/>
        <w:jc w:val="both"/>
        <w:rPr/>
      </w:pPr>
      <w:r>
        <w:rPr>
          <w:rFonts w:ascii="Times New Roman;sans-serif" w:hAnsi="Times New Roman;sans-serif"/>
          <w:b w:val="false"/>
          <w:color w:val="000000"/>
          <w:sz w:val="20"/>
        </w:rPr>
        <w:t>We have customers of all sizes ranging from individuals to global organizations. We define a customer as a distinct account, which could include a team, company, educational or government institution, organization, or distinct business unit of a company, that is on a paid subscription plan, a free version, or a free trial of one of our paid subscription plans. A single organization may have multiple customers. We define a paying customer as a customer on a paid subscription plan.</w:t>
      </w:r>
      <w:r>
        <w:rPr>
          <w:color w:val="000000"/>
          <w:highlight w:val="white"/>
        </w:rPr>
        <w:t xml:space="preserve"> </w:t>
      </w:r>
      <w:r>
        <w:rPr>
          <w:rFonts w:ascii="Times New Roman;sans-serif" w:hAnsi="Times New Roman;sans-serif"/>
          <w:b w:val="false"/>
          <w:color w:val="000000"/>
          <w:sz w:val="20"/>
          <w:highlight w:val="white"/>
        </w:rPr>
        <w:t>As of January 31, 2021, we had over 93,000 paying customers globally, representing an increase of over 18,000 paying customers from January 31, 2020 and an increase of approximately 35,000 from January 31, 2019. Of those paying customers, 10,174 spent $5,000 or more with us on an annualized basis, representing an increase of 3,619 paying customers from January 31, 2020. Additionally, 397 of those paying customers spent $50,000 or more with us on an annualized basis, representing an increase of 190 paying customers from January 31, 2020. As of January 31, 2020, we had over 75,000 paying customers globally. Of those paying customers, 207 spent $50,000 or more with us on an annualized basis, representing an increase of 148 paying customers from January 31, 2019.</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customer base spans numerous industry categories, including technology, retail, education, non-profit, government, healthcare, media, and financial services, and includes many category leaders across these diverse industries. No individual customer represented more than 1% of our revenues in the years ended January 31, 2021, 2020, or 2019. </w:t>
      </w: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employ a hybrid go-to-market approach, combining a self-service model with direct sales efforts. We are focused on landing teams worldwide and expanding across use cases, both within and between organizations, to ensure the success of our customers. This in turn creates positive word-of-mouth marketing, driving adoption, expansion and ultimately our business results.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Self-Service Model</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majority of our paying customers initially adopt our platform through self-service and free trials. To demonstrate the value of our platform to potential paying customers, we provide free trials of our paid Asana Premium and Business offerings in addition to our free Basic offering for teams of up to 15 people. As individuals, teams and their guests realize the productivity benefits we provide, Asana becomes an increasingly integral part of their day-to-day work and critical to helping them achieve their objectives.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Direct Sales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our self-service model, we have a targeted direct sales team focused on promoting new use cases and expanding our footprint within our existing customer base. Our direct sales force has a global presence, and consists primarily of sales teams focused primarily on strategic accounts with expansion opportunities including department-specific and organization-wide use cases such as employee onboarding and goal setting.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Marketing and Customer Success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market our platform through owned properties, such as our website and social media channels, media coverage, paid acquisition, and word of mouth to promote discovery and adoption. Every month millions of people visit asana.com, and hundreds of thousands of people register for the product. Our customers also have the ability to invite external parties to collaborate on specific Asana projects, which supports viral adoption of our platform.</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offer on-demand education available in-product and online, and via live learning courses as well as robust customer support available in six languages. We also offer our customers the option to partner with a list of managed service providers, consulting firms, and system integrators to help customize their account, onboard teams and run onsite training.</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global community of customers and experts, Asana Together, connects customers, both online and offline, and creates champions. Through Asana Together, customers have access to our community Forum to ask questions and connect with peers. We also certify and support Asana Ambassadors (go-to enthusiasts who assist with and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promote adoption within their networks) and Certified Pros (independent third-party Asana consultants who offer their services for a discretionary fee to help teams make the most of their experience on our platform). Through Asana Together, we have hosted multiple in-person events on five different continents.</w:t>
      </w:r>
    </w:p>
    <w:p>
      <w:pPr>
        <w:pStyle w:val="TextBody"/>
        <w:spacing w:lineRule="auto" w:line="288" w:before="120" w:after="180"/>
        <w:rPr>
          <w:rFonts w:ascii="Times New Roman;sans-serif" w:hAnsi="Times New Roman;sans-serif"/>
          <w:b/>
          <w:color w:val="000000"/>
          <w:sz w:val="20"/>
          <w:highlight w:val="white"/>
        </w:rPr>
      </w:pPr>
      <w:r>
        <w:rPr>
          <w:rFonts w:ascii="Times New Roman;sans-serif" w:hAnsi="Times New Roman;sans-serif"/>
          <w:b/>
          <w:color w:val="000000"/>
          <w:sz w:val="20"/>
          <w:highlight w:val="white"/>
        </w:rPr>
        <w:t>Effects of Inflation</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believe inflation in the regions where most of our sales occur has not had a significant effect on our net revenues or profitability.</w:t>
      </w: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Key to our success is the time, attention and investment we place on continued innovation in our platform. We will continue to invest in expanding our product offerings and enhancing the features and functionality of our platform, particularly in the areas of integrations, automation, functional workflows, security, and organization-wide use cases. We leverage the breadth of our customer base, and the diverse ways in which they use our platform, to recognize their needs quickly and guide future innovation. Further, we ourselves are users—all of our employees are committed to using Asana internally, every single day—ensuring our entire organization is in touch with the platform’s capabilities and can rapidly identify or suggest improvements. Our research and development team is responsible for the design, development, testing, and delivery of solutions for our platform. </w:t>
      </w:r>
    </w:p>
    <w:p>
      <w:pPr>
        <w:pStyle w:val="TextBody"/>
        <w:spacing w:lineRule="auto" w:line="288" w:before="120" w:after="180"/>
        <w:rPr>
          <w:rFonts w:ascii="Times New Roman;sans-serif" w:hAnsi="Times New Roman;sans-serif"/>
          <w:b/>
          <w:color w:val="000000"/>
          <w:sz w:val="20"/>
          <w:highlight w:val="white"/>
        </w:rPr>
      </w:pPr>
      <w:r>
        <w:rPr>
          <w:rFonts w:ascii="Times New Roman;sans-serif" w:hAnsi="Times New Roman;sans-serif"/>
          <w:b/>
          <w:color w:val="000000"/>
          <w:sz w:val="20"/>
          <w:highlight w:val="white"/>
        </w:rPr>
        <w:t>Our Competition</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market for work management platforms is increasingly competitive, fragmented and subject to rapidly changing technology, shifting user and customer needs, new market entrants, and frequent introductions of new products and services. We compete with companies that range in size, from large and diversified with significant spending resources to smaller companies. The work management solutions market is rapidly evolving and highly competitive, with relatively low barriers to entry, and in the future there will likely be an increasing number of similar solutions offered by additional competitors. Our competition addresses the project management and work management categories, including, but not limited to, solutions around email, messaging, and spreadsheets. Our competitors fall into the following groups: companies specifically offering work management solutions; companies offering productivity suites; and companies specializing in vertical solutions.</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believe we compete favorably based on the following competitive factors: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adaptability to a broad range of use cases;</w:t>
      </w:r>
    </w:p>
    <w:p>
      <w:pPr>
        <w:pStyle w:val="TextBody"/>
        <w:spacing w:lineRule="auto" w:line="288" w:before="0" w:after="180"/>
        <w:ind w:left="0" w:right="0" w:hanging="360"/>
        <w:jc w:val="both"/>
        <w:rPr/>
      </w:pPr>
      <w:r>
        <w:rPr>
          <w:color w:val="000000"/>
          <w:highlight w:val="white"/>
        </w:rPr>
        <w:t>•</w:t>
      </w:r>
      <w:r>
        <w:rPr>
          <w:rFonts w:ascii="Times New Roman;sans-serif" w:hAnsi="Times New Roman;sans-serif"/>
          <w:b w:val="false"/>
          <w:color w:val="000000"/>
          <w:sz w:val="20"/>
          <w:highlight w:val="white"/>
        </w:rPr>
        <w:t>features and functionality of platform capabilities;</w:t>
      </w:r>
    </w:p>
    <w:p>
      <w:pPr>
        <w:pStyle w:val="TextBody"/>
        <w:spacing w:lineRule="auto" w:line="288" w:before="0" w:after="180"/>
        <w:ind w:left="0" w:right="0" w:hanging="360"/>
        <w:jc w:val="both"/>
        <w:rPr/>
      </w:pPr>
      <w:r>
        <w:rPr>
          <w:color w:val="000000"/>
          <w:highlight w:val="white"/>
        </w:rPr>
        <w:t>•</w:t>
      </w:r>
      <w:r>
        <w:rPr>
          <w:rFonts w:ascii="Times New Roman;sans-serif" w:hAnsi="Times New Roman;sans-serif"/>
          <w:b w:val="false"/>
          <w:color w:val="000000"/>
          <w:sz w:val="20"/>
          <w:highlight w:val="white"/>
        </w:rPr>
        <w:t>developments and enhancements of work management solutions;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highlight w:val="white"/>
        </w:rPr>
        <w:t>customer service and support efforts;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highlight w:val="white"/>
        </w:rPr>
        <w:t>efficient hybrid go-to-market model;</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highlight w:val="white"/>
        </w:rPr>
        <w:t>ease of use, performance, price, and reliability of solutions;</w:t>
      </w:r>
    </w:p>
    <w:p>
      <w:pPr>
        <w:pStyle w:val="TextBody"/>
        <w:spacing w:lineRule="auto" w:line="288" w:before="0" w:after="180"/>
        <w:ind w:left="0" w:right="0" w:hanging="360"/>
        <w:jc w:val="both"/>
        <w:rPr/>
      </w:pPr>
      <w:r>
        <w:rPr>
          <w:color w:val="000000"/>
          <w:highlight w:val="white"/>
        </w:rPr>
        <w:t>•</w:t>
      </w:r>
      <w:r>
        <w:rPr>
          <w:rFonts w:ascii="Times New Roman;sans-serif" w:hAnsi="Times New Roman;sans-serif"/>
          <w:b w:val="false"/>
          <w:color w:val="000000"/>
          <w:sz w:val="20"/>
          <w:highlight w:val="white"/>
        </w:rPr>
        <w:t>scalability and security;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highlight w:val="white"/>
        </w:rPr>
        <w:t>brand strength;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highlight w:val="white"/>
        </w:rPr>
        <w:t>ability to create easy to use integrations for, and robust, effective partnerships with, other larger enterprise software solutions and tools.</w:t>
      </w:r>
    </w:p>
    <w:p>
      <w:pPr>
        <w:pStyle w:val="TextBody"/>
        <w:spacing w:lineRule="auto" w:line="288" w:before="120" w:after="180"/>
        <w:rPr>
          <w:rFonts w:ascii="Times New Roman;sans-serif" w:hAnsi="Times New Roman;sans-serif"/>
          <w:b/>
          <w:color w:val="000000"/>
          <w:sz w:val="20"/>
          <w:highlight w:val="white"/>
        </w:rPr>
      </w:pPr>
      <w:r>
        <w:rPr>
          <w:rFonts w:ascii="Times New Roman;sans-serif" w:hAnsi="Times New Roman;sans-serif"/>
          <w:b/>
          <w:color w:val="000000"/>
          <w:sz w:val="20"/>
          <w:highlight w:val="white"/>
        </w:rPr>
        <w:t>Intellectual Property</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Our intellectual property is an important aspect of our business. To establish and protect our proprietary rights, we rely upon a combination of patent, copyright, trade secret and trademark laws, and contractual restrictions such as confidentiality agreements, licenses, and intellectual property assignment agreements. We maintain a policy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requiring our employees, contractors, consultants, and other third parties to enter into confidentiality and proprietary rights agreements to control access to our proprietary information. These laws, procedures, and restrictions provide only limited protection, and any of our intellectual property rights may be challenged, invalidated, circumvented, infringed, or misappropriated. Furthermore, the laws of certain countries do not protect proprietary rights to the same extent as the laws of the United States, and we therefore may be unable to protect our proprietary technology in certain jurisdictions. Moreover, our platform incorporates software components licensed to the general public under open source software licenses. We obtain many components from software developed and released by contributors to independent open source components of our platform. Open source licenses grant licensees broad permissions to use, copy, modify, and redistribute our platform. As a result, open source development and licensing practices can limit the value of our software copyright assets. </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As of January 31, 2021, we had been granted 13 U.S. patents, had 33 U.S. patent applications pending, and five notices of allowance. Our issued patents expire between January 2031 and November 2040. We have not applied for patents in foreign jurisdictions. We continually review our development efforts to assess the existence and patentability of new intellectual property. We pursue the registration of our domain names, trademarks, and service marks in the United States and in certain locations outside the United States. </w:t>
      </w:r>
    </w:p>
    <w:p>
      <w:pPr>
        <w:pStyle w:val="TextBody"/>
        <w:spacing w:lineRule="auto" w:line="288" w:before="120" w:after="180"/>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Government Regulation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business acquisitions, consumer and data protection, and taxes, could have a material impact on our business in subsequent periods. For more information on the potential impacts of government regulations affecting our business, see “Item 1A - Risk Factors.”</w:t>
      </w: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2021, we had 1,080 employees, representing growth of 54% since January 31, 2020.</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future success largely depends upon our continued ability to attract and retain highly skilled employees. We provide our employees with competitive cash compensation, opportunities for equity ownership at all levels of the organization, development programs that enable continued learning and growth (including access to 1:1 coaching for every employee) and a robust employment package that promotes well-being across all aspects of their lives, including health care, retirement savings vehicles, and paid time off. Our compensation programs are designed to align employee interests’ with the long-term success of the company and to foster cross-business collaboration. As part of our promotion and retention efforts, we invest in ongoing leadership development through programs such as our Conscious Leadership training program and Outstanding Manager Bootcamp curriculum. In addition, we regularly conduct an employee survey to gauge employee engagement and identify areas of focus.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global company, we are steadfast in our commitment to diversity and inclusion. We value diversity at all levels and continue to focus on extending our diversity and inclusion initiatives across our entire workforce, from working with managers to develop strategies for building diverse teams to promoting the advancement of leaders from different backgrounds. Additional information regarding our commitment to diversity and inclusion can be found on our website at https://asana.com/diversity-and-inclusion. Information contained on, or that can be accessed through, our website is not incorporated by reference into this Annual Report on Form 10-K.</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Corporate Information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incorporated under the laws of the state of Delaware in December 2008. Our principal executive offices are located at 1550 Bryant Street, Suite 200, San Francisco, CA 94103. Our telephone number is (415) 525-3888. Our website address is https://asana.com. Information contained on, or that can be accessed through, our website is not incorporated by reference into this Annual Report on Form 10-K. The Asana design logo, “Asana,” and our other registered or common law trademarks, service marks or trade names appearing in this Annual Report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Form 10-K are the property of Asana, Inc. Other trade names, trademarks, and service marks used in this Annual Report on Form 10-K are the property of their respective owners.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file annual reports on Form 10-K, quarterly reports on Form 10-Q, current reports on Form 8-K, and amendments to reports filed or furnished pursuant to Sections 13(a) and 15(d) of the Exchange Act. The SEC maintains a website at www.sec.gov that contains reports, proxy and information statements, and other information that we file with the SEC electronically. Copies of our reports on Form 10-K, Forms 10-Q, Forms 8-K, and amendments to those reports may also be obtained, free of charge, electronically through our investor relations website located at investors.asana.com as soon as reasonably practical after we file such material with, or furnish it to, the SEC.</w:t>
      </w:r>
    </w:p>
    <w:p>
      <w:pPr>
        <w:pStyle w:val="TextBody"/>
        <w:spacing w:lineRule="auto" w:line="288" w:before="0" w:after="180"/>
        <w:ind w:left="0" w:right="0" w:firstLine="360"/>
        <w:jc w:val="both"/>
        <w:rPr/>
      </w:pPr>
      <w:r>
        <w:rPr>
          <w:rFonts w:ascii="Times New Roman;sans-serif" w:hAnsi="Times New Roman;sans-serif"/>
          <w:b w:val="false"/>
          <w:color w:val="000000"/>
          <w:sz w:val="20"/>
          <w:highlight w:val="white"/>
        </w:rPr>
        <w:t xml:space="preserve">We announce material information to the public using SEC filings, press releases, public conference calls, and on the investor relations page of our website at https://investors.asana.com. We use these channels, as well as social media, including our Twitter account (@asana), our blog (blog.asana.com), our LinkedIn page (www.linkedin.com/company/asana), our Instagram account (@asana), and our Facebook page (www.facebook.com/asana/), to communicate with investors and the public about our company, our products and services and other matters. Therefore, we encourage investors, the media and others interested in our company to review the information we make public in these locations, as such information could be deemed to be material information. </w:t>
      </w:r>
      <w:r>
        <w:rPr>
          <w:rFonts w:ascii="Times New Roman;sans-serif" w:hAnsi="Times New Roman;sans-serif"/>
          <w:b w:val="false"/>
          <w:color w:val="000000"/>
          <w:sz w:val="20"/>
        </w:rPr>
        <w:t>Information on or that can be accessed through our websites or these social media channels is not part of this Annual Report on Form 10-K, and the inclusion of our website addresses and social media channels are inactive textual references only.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0" w:after="180"/>
        <w:ind w:left="0" w:right="0" w:firstLine="360"/>
        <w:jc w:val="both"/>
        <w:rPr/>
      </w:pPr>
      <w:r>
        <w:rPr>
          <w:rFonts w:ascii="Times New Roman;sans-serif" w:hAnsi="Times New Roman;sans-serif"/>
          <w:b w:val="false"/>
          <w:i/>
          <w:color w:val="000000"/>
          <w:sz w:val="20"/>
        </w:rPr>
        <w:t>Investing in our Class A common stock involves a high degree of risk. You should carefully consider the risks described below, together with the other information in this Annual Report on Form 10-K, including the section titled “Management’s Discussion and Analysis of Financial Condition and Results of Operations” and our consolidated financial statements and related notes before deciding whether to invest in our Class A common stock.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r>
        <w:rPr>
          <w:rFonts w:ascii="Times New Roman;sans-serif" w:hAnsi="Times New Roman;sans-serif"/>
          <w:b w:val="false"/>
          <w:color w:val="000000"/>
          <w:sz w:val="20"/>
        </w:rPr>
        <w:t>.</w:t>
      </w: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We have experienced rapid growth in recent periods, and our recent growth rates may not be indicative of our future growth.</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rapid growth in recent periods. In future periods, we expect our revenue growth rate to decline. Further, as we operate in a new and rapidly changing category of work management software, widespread acceptance and use of our platform is critical to our future growth and success. We believe our revenue growth depends on a number of factors, including, but not limited to, our ability to:</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attract new individuals, teams, and organizations as customers;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grow or maintain our dollar-based net retention rate, expand usage within organizations, and sell subscriptions;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price our subscription plans effectively;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convert individuals, teams, and organizations on our free and trial versions into paying customers;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achieve widespread acceptance and use of our platform, including in markets outside of the United States;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continue to successfully expand our sales force;</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expand the features and capabilities of our platform;</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provide excellent customer experience and customer support;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maintain the security and reliability of our platform;</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successfully compete against established companies and new market entrants, as well as existing software tools;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increase awareness of our brand on a global basis;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comply with existing and new applicable laws and regulations.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accomplish these tasks,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We have a limited operating history at our current scale, which makes it difficult to evaluate our future prospects and may increase the risk that we will not be successful.</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growing rapidly in recent periods and, as a result, have a relatively short history operating our business at its current scale. Furthermore, we operate in an industry that is characterized by rapid technological innovation, intense competition, changing customer needs, and frequent introductions of new products, technologies, and services. We have encountered, and will continue to encounter, risks and uncertainties frequently experienced by growing companies in evolving industries. In addition, our future growth rate is subject to a number of uncertainties, such as general economic and market conditions, including those caused by the ongoing COVID-19 pandemic. If our assumptions regarding these risks and uncertainties, which we use to plan our business, are incorrect or change in reaction to changes in the market, or if we do not address these risks successfully, our results of operations could differ materially from our expectations, and our business, results of operations, and financial condition would suffer.</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We have a history of losses, and we may not be able to achieve profitability or, if achieved, sustain profitability. </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We have incurred net losses in each fiscal year since our founding. </w:t>
      </w:r>
      <w:r>
        <w:rPr>
          <w:rFonts w:ascii="Times New Roman;sans-serif" w:hAnsi="Times New Roman;sans-serif"/>
          <w:b w:val="false"/>
          <w:color w:val="000000"/>
          <w:sz w:val="20"/>
          <w:highlight w:val="white"/>
        </w:rPr>
        <w:t>We generated net losses of $211.7 million and $118.6 million for the fiscal years ended January 31, 2021 and January 31, 2020, respectively. As of January 31, 2021, we had an accumulated deficit of $541.4 million. We do not expect to be profitable in the near future, and we cannot assure you that we will achieve profitability in t</w:t>
      </w:r>
      <w:r>
        <w:rPr>
          <w:rFonts w:ascii="Times New Roman;sans-serif" w:hAnsi="Times New Roman;sans-serif"/>
          <w:b w:val="false"/>
          <w:color w:val="000000"/>
          <w:sz w:val="20"/>
        </w:rPr>
        <w:t>he future or that, if we do become profitable, we will sustain profitability. These losses reflect, among other things, the significant investments we made to develop and commercialize our platform, serve our existing customers, and broaden our customer base.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make substantial future investments and expenditures related to the growth of our business, including: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expansion of our sales and marketing activities;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continued investments in research and development to introduce new features and enhancements to our platform;</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hiring additional employees;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investments in infrastructure;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expansion of our operations across our multiple geographies;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increasing costs associated with our general and administrative organization.</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these investments and expenditures, we may experience losses in future periods that may increase significantly. Therefore, our losses in future periods may be significantly greater than the losses we would incur if we developed our business more slowly. In addition, we may find that these efforts are more expensive than we currently anticipate or that they may not result in increases in our revenues. We cannot be certain that we will be able to achieve, sustain, or increase profitability on a quarterly or annual basis. Any failure by us to achieve and sustain profitability would cause the trading price of our Class A common stock to decline.</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We believe our long-term value as a company will be greater if we focus on growth, which may negatively impact our profitability in the near and medium term.</w:t>
      </w:r>
    </w:p>
    <w:p>
      <w:pPr>
        <w:pStyle w:val="TextBody"/>
        <w:spacing w:lineRule="auto" w:line="288" w:before="0" w:after="180"/>
        <w:ind w:left="0" w:right="0" w:firstLine="360"/>
        <w:jc w:val="both"/>
        <w:rPr/>
      </w:pPr>
      <w:r>
        <w:rPr>
          <w:rFonts w:ascii="Times New Roman;sans-serif" w:hAnsi="Times New Roman;sans-serif"/>
          <w:b w:val="false"/>
          <w:color w:val="000000"/>
          <w:sz w:val="20"/>
          <w:highlight w:val="white"/>
        </w:rPr>
        <w:t>A significant part of our business strategy and culture is to focus on long-term growth and customer success over short-term financial results. For example, in the fiscal year ended January 31, 2021, we increased our operating expenses to $373.8 million as compared to $242.4 million in the fiscal year ended January 31, 2020. In the fiscal year ended January 31, 2021, our net loss increased to $211.7 million from $118.6 million in the fiscal year ended January 31, 2020. As a result, in the near and medium term, we may continue to operate at a loss, or our near- and medium-term profitability may be lower than it would be if our strategy were to max</w:t>
      </w:r>
      <w:r>
        <w:rPr>
          <w:rFonts w:ascii="Times New Roman;sans-serif" w:hAnsi="Times New Roman;sans-serif"/>
          <w:b w:val="false"/>
          <w:color w:val="000000"/>
          <w:sz w:val="20"/>
        </w:rPr>
        <w:t>imize near- and medium-term profitability. We expect to continue making significant expenditures on sales and marketing efforts, and expenditures to grow our platform and develop new features, integrations, capabilities, and enhancements to our platform. Such expenditures may not result in improved business results or profitability over the long term. If we are ultimately unable to achieve or improve profitability at the level or during the time frame anticipated by securities or industry analysts and our stockholders, the trading price of our Class A common stock may decline.</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Our quarterly results may fluctuate significantly and may not meet our expectations or those of investors or securities analysts.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results of operations, including the levels of our revenues, deferred revenue, working capital, and cash flows, may vary significantly in the future, such that period-to-period comparisons of our results of operations may not be meaningful. Our quarterly financial results may fluctuate due to a variety of factors, many of which are outside of our control and may be difficult to predict, including, but not limited to:</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level of demand for our platform;</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grow or maintain our dollar-based net retention rate, expand usage within organizations, and sell subscriptions;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convert individuals, teams, and organizations using our free and trial versions into paying customers;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timing and success of new features, integrations, capabilities, and enhancements by us to our platform, or by our competitors to their products, or any other changes in the competitive landscape of our market;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achieve widespread acceptance and use of our platform;</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errors in our forecasting of the demand for our platform, which would lead to lower revenues, increased costs, or both;</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amount and timing of operating expenses and capital expenditures, as well as entry into operating leases, that we may incur to maintain and expand our business and operations and to remain competitive;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timing of expenses and recognition of revenues;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security breaches, technical difficulties, or interruptions to our platform;</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pricing pressure as a result of competition or otherwise;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adverse litigation judgments, other dispute-related settlement payments, or other litigation-related costs;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number of new employees hired;</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timing of the grant or vesting of equity awards to employees, directors, or consultants;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seasonal buying patterns for software spending;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declines in the values of foreign currencies relative to the U.S. dollar;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and continuing uncertainty in relation to, the legislative or regulatory environment;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legal and regulatory compliance costs in new and existing markets;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costs and timing of expenses related to the potential acquisition of businesses, talent, technologies, or intellectual property, including potentially significant amortization costs and possible write-downs;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health epidemics, such as the COVID-19 pandemic, influenza, and other highly communicable diseases or viruses;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general economic conditions in either domestic or international markets, including geopolitical uncertainty and instability and their effects on software spending.</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one or more of the factors above may result in significant fluctuations in our quarterly results of operations, which may negatively impact the trading price of our Class A common stock. You should not rely on our past results as an indicator of our future performance.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variability and unpredictability of our quarterly results of operations or other operating metrics could result in our failure to meet our expectations or those of investors or analysts with respect to revenues or other metrics for a particular period. If we fail to meet or exceed such expectations for these or any other reasons, the trading price of our Class A common stock would fall, and we would face costly litigation, including securities class action lawsuits.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We may not be able to effectively manage our growth.</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rapid growth and increased demand for our platform. The growth and expansion of our business and platform may place a significant strain on our management, operational, and financial resources. We are required to manage multiple relationships with various strategic partners, customers, and other third parties. In the event of further growth of our operations or in the number of our third-party relationships, our computer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systems and expand, train, and manage our employee base.</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The COVID-19 pandemic has affected how we, our partners, and our customers operate and has adversely affected the global economy, and the duration and extent to which this will affect our business, future results of operations, and financial condition remains uncertain.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2019, COVID-19 was first reported to the World Health Organization, or WHO. In January 2020, the WHO declared the outbreak to be a public health emergency, and in March 2020, the WHO characterized COVID-19 as a pandemic. Since then, the COVID-19 pandemic and efforts to control its spread have significantly curtailed the movement of people, goods, and services worldwide. As a result, we have closed our headquarters and most of our other offices, required our employees and contractors to work remotely, implemented travel restrictions, and shifted company events and meetings to virtual-only experiences, all of which continued throughout 2020 and into 2021. These measures represent a significant disruption in how we operate our business, and we currently do not have visibility on when we may return to normal operations. The operations of our partners, vendors, and customers have likewise been disrupted.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duration of the COVID-19 pandemic depends on future developments that cannot be accurately predicted at this time, such as the extent and effectiveness of containment and mitigation actions, and the availability and widespread use of effective vaccines, it has already had an adverse effect on the global economy, and the ultimate societal and economic impact of the COVID-19 pandemic remains unknown. In particular, the conditions caused by this pandemic may affect the rate of global IT spending, which could adversely affect demand for our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platform. Further, the COVID-19 pandemic has caused us to experience, in some cases, longer sales cycles and an increase in certain prospective and current customers seeking lower prices or other more favorable contract terms, and has limited the ability of our direct sales force to travel to customers and potential customers. In addition, the COVID-19 pandemic could reduce the value or duration of subscriptions, negatively impact collections of accounts receivable, reduce expected spending from our paying customers, cause some of our paying customers to go out of business, and affect contraction or attrition rates of our paying customers, all of which could adversely affect our business, results of operations, and financial condition. Additionally, concerns over the ongoing economic impact of COVID-19 have caused volatility in financial and other capital markets, which may adversely affect our stock price and our ability to access capital markets in the future.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developed and continue to develop plans to help mitigate the negative impact of COVID-19 on our business and operations, these efforts may not be effective, and any protracted economic downturn will likely limit the effectiveness of our efforts. Accordingly, it is not possible for us to predict the duration and extent to which this will affect our business, future results of operations, and financial condition at this time.</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increase our revenues and achieve profitability, we must increase our customer base through various methods, including but not limited to, adding new customers, converting individuals, teams, and organizations using our free and trial versions into paying customers, and expanding usage within organizations. We encourage customers on our free and trial versions to upgrade to paid subscriptions plans and customers of our Premium plan to upgrade to our Business or Enterprise plans. Additionally, we seek to expand within enterprises by adding new customers, having organizations upgrade to our Business or Enterprise plans, or expanding their use of our platform into other departments within an organization. While we have experienced significant growth in the number of customers, we do not know whether we will continue to achieve similar customer growth rates in the future. Numerous factors may impede our ability to add new customers, convert individuals, teams, and organizations using our free and trial versions into paying customers, expand usage within organizations, and sell subscriptions to our platform, including but not limited to, our failure to attract and effectively train new sales and marketing personnel, failure to retain and motivate our current sales and marketing personnel, failure to develop or expand relationships with partners, failure to compete effectively against alternative products or services, failure to successfully deploy new features and integrations, failure to provide a quality customer experience and customer support, or failure to ensure the effectiveness of our marketing programs. Additionally, as we focus on increasing our sales to larger organizations, we will be required to deploy sophisticated and costly sales efforts, which may result in longer sales cycles. Sales efforts targeted at larger customers typically involve greater costs, longer sales cycles, greater competition, and less predictability in completing some of our sales. In the large enterprise market, the customer’s decision to use our platform can sometimes be an enterprise-wide decision, in which case, we will likely be required to provide greater levels of customer education to familiarize potential customers with the use and benefits of our platform, as well as training and support. In addition, larger enterprises may demand more customization, integration and support services, and features. As a result of these factors, these sales opportunities may require us to devote greater sales, research and development, and customer support resources to these customers, resulting in increased costs, lengthened sales cycles, and diversion of our own sales and professional services resources to a smaller number of larger customers. In addition, the ongoing COVID-19 pandemic and related precautionary measures we and other companies are taking are impacting our sales activity. For example, like many other companies, including our customers and prospects, our employees are working remotely, and we have limited all non-essential business travel. Restrictions on travel and in-person meetings have interrupted and could continue to interrupt our sales activity, and we cannot predict whether, for how long, or the extent to which the COVID-19 pandemic and related precautionary measures may have an impact. If our efforts to sell to organizations of all sizes are not successful or do not generate additional revenues, our business, results of operations, and financial condition would suffer.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believe that many of our new customers originate from word-of-mouth and other non-paid referrals from existing customers, so we must ensure that our existing customers remain loyal to our platform in order to continue receiving those referrals. Our ability to attract new customers and increase revenues from existing paying customers depends in large part on our ability to continually enhance and improve our platform and the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features, integrations, and capabilities we offer, and to introduce compelling new features, integrations, and capabilities that reflect the changing nature of our market in order to maintain and improve the quality and value of our platform. Accordingly, we must continue to invest in research and development and in our ongoing efforts to improve and enhance our platform. The success of any enhancement to our platform depends on several factors, including timely completion and delivery, competitive pricing, adequate quality testing, integration with existing technologies, and overall market acceptance. Any new features, integrations, and capabilities that we develop may not be introduced in a timely or cost-effective manner, may contain errors, failures, vulnerabilities, or bugs, or may not achieve the market acceptance necessary to generate significant revenues. Furthermore, the COVID-19 pandemic could have an impact on our plans to offer certain new features, integrations, and capabilities in a timely manner, particularly if we experience impacts to productivity due to our employees or their family members experiencing health issues, if our employees continue to work remotely for extended periods, or if there are increasing delays in the hiring and onboarding of new employees.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Moreover, our business is subscription based, and customers are not obligated to and may not renew their subscriptions after their existing subscriptions expire, and we cannot ensure that customers will renew subscriptions with a similar contract period, with the same or greater number of users, or for the same level of subscription plan or upgrade to Business and Enterprise plans. Customers may or may not renew their subscription plans as a result of a number of factors, including their satisfaction or dissatisfaction with our platform, our pricing or pricing structure, the pricing or capabilities of the products and services offered by our competitors, the effects of general economic conditions, or customers’ budgetary constraints. If customers do not renew their subscriptions, renew on less favorable terms, or fail to add more individuals, teams, and organizations, or if we fail to upgrade individuals, teams, and organizations to our paid subscription plans, or expand the adoption of our platform within organizations, our revenues may decline or grow less quickly than anticipated, which would harm our business, results of operations, and financial condition. Additionally, we continue to monitor how COVID-19 may impact the adoption of our platform generally and our success in engaging with new customers and expanding relationships with existing customers. We also may continue to experience a reduction in renewal rates, particularly within our small and medium-sized customers, as well as reduced customer spend and delayed payments that could materially impact our business, results of operations, and financial condition in future periods. While we believe our revenues are relatively predictable in the near-term as a result of our subscription-based business model, the effect of the COVID-19 pandemic may not be fully reflected in our operating results and overall financial performance until future periods. If we fail to predict customer demands, fail to sufficiently account for the impact of COVID-19 on our sales projections, or fail to attract new customers and maintain and expand new and existing customer relationships, our revenues may grow more slowly than expected, may not grow at all, or may decline, and our business may be harmed.</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One of our marketing strategies is to offer free and trial subscription plans, and we may not be able to continue to realize the benefits of this strategy.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offer free and trial subscription plans to promote brand awareness and organic adoption of our platform. Historically, only a small percentage of individuals, teams, and organizations using our free and trial subscription plans has converted into one of our paid subscription plans. Our marketing strategy depends in part on individuals, teams, and organizations who use our free and trial versions of our platform convincing others within their organizations to use Asana and to become paying customers. To the extent that increasing numbers of these individuals, teams, and organizations do not become, or lead others to become, paying customers, we will not realize the intended benefits of this marketing strategy, we will continue to pay the costs associated with hosting such free and trial versions, our ability to grow our business will be harmed, and our business, results of operations, and financial condition will suffer.</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We derive, and expect to continue to derive, substantially all of our revenues from a single solution.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and expect to continue to derive, substantially all of our revenues from a single solution. As such, the continued growth in market demand for and market acceptance, including international market acceptance, of our platform is critical to our continued success. Demand for our platform is affected by a number of factors, some of which are beyond our control, such as the rate of market adoption of work management solutions; the timing of development and release of competing new products; the development and acceptance of new features, integrations,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and capabilities for our platform; price, product, and service changes by us or our competitors; technological changes and developments within the markets we serve; growth, contraction, and rapid evolution of our market; and general economic conditions and trends. If we are unable to continue to meet the demands of individuals, teams, and organizations or trends in preferences for work management solutions or to achieve more widespread market acceptance of our platform, our business, results of operations, and financial condition would be harmed. Changes in preferences of our current or potential customers may have a disproportionately greater impact on us than if we offered multiple products. In addition, some current and potential customers, particularly larger organizations, may develop or acquire their own tools or continue to rely on traditional tools and software for their work management solutions, which would reduce or eliminate their demand for our platform. If demand for our platform declines for any of these or other reasons, our business, results of operations, and financial condition would be adversely affected.</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If the market for work management solutions develops more slowly than we expect or declines, our business would be adversely affected.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uncertain whether work management solutions will achieve and sustain high levels of customer demand and market acceptance given the relatively early stage of development of this market. Our success will depend to a substantial extent on the widespread adoption of work management solutions generally. Individuals and organizations may be reluctant or unwilling to migrate to work management solutions from spreadsheets, email, messaging, and legacy project management tools. It is difficult to predict adoption rates and demand for our platform, the future growth rate and size of the market for work management solutions, or the entry of competitive offerings. The expansion of the work management solutions market depends on a number of factors, including the cost, performance, and perceived value associated with work management solutions. If work management solutions do not achieve widespread adoption, or there is a reduction in demand for work management solutions caused by a lack of customer acceptance, technological challenges, weakening economic conditions, security or privacy concerns, competing technologies and products, decreases in corporate spending, or otherwise, it could result in decreased revenues, and our business, results of operations, and financial condition would be adversely affected.</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We operate in a highly competitive industry, and competition presents an ongoing threat to the success of our business.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work management solutions is increasingly competitive, fragmented, and subject to rapidly changing technology, shifting user and customer needs, new market entrants, and frequent introductions of new products and services. We compete with companies that range in size from large and diversified with significant spending resources to smaller companies. Our competition addresses the project management and work management categories, including, but not limited to, solutions relating to email, messaging, and spreadsheets. Our competitors generally fall into the following groups: companies specifically offering work management solutions, companies offering productivity suites, and companies specializing in vertical solutions that address a portion of our market.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ability to compete depends upon many factors both within and beyond our control, including the following: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adaptability of our platform to a broad range of use cases;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continued market acceptance of our platform and the timing and market acceptance of new features and enhancements to our platform or the offerings of our competitors;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ease of use, performance, price, security, and reliability of solutions developed either by us or our competitors;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brand strength;</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selling and marketing efforts, including our ability to grow our market share domestically and internationally;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size and diversity of our customer base;</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customer support efforts;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continue to create easy to use integrations for, and robust, effective partnerships with, other larger enterprise software solutions and tools.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current and potential competitors may have longer operating histories, greater brand name recognition, stronger and more extensive partner relationships, significantly greater financial, technical, marketing, and other resources, lower labor and development costs, and larger customer bases than we do. These competitors may engage in more extensive research and development efforts, undertake more far-reaching marketing campaigns, and adopt more aggressive pricing policies that will allow them to build larger customer bases than we have. In addition, some of our potential customers may elect to develop their own internal applications for their work management needs. Our competitors may also offer their products and services at a lower price, or, particularly during the ongoing COVID-19 pandemic, may offer price concessions, delayed payment terms, financing terms, or other terms and conditions that are more enticing to potential customers.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work management solutions market is rapidly evolving and highly competitive, with relatively low barriers to entry, and in the future there will likely be an increasing number of similar solutions offered by additional competitors. Large companies we do not currently consider to be competitors may enter the market, through acquisitions or through innovation and expansion of their existing solutions, to compete with us either directly or indirectly. Further, our potential and existing competitors may make acquisitions or enter into strategic relationships and rapidly acquire significant market share due to a larger customer base, superior product offering, more effective sales and marketing operations, or greater financial, technical, and other resources.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one of these competitive pressures in our market, or our failure to compete effectively, may result in price reductions; fewer customers; reduced revenues, gross profit, and gross margin; increased net losses; and loss of market share. Any failure to meet and address these factors would harm our business, results of operations, and financial condition.</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Failure to effectively develop and expand our direct sales capabilities would harm our ability to expand usage of our platform within our customer base and achieve broader market acceptance of our platform.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expand usage of our platform within our customer base and achieve broader market acceptance among businesses will depend to a significant extent on our ability to expand our sales operations successfully, particularly our direct sales efforts targeted at broadening use of our platform across departments and entire organizations. We plan to continue expanding our direct sales force, both domestically and internationally, to expand use of our platform within our customer base, and reach larger teams and organizations. This expansion will require us to continue to invest significant financial and other resources to train and grow our direct sales force in order to complement our self-service go-to-market approach. Our business, results of operations, and financial condition will be harmed if our efforts do not generate a corresponding increase in revenues. We may not achieve anticipated revenue growth from expanding our direct sales force if we are unable to hire and develop talented direct sales personnel, if our new direct sales personnel are unable to achieve desired productivity levels in a reasonable period of time, or if we are unable to retain our existing direct sales personnel. We believe that there is significant competition for sales personnel with the skills and technical knowledge that we require. Our ability to achieve revenue growth will depend, in large part, on our success in recruiting, training, and retaining sufficient numbers of sales personnel to support our growth.</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The loss of one or more of our key personnel, in particular our co-founder, President, Chief Executive Officer, and Chair, Dustin Moskovitz, would harm our business.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largely upon the continued services and performance of our senior management and other key personnel. From time to time, there may be changes in our senior management team resulting from the hiring or departure of executives and key employees, which could disrupt our business. Our senior management and key employees are employed on an at-will basis. We currently do not have “key person” insurance on any of our employees. The loss of key personnel, including our co-founder, President, Chief Executive Officer, and Chair, Dustin Moskovitz, and other key members of management, as well as our product development, engineering, sales, and marketing personnel, would disrupt our operations and have an adverse effect on our ability to grow our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business. Changes in our senior management team may also cause disruptions in, and harm to, our business, results of operations, and financial condition.</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We must continue to attract and retain highly qualified personnel in very competitive markets to continue to execute on our business strategy and growth plans.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execute our business model, we must attract and retain highly qualified personnel. Competition for executive officers, software engineers, sales personnel, and other key personnel in our industry and in the San Francisco Bay Area, where our headquarters is located, and in other locations where we maintain offices, is intense. As we become a more mature company, we may find our recruiting efforts more challenging. The incentives to attract, retain, and motivate employees provided by our stock options and other equity awards, or by other compensation arrangements, may not be as effective as in the past. Many of the companies with which we compete for experienced personnel have greater resources than we have. Our recruiting efforts may also be limited by laws and regulations, such as restrictive immigration laws, and restrictions on travel or availability of visas (including during the ongoing COVID-19 pandemic). If we do not succeed in attracting excellent personnel or retaining or motivating existing personnel, we may be unable to innovate quickly enough to support our business model or grow effectively.</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Our failure to protect our sites, networks, and systems against security breaches, or otherwise to protect our confidential information or the confidential information of our users, customers, or other third parties, would damage our reputation and brand, and substantially harm our business and results of operations.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Breaches of our security measures or those of our third-party service providers or cyber security incidents would result in unauthorized access to our sites, networks, systems, and accounts; unauthorized access to, and misappropriation of, individuals’ personal information or other confidential or proprietary information of ourselves, our customers, or other third parties; viruses, worms, spyware, or other malware being served from our platform, mobile application, networks, or systems; deletion or modification of content or the display of unauthorized content on our platform;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or litigation, regulatory action, and other potential liabilities. If any of these breaches of security should occur, we cannot guarantee that recovery protocols and backup systems will be sufficient to prevent data loss. Additionally, if any of these breaches occur, our reputation and brand could be damaged, our business may suffer, we could be required to expend significant capital and other resources to alleviate problems caused by such breaches, and we could be exposed to risk of loss, litigation or regulatory action, and other potential liability. Actual or anticipated security breaches or attacks may cause us to incur increasing costs, including costs to deploy additional personnel and protection technologies, train employees, and engage third-party experts and consultants. Additionally, there is an increased risk that we may experience cybersecurity-related events such as the reported cybersecurity attack on SolarWinds and a large number of its customers and other security challenges as a result of most of our employees and our service providers working remotely from non-corporate-managed networks during the ongoing COVID-19 pandemic and potentially beyond.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We continue to devote significant resources to protect against security breaches, and we may need to devote significant resources in the future to address problems caused by breaches, including notifying affected subscribers and responding to any resulting litigation, which in turn, diverts resources from the growth and expansion of our business.</w:t>
      </w:r>
    </w:p>
    <w:p>
      <w:pPr>
        <w:pStyle w:val="TextBody"/>
        <w:spacing w:lineRule="auto" w:line="288" w:before="120" w:after="240"/>
        <w:rPr>
          <w:rFonts w:ascii="Times New Roman;sans-serif" w:hAnsi="Times New Roman;sans-serif"/>
          <w:b/>
          <w:i/>
          <w:color w:val="000000"/>
          <w:sz w:val="20"/>
        </w:rPr>
      </w:pPr>
      <w:r>
        <w:rPr>
          <w:rFonts w:ascii="Times New Roman;sans-serif" w:hAnsi="Times New Roman;sans-serif"/>
          <w:b/>
          <w:i/>
          <w:color w:val="000000"/>
          <w:sz w:val="20"/>
        </w:rPr>
        <w:t>If we fail to manage our technical operations infrastructure, or experience service outages, interruptions, or delays in the deployment of our platform, our results of operations may be harmed.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experience system slowdowns and interruptions from time to time. In addition, continued growth in our customer base could place additional demands on our platform and could cause or exacerbate slowdowns or interrupt the availability of our platform. If there is a substantial increase in the volume of usage on our platform, we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users are not able to access our platform or encounter slowdowns when doing so, we may lose customers or partners. In order to remain competitive, we must continue to enhance and improve the responsiveness, functionality, and features of our platform. Our disaster recovery plan may not be sufficient to address all aspects or any unanticipated consequence or incidents, and our insurance may not be sufficient to compensate us for the losses that could occur.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Moreover, Amazon Web Services, or AWS, provides the cloud computing infrastructure that we use to host our platform, mobile application, and many of the internal tools we use to operate our business. We have a long-term commitment with AWS, and our platform, mobile application, and internal tools use computing, storage capabilities, bandwidth, and other services provided by AWS. Any significant disruption of, limitation of our access to, or other interference with our use of AWS would negatively impact our operations and could seriously harm our business. In addition, any transition of the cloud services currently provided by AWS to another cloud services provider would require significant time and expense and could disrupt or degrade delivery of our platform. Our business relies on the availability of our platform for our users and customers, and we may lose users or customers if they are not able to access our platform or encounter difficulties in doing so. The level of service provided by AWS could affect the availability or speed of our platform, which may also impact the usage of, and our customers’ satisfaction with, our platform and could seriously harm our business and reputation. If AWS increases pricing terms, terminates or seeks to terminate our contractual relationship, establishes more favorable relationships with our competitors, or changes or interprets its terms of service or policies in a manner that is unfavorable with respect to us, our business, results of operations, and financial condition could be harmed.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rely on hardware and infrastructure purchased or leased from third parties and software licensed from third parties to operate critical business functions. Our business would be disrupted if any of this third-party hardware, software, and infrastructure becomes unavailable on commercially reasonable terms, or at all. Furthermore, delays or complications with respect to the transition of critical business functions from one third-party product to another, or any errors or defects in third-party hardware, software, or infrastructure could result in errors or a failure of our platform, which could harm our business and results of operations.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Real or perceived errors, failures, vulnerabilities, or bugs in our platform would harm our business, results of operations, and financial condition.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software technology underlying and integrating with our platform is inherently complex and may contain material defects or errors. Errors, failures, vulnerabilities, or bugs have in the past, and may in the future, occur in our platform and mobile application, especially when updates are deployed or new features, integrations, or capabilities are rolled out. Any such errors, failures, vulnerabilities, or bugs may not be found until after new features, integrations, or capabilities have been released. Furthermore, we will need to ensure that our platform can scale to meet the evolving needs of customers, particularly as we increase our focus on larger teams and organizations. Real or perceived errors, failures, vulnerabilities, or bugs in our platform and mobile application could result in an interruption in the availability of our platform, negative publicity, unfavorable user experience, loss or leaking of personal data and data of organizations, loss of or delay in market acceptance of our platform, loss of competitive position, regulatory fines, or claims by organizations for losses sustained by them, all of which would harm our business, results of operations, and financial condition.</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If we are unable to ensure that our platform interoperates with a variety of software applications that are developed by others, including our integration partners, we may become less competitive and our results of operations may be harmed.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partners, through the interaction of application programming interfaces, or APIs. In general, we rely on the providers of such software systems to allow us access to their APIs to enable these integrations. We are typically subject to standard terms and conditions of such providers,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which govern the distribution, operation, and fees of such software systems, and which are subject to change by such providers from time to time. Our business will be harmed if any provider of such software systems: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discontinues or limits our access to its software or APIs;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modifies its terms of service or other policies, including fees charged to, or other restrictions on us, or other application developers;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how information is accessed by us or our customers;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establishes more favorable relationships with one or more of our competitors;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develops or otherwise favors its own competitive offerings over our platform.</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our platform includes a mobile application to enable individuals, teams, and organizations to access our platform through their mobile devices. If our mobile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Asana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Our culture has contributed to our success, and if we cannot maintain this culture as we grow, we could lose the high employee engagement fostered by our culture, which could harm our business.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 critical component of our success has been our culture. We have invested substantial time and resources in building out our team with an emphasis on shared values and a commitment to diversity and inclusion. As we continue to grow and develop the infrastructure associated with being a public company, we will need to maintain our culture among a larger number of employees dispersed in various geographic regions. Any failure to preserve our culture could negatively affect our future success, including our ability to retain and recruit personnel and to effectively focus on and pursue our mission to help humanity by enabling the world’s teams to work together effortlessly.</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Our business depends on a strong brand, and if we are not able to maintain and enhance our brand, our ability to expand our base of customers may be impaired, and our business and results of operations will be harmed.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brand identity that we have developed has significantly contributed to the success of our business. We also believe that maintaining and enhancing the “Asana” brand is critical to expanding our customer base and establishing and maintaining relationships with partners. Successful promotion of our brand will depend largely on the effectiveness of our marketing efforts and on our ability to ensure that our platform remains high-</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quality, reliable, and useful at competitive prices, as well as with respect to our free and trial versions. Maintaining and enhancing our brand may require us to make substantial investments and these investments may not be successful. If we fail to promote and maintain the “Asana” brand, or if we incur excessive expenses in this effort, our business, results of operations, and financial condition would be adversely affected. We anticipate that, as our market becomes increasingly competitive, maintaining and enhancing our brand may become more difficult and expensive.</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If we fail to offer high-quality customer support, our business and reputation will suffer.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designed our platform to be easy to adopt and use, once individuals, teams, and organizations begin using Asana, they rely on our support services to resolve any related issues. High-quality user and customer education and customer experience have been key to the adoption of our platform and for the conversion of individuals, teams, and organizations on our free and trial versions into paying customers. The importance of high-quality customer experience will increase as we expand our business and pursue new customers. For instance, if we do not help organizations on our platform quickly resolve issues and provide effective ongoing user experience at the individual, team, and organizational levels, our ability to convert organizations on our free and trial versions into paying customers will suffer, and our reputation with existing or potential customers will be harmed. Further, our sales are highly dependent on our business reputation and on positive recommendations from existing individuals, teams, and organizations on our platform. Any failure to maintain high-quality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we continue to grow our operations and reach a larger and increasingly global customer and user base, we need to be able to provide efficient customer support that meets the needs of organizations on our platform globally at scale. The number of organizations on our platform has grown significantly, which puts additional pressure on our support organization. We will need to hire additional support personnel to provide efficient product support globally at scale, and if we are unable to provide such support, our business, results of operations, and financial condition would be harmed.</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We rely on third parties maintaining open marketplaces to distribute our mobile application. If such third parties interfere with the distribution of our platform, our business would be adversely affected.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will not charge us fees to list our application for download. We are also dependent on these third-party marketplaces to enable us and our users to timely update our mobile application, and to incorporate new features, integrations, and capabilities. We are subject to requirements imposed by marketplaces such as Apple and Google, who may change their technical requirements or policies in a manner that adversely impacts the way in which we or our partners collect, use and share data from users through our mobile application. If we do not comply with these requirements, we could lose access to the mobile application marketplace and users, and our business, results of operations, and financial condition may be harmed.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Apple Inc.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We rely on traditional web search engines to direct traffic to our website. If our website fails to rank prominently in unpaid search results, traffic to our website could decline and our business would be adversely affected.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part on our ability to attract users through unpaid Internet search results on traditional web search engines such as Google. The number of users we attract to our website from search engines is due in large part to how and where our website ranks in unpaid search results. These rankings can be affected by a number of factors, many of which are not in our direct control, and they may change frequently. For example, a search engine may change its ranking algorithms, methodologies, or design layouts. As a result, links to our website may </w:t>
      </w: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not be prominent enough to drive traffic to our website, and we may not know how or otherwise be in a position to influence the results. Any reduction in the number of users directed to our website could reduce our revenues or require us to increase our sales and marketing expenditures.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We may become subject to intellectual property rights claims and other litigation that are expensive to support, and if resolved adversely, could have a material adverse effect on us.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considerable patent and other intellectual property development activity in our industry. Our competitors, as well as a number of other entities, including non-practicing entities and individuals, may own or claim to own intellectual property relating to our industry.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 The costs of supporting such litigation, regardless of merit,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 as a result.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If we are unable to protect our intellectual property rights, the value of our brand and other intangible assets may be diminished, and our business may be adversely affected.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 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Furthermore, the steps we have taken and may take in the future may not prevent misappropriation of our proprietary solutions or technologies, particularly with respect to officers and employees who are no longer employed by us.</w:t>
      </w:r>
    </w:p>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third parties may knowingly or unknowingly infringe or circumvent our intellectual property rights, and we may not be able to prevent infringement without incurring substantial expense. Litigation brought to protect and enforce our intellectual property rights would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Our failure to obtain or maintain the right to use certain of our intellectual property would negatively affect our business.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and competitive position depends in part upon our ability to obtain or maintain certain intellectual property used in our platform.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be approved or that the claims allowed on any issued patents will be sufficiently broad to protect our technology or platform and provide us with competitive advantages. Furthermore, any issued patents may be challenged, invalidated, or circumvented by third parties.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patent applications in the United States may not be public for a period of time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 not be public for a period of time, there is also a risk that we could adopt a technology without knowledge of a pending patent application, which technology would infringe a third-party patent once that patent is issued.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unpatented proprietary technology.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our trademarks, trade names, and brand names to distinguish our solutions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solutions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Any future litigation against us could be costly and time-consuming to defend.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 the past and may in the future become subject to legal proceedings and claims that arise in the ordinary course of business. We could be sued or face regulatory action for defamation, civil rights infringement, </w:t>
      </w:r>
    </w:p>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negligence, intellectual property rights infringement, invasion of privacy, personal injury, product liability, regulatory compliance, or other legal claims relating to information that is published or made available via our platform. Litigation might result in substantial costs and may divert management and key personnel’s attention and resources, which might seriously harm our business, results of operations, and financial condition.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pStyle w:val="TextBody"/>
        <w:spacing w:lineRule="auto" w:line="288" w:before="120" w:after="180"/>
        <w:rPr/>
      </w:pPr>
      <w:r>
        <w:rPr>
          <w:rFonts w:ascii="Times New Roman;sans-serif" w:hAnsi="Times New Roman;sans-serif"/>
          <w:b/>
          <w:i/>
          <w:color w:val="000000"/>
          <w:sz w:val="20"/>
        </w:rPr>
        <w:t>Our use of “open source” and third-party software could impose unanticipated conditions or restrictions on our ability to commercialize our solutions and could</w:t>
      </w:r>
      <w:r>
        <w:rPr>
          <w:color w:val="000000"/>
        </w:rPr>
        <w:t xml:space="preserve"> </w:t>
      </w:r>
      <w:r>
        <w:rPr>
          <w:rFonts w:ascii="Times New Roman;sans-serif" w:hAnsi="Times New Roman;sans-serif"/>
          <w:b/>
          <w:i/>
          <w:color w:val="000000"/>
          <w:sz w:val="20"/>
        </w:rPr>
        <w:t>subject us to possible litigation.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portion of the technologies we use in our platform and mobile application incorporates “open source” software, and we may incorporate open source software in our platform and mobile application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license such code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and could be subject to significant damages, enjoined from the sale of our platform that contained the open source software, and required to comply with the foregoing conditions, including public release of certain portions of our proprietary source code.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operating results.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Any of the foregoing would disrupt the distribution and sale of subscriptions to our platform and harm our business, results of operations, and financial condition. </w:t>
      </w:r>
    </w:p>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process, store, and use business and personal information belonging to our users and customers. There are numerous federal, state, local, and foreign laws and regulations regarding data protection and the storing, sharing, use, processing, disclosure, and protection of business and personal information. These laws continue to evolve in scope and are subject to differing interpretations, and may contain inconsistencies or pose conflicts with other legal requirements. We seek to comply with applicable laws, regulations, policies, legal obligations, and industry standards and have developed privacy policies, data processing addenda, and internal privacy procedures to reflect such compliance. However, it is possible that these obligations may be interpreted and applied in a manner that is inconsistent from one jurisdiction to another and may conflict with other rules or our practices. Failure or perceived failure by us to comply with our privacy policies, privacy-related obligations to users, customers, or other third parties, or our privacy-related legal obligations, or any data compromise that results in the unauthorized release, misuse, or transfer of business or personal information or other user or customer data, may result in domestic or foreign governmental enforcement actions, fines, litigation, or public statements against us by our users, customers, consumers, regulators, consumer advocacy groups, or others, which would have an adverse effect on our reputation and business. We could also incur significant costs investigating and defending such claims and, if we are found liable, significant damages.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Data protection regulation is an area of increased focus and changing requirements. Any significant change in applicable laws, regulations, or industry practices regarding the use or disclosure of our users’ or customers’ data, or regarding the manner in which the express or implied consent of users or customers for the use and disclosure of such data is obtained, could require us to modify our platform, possibly in a material manner, and may limit our ability to develop new services and features that make use of the data that our users and customers voluntarily share. For example, the General Data Protection Regulation 2016/679, or GDPR, which came into effect in the European Union, or E.U., in May 2018 and superseded prior E.U. data protection legislation, imposes more stringent data protection requirements and provides for greater penalties for noncompliance. The GDPR enhances data protection obligations for processors and controllers of personal information, including, for example, expanded disclosures of requirements, limitations on retention of personal information, mandatory data breach notification requirements, and additional obligations. Non-compliance with the GDPR can trigger fines of up to the greater of €20 million or 4% of our global revenues and restrictions or prohibitions on data processing. While we instituted a GDPR compliance strategy and program that we continue to evaluate and improve as our platform changes and expands, we still do not know how E.U. regulators will interpret or enforce many aspects of the GDPR, and some regulators may do so in an inconsistent manner.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United Kingdom’s (“U.K.”) exit from the European Union, often referred to as Brexit, requires us to comply with a separate set of data protection laws in the U.K. and exposes us to the potential for divergent enforcement actions.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a post-Brexit trade deal between the U.K. and the E.U., transfers of personal information from the European Economic Area (“EEA”) to the U.K. are not considered restricted transfers under the GDPR for a period of up to six months from January 1, 2021. However, unless the E.U. Commission makes an adequacy finding with respect to the U.K. before the end of that period, the U.K. will be considered a “third country” under the GDPR and transfers of European personal information to the U.K. will require an adequacy mechanism to render such transfers lawful under the GDPR. Additionally, although the U.K. enacted the Data Protection Act in May 2018 that is designed to be consistent with the GDPR, uncertainty remains regarding how data transfers to and from the U.K. will be regulated notwithstanding Brexit. The effects of Brexit have been and are expected to continue to be far-reaching. Brexit and the perceptions as to its impact may adversely affect business activity and economic conditions globally, and could continue to contribute to instability in global financial markets. Brexit could also have the effect of disrupting the free movement of goods, services, and people between the U.K. and the E.U. In addition, Brexit could lead to legal uncertainty and potentially divergent national laws and regulations as the U.K. determines which E.U. laws to replace or replicate. The full effects of Brexit are uncertain and will remain so until the U.K and European Union reach a definitive resolution with regards to outstanding trade and legal matters. Given these </w:t>
      </w:r>
    </w:p>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possibilities and others we may not anticipate, as well as the lack of comparable precedent, the full extent to which our business, results of operations, and financial condition could be adversely affected by Brexit is uncertain.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European Court of Justice issued an opinion in the “Schrems II” case that invalidated the transfer of personal data from the European Union to the United States under the EU-US Privacy Shield and questioned whether transfers using other data transfer mechanisms may continue without additional safeguards.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Similarly, the Swiss Federal Data Protection and Information Commissioner announced that the Swiss-U.S. Privacy Shield Framework is inadequate for personal information transfers from Switzerland to the United States, and also raised questions about the viability of the Standard Contractual Clauses (“SCCs”). At present, there are few, if any, viable alternatives to the EU-U.S. Privacy Shield, Swiss-U.S. Privacy Shield, and the SCCs, all of which are mechanisms on which we have relied for personal information transfers from Europe to the United States and other countries. Authorities in the U.K. may similarly invalidate use of the EU-U.S. Privacy Shield and raise questions on the viability of the SCCs as mechanisms for lawful personal information transfers to the United States and other countries. In November 2020, E.U. regulators proposed a new set of SCCs. The new SCCs impose additional obligations and requirements with respect to the transfer of E.U. personal data to other jurisdictions, which may increase the legal risks and liabilities under the GDPR and local E.U. laws associated with cross-border data transfers, and result in material increased compliance and operational costs. If we are unable to implement a valid solution for personal information transfers from Europe, we will face increased exposure to regulatory actions, substantial fines, and injunctions against processing or transferring personal information from Europe, and we may be required to increase our data processing capabilities in Europe at significant expense. Inability to import personal information from Europe to the United States or other countries may decrease demand for our products and services as our customers that are subject to the GDPR may seek alternatives that do not involve personal information transfers out of Europe. Our inability to import personal information to the United States and other countries may decrease the functionality or effectiveness of our products and services and adversely impact our marketing efforts, plans and activities. We expect E.U. regulators to aggressively enforce E.U. laws prohibiting data transfers to the United States and other countries without a legally sound transfer mechanism, and it possible that E.U. regulators could prevent us from transferring any personal information out of the European Union to certain countries like the United States.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rules regarding the use of online cookies and similar online trackers in the European Union are becoming more stringent in terms of the advance consent companies must obtain from data subjects before such trackers can be placed on browsers. These developments may impact our analytics and advertising activities and our ability to analyze how users interact with our services.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European Union,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would potentially impose more stringent obligations, including data localization requirements. If we are unable to develop and offer products that meet legal requirements or help our users and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platform, harm to our reputation, and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Data protection legislation is also becoming increasingly common in the United States at both the federal and state level. For example, the California Consumer Privacy Act of 2018, or the CCPA, came into effect on January 1, 2020 and final CCPA regulations were issued in August 2020. The CCPA requires companies that process information on California residents to make new disclosures to consumers about their data collection, use, and </w:t>
      </w:r>
    </w:p>
    <w:p>
      <w:pPr>
        <w:pStyle w:val="HorizontalLine"/>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While we have implemented a CCPA compliance program that we continue to evaluate and improve upon, we still do not know how the California Attorney General will interpret or enforce many aspects of the CCPA. Additionally, the California Privacy Rights Act (“CPRA”) was approved by voters in California in November 2020, and beginning in January 2023 will impose additional data protection obligations on companies doing business in California, including additional consumer rights processes and opt outs for certain uses of sensitive data. It will also create a new California data protection agency to enforce the law, which would likely result in increased regulatory scrutiny of California businesses in the areas of data protection and security. Aspects of the CCPA and CPRA and their interpretation and enforcement remain uncertain. The potential effects of the CCPA and CRPA are far-reaching and may require us to modify our data processing practices and policies and to incur substantial costs and expenses in an effort to comply. Similar laws have been proposed in other states and at the federal level, and if passed, such laws may have potentially conflicting requirements that would make compliance challenging.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the Federal Trade Commission and many state attorneys general continue to enforce federal and state consumer protection laws against companies for online collection, use, dissemination, and security practices that appear to be unfair or deceptive. There are a number of legislative proposals in the United States, at both the federal and state level, and in the European Union and more globally, that could impose new obligations in areas such as e-commerce and other related legislation or liability for copyright infringement by third parties. We cannot yet determine the impact that future laws, regulations, and standards may have on our business.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We are subject to anti-corruption, anti-bribery, and similar laws, and our failure to comply with these laws could subject us to criminal penalties or significant fines and harm our business and reputation.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anti-corruption and anti-bribery and similar laws, such as the U.S. Foreign Corrupt Practices Act of 1977, as amended, or the FCPA, the U.S. domestic bribery statute contained in 18 U.S.C. § 201,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We are subject to various export, import, and trade and economic sanction laws and regulations controls that could impair our ability to compete in international markets and subject us to liability for noncompliance.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activities are subject to various export, import, and trade and economic sanction laws and regulations, including, among others, the U.S. Export Administration Regulations, administered by the Department of Commerce’s Bureau of Industry and Security, or BIS, and economic and trade sanctions regulations maintained by the U.S. Department of the Treasury’s Office of Foreign Assets Control, or OFAC, which we refer to collectively as Trade Controls. Trade Controls may prohibit or restrict the sale or supply of certain products, including encryption items and other technology, and services to certain governments, persons, entities, countries, and territories, including those that are the target of comprehensive sanctions. We incorporate encryption technology into our platform, which may subject its export outside of the United States to various export authorization requirements, including licensing, compliance with license exceptions, or other appropriate government authorization, including the filing of an encryption classification request or self-classification report with the U.S. Commerce Department. In addition, various other countries regulate the import and export of certain encryption and other technology, including through import permitting and licensing requirements, and have enacted laws that could limit our ability to distribute our platform or could limit the ability of organizations to use our platform in those countries. </w:t>
      </w:r>
    </w:p>
    <w:p>
      <w:pPr>
        <w:pStyle w:val="HorizontalLine"/>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have implemented controls designed to promote and achieve compliance with applicable Trade Controls, in the past we may have inadvertently provided certain services to some customers in apparent violation of U.S. sanctions laws and exported software and source code prior to submitting required filings and obtaining authorization from BIS regarding exports of our software. As a result, we submitted voluntary self-disclosures concerning these activities to OFAC and BIS. On June 29, 2020, BIS determined not to pursue a civil monetary penalty against us and issued a warning letter to resolve our voluntary self-disclosure regarding past apparent inadvertent violations of the U.S. Export Administration Regulations. On February 25, 2021, OFAC determined not to pursue a civil monetary penalty against us or take other enforcement action and issued a cautionary letter to resolve our voluntary self-disclosure regarding past apparent inadvertent violations of the Iranian Transactions and Sanctions Regulations, the Syrian Sanctions Regulations, the Cuban Assets Control Regulations, and the Sudanese Sanctions Regulations. While the letters from BIS and OFAC represent final enforcement responses in each case, they do not preclude either BIS or OFAC from taking future enforcement actions under their respective authorities.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seek to conduct our business in full compliance with Trade Controls, we cannot guarantee that these controls will be fully effective. Violations of Trade Controls may subject our company, including responsible personnel, to various adverse consequences, including civil or criminal penalties, government investigations, and loss of export privileges. Further, obtaining the necessary authorizations, including any required licenses, for particular transactions or uses of our platform may be time-consuming, is not guaranteed, and may result in the delay or loss of sales opportunities. In addition, if our reseller partners fail to obtain any required import, export, or re-export licenses or permits, this could result in a violation of law by us, and we may also suffer reputational harm and other negative consequences, including government investigations and penalties.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Finally, changes in our platform or future changes in Trade Controls could result in our inability to provide our platform to certain customers or decreased use of our platform by existing or potential customers with international operations. Any decreased use of our platform or mobile application or increased limitations on our ability to export or sell our platform and mobile application would adversely affect our business, results of operations, and financial condition.</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Sales to customers outside the United States and our international operations expose us to risks inherent in international sales and operations.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fiscal year ended January 31, 2021, 42% of our revenues were generated from customers outside the United States. We have operations in Dublin, London, Munich, Paris, Reykjavik, Singapore, Sydney, Tokyo, and Vancouver, in addition to New York and San Francisco. Operating in international markets requires significant resources and management attention and subjects us to regulatory, economic, and political risks that are different from those in the United States. In addition, we will face risks in doing business internationally that could adversely affect our business and results of operations, including: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need to localize and adapt our platform for specific countries, including translation into foreign languages and associated expenses;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data privacy laws that impose different and potentially conflicting obligations with respect to how personal data is processed or require that customer data be stored in a designated territory;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difficulties in staffing and managing foreign operations;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regulatory and other delays and difficulties in setting up foreign operations;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different pricing environments, longer sales cycles, longer accounts receivable payment cycles, and collections issues;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new and different sources of competition;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weaker protection for intellectual property and other legal rights than in the United States and practical difficulties in enforcing intellectual property and other rights outside of the United States;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laws and business practices favoring local competitors;</w:t>
      </w:r>
    </w:p>
    <w:p>
      <w:pPr>
        <w:pStyle w:val="HorizontalLine"/>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compliance challenges related to the complexity of multiple, conflicting, and changing governmental laws and regulations, including employment, tax, privacy, and data protection laws and regulations;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increased financial accounting and reporting burdens and complexities;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declines in the values of foreign currencies relative to the U.S. dollar;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restrictions on the transfer of funds;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potentially adverse tax consequences;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cost of and potential outcomes of any claims or litigation;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future accounting pronouncements and changes in accounting policies;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tax laws or tax regulations;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health or similar issues, such as a pandemic or epidemic;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regional and local economic and political conditions.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our business globally, our success will depend, in large part, on our ability to anticipate and effectively manage these risks. These factors and others could harm our ability to increase international revenues and, consequently, would materially impact our business and results of operations.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If we experience excessive fraudulent activity, we could incur substantial costs and lose the right to accept credit cards for payment, which could cause our customer base to decline significantly.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large portion of our customers authorize us to bill their credit card accounts through our third-party payment processing partners for our paid subscription plans. If customers pay for their subscription plans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subscription plans,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for our paid subscription plans. Substantial losses due to fraud or our inability to accept credit card payments would cause our customer base to significantly decrease and would harm our business.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We may engage in merger and acquisition activities, which would require significant management attention, disrupt our business, dilute stockholder value, and adversely affect our business, results of operations, and financial condition.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business strategy to expand our platform and grow our business in response to changing technologies, customer demand, and competitive pressures, we may in the future make investments or acquisitions in other companies, products, or technologies.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customers or investors. We may encounter difficult or unforeseen expenditures in integrating an acquisition, particularly if we cannot retain the key </w:t>
      </w:r>
    </w:p>
    <w:p>
      <w:pPr>
        <w:pStyle w:val="HorizontalLine"/>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personnel of the acquired company. Existing and potential customers may also delay or reduce their use of our platform due to a concern that the acquisition may decrease effectiveness of our platform (including any newly acquired product). In addition, if we fail to successfully integrate such acquisitions, or the assets, technologies, or personnel associated with such acquisitions, into our company, the business and results of operations of the combined company would be adversely affected.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technology and accurately forecast the financial impact of an acquisition transaction, including accounting charges. We may have to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We may need additional capital, and we cannot be sure that additional financing will be available.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financed our operations and capital expenditures primarily through sales of our capital stock and debt securities that are convertible into our capital stock. 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Our operating activities may be restricted as a result of covenants related to the indebtedness under our loan and security agreement, and we may be required to repay the outstanding indebtedness in an event of default, which would have an adverse effect on our business.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2020, we entered into a five-year loan and security agreement with Silicon Valley Bank. The agreement provides for a senior secured term loan facility, in an aggregate principal amount of up to $40.0 million, to be used for the construction of our new corporate headquarters.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engage in transactions with affiliates, and to encumber our intellectual property. In addition, the loan and security agreement contains customary affirmative and negative covenants, including maintaining certain liquidity thresholds, and restrictions and limitations on our ability to incur additional indebtedness, dispose of assets, engage in certain merger or acquisition transactions, pay dividends or make distributions, and certain other restrictions on our activities. Our business may be adversely affected by these restrictions on our ability to operate our business.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may be required to repay the outstanding indebtedness under the loan facility if an event of default occurs under the loan and security agreement. Under the loan and security agreement, an event of default will occur if, among other things, we fail to make payments under the loan and security agreement; we breach </w:t>
      </w:r>
    </w:p>
    <w:p>
      <w:pPr>
        <w:pStyle w:val="HorizontalLine"/>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covenants under the loan and security agreement, subject to specified cure periods with respect to certain breaches; we or our assets become subject to certain legal proceedings, such as bankruptcy proceedings; we are unable to pay our debts as they become due; or we default on contracts with third parties which would permit Silicon Valley Bank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Silicon Valley Bank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Our reported financial results may be adversely affected by changes in accounting principles generally accepted in the United States.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 are subject to interpretation by the Financial Accounting Standards Board, or FASB, the American Institute of Certified Public Accountants, the Securities and Exchange Commission, or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A failure to establish and maintain an effective system of disclosure controls and internal control over financial reporting, could adversely affect our ability to produce timely and accurate financial statements or comply with applicable regulations.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In addition to our results determined in accordance with GAAP, we believe certain non-GAAP measures may be useful in evaluating our operating performance. We present certain non-GAAP financial measures in this report and intend to continue to present certain non-GAAP financial measures in future filings with the SEC and other public statements. Any failure to accurately report and present our non-GAAP financial measures could cause investors to lose confidence in our reported financial and other information, which would likely have a negative effect on the trading price of our Class A common stock.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w:t>
      </w:r>
    </w:p>
    <w:p>
      <w:pPr>
        <w:pStyle w:val="HorizontalLine"/>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which would likely have a negative effect on the trading price of our Class A common stock. In addition, if we are unable to continue to meet these requirements, we may not be able to remain listed on the NYSE. We are not currently required to comply with the SEC rules that implement Section 404 of the Sarbanes-Oxley Act and are therefore not required to make a formal assessment of the effectiveness of our internal control over financial reporting for that purpose. We will be required to provide an annual management report on the effectiveness of our internal control over financial reporting commencing with our next annual report on Form 10-K.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Class A common stock.</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Changes in tax laws or regulations could be enacted or existing tax laws or regulations could be applied to us or our customers in a manner that could increase the costs of our platform and harm our business.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sales, use, or other tax laws, statutes, rules, regulations, or ordinances could be enacted or amended at any time (possibly with retroactive effect), and could be applied solely or disproportionately to products and services provided over the internet. These enactments or amendments could reduce our sales activity due to the inherent cost increase the taxes would represent and ultimately harm our results of operations and cash flows.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application of U.S. federal, state, local, and international tax laws to services provided electronically is unclear and continuously evolving. Existing tax laws, statutes, rules, regulations, or ordinances could be interpreted or applied adversely to us, possibly with retroactive effect, which could require us or our customers to pay additional tax amounts, as well as require us or our customers to pay fines or penalties, as well as interest for past amounts. If we are unsuccessful in collecting such taxes due from our customers, we would be held liable for such costs, thereby adversely affecting our results of operations and harming our business.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be subject to taxation in several jurisdictions around the world with increasingly complex tax laws, the application of which can be uncertain. Although we have not been required to pay income taxes, other than in immaterial amounts in certain foreign jurisdictions to date,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would harm us and our results of operations.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Our business, results of operations, and financial condition may be harmed if we are required to collect sales, value added, or other related taxes for subscriptions to our platform in jurisdictions where we have not historically done so.</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collect sales tax in a number of jurisdictions. One or more states or countries may seek to impose incremental or new sales, use, value added, or other tax collection obligations on us. A successful assertion by a state, country, or other jurisdiction that we should have been or should be collecting additional sales, use, value added, or other taxes could, among other things, result in substantial tax payments, create significant administrative burdens for us, discourage potential customers from subscribing to our platform due to the incremental cost of any such sales, value added, or other related taxes, or otherwise harm our business, results of operations, and financial condition.</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expect to become profitable in the near future, may never achieve profitability, and have incurred substantial net operating losses, or NOLs, during our history. In general, under Sections 382 and 383 of the Internal </w:t>
      </w:r>
    </w:p>
    <w:p>
      <w:pPr>
        <w:pStyle w:val="HorizontalLine"/>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Revenue Code of 1986, as amended, a corporation that undergoes an “ownership change” is subject to limitations on its ability to utilize its pre-change NOLs or tax credits to offset future taxable income or taxes. For these purposes, an ownership change generally occurs where the aggregate change in stock ownership by one or more stockholders or groups of stockholders owning at least 5% of a corporation’s stock exceeds more than 50 percentage points over a three-year period. We have experienced ownership changes since inception and our utilization of net operating loss carryforwards will be subject to annual limitations. However, it is not expected that the annual limitations will result in the expiration of tax attribute carryforwards prior to utilization. We may experience additional ownership changes in connection with subsequent shifts in our stock ownership (some of which shifts are outside our control). As a result, even if we attain profitability, we may be unable to use a material portion of our NOLs and other tax attributes.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We may face exposure to foreign currency exchange rate fluctuations.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historically transacted in U.S. dollars with the majority of our customers and vendors, we have transacted in some foreign currencies with such parties and for our payroll in those foreign jurisdictions where we have operations, and expect to continue to transact in more foreign currencies in the future. Accordingly, declines in the value of foreign currencies relative to the U.S. dollar can adversely affect our revenues and results of operations due to transactional and translational remeasurement that is reflected in our earnings. Also, fluctuations in the values of foreign currencies relative to the U.S. dollar could make it more difficult to detect underlying trends in our business and results of operations.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our critical accounting policies prove to be incorrect, our results of operations could be adversely affected.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revenues and expenses that are not readily apparent from other sources. Significant assumptions and estimates used in preparing our consolidated financial statements include those related to the useful lives and carrying values of long-lived assets, the fair value of the convertible note, the fair value of common stock, stock-based compensation expense, the period of benefit for deferred contract acquisition costs,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Catastrophic events may disrupt our business.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Natural disasters or other catastrophic events may cause damage or disruption to our operations, international commerce, and the global economy, and thus could harm our business. In particular, the ongoing COVID-19 pandemic, including the reactions of governments, markets, and the general public, may result in a number of adverse consequences for our business, operations, and results of operations, many of which are beyond our control. We have our headquarters and a large employee presence in San Francisco, California, and the west coast of the United States contains active earthquake zones. In the event of a major earthquake, hurricane, or catastrophic event such as fire, power loss, telecommunications failure, cyber-attack, war, or terrorist attack, we may be unable to continue our operations and may endure system interruptions, reputational harm, delays in our platform development, lengthy interruptions in our platform, breaches of data security, and loss of critical data, all of which would harm our business, results of operations, and financial condition. Acts of terrorism would also cause disruptions to the internet or the economy as a whole. In addition, the insurance we maintain would likely not be adequate to cover our losses resulting from disasters or other business interruptions. Our disaster recovery plan may not be sufficient to address all aspects or any unanticipated consequence or incident, and our insurance may not be sufficient to compensate us for the losses that could occur.</w:t>
      </w:r>
    </w:p>
    <w:p>
      <w:pPr>
        <w:pStyle w:val="HorizontalLine"/>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We are an emerging growth company under the JOBS Act, and we are permitted to rely on exemptions from certain disclosure requirements. We cannot be certain if the reduced disclosure requirements applicable to emerging growth companies will make our Class A common stock less attractive to investors.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For as long as we continue to be an emerging growth company, which could be as long as five years following the completion of our listing on the NYSE, we may choose to take advantage of certain exemptions from various reporting requirements applicable to other public companies that are not emerging growth companies, including not being required to comply with the auditor attestation requirements of Section 404, reduced PCAOB reporting requirements,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transition periods for complying with new or revised accounting standards. We cannot predict if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The trading price of our Class A common stock may be volatile and could decline significantly and rapidly.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Class A common stock on the NYSE could be subject to wide fluctuations in response to numerous factors in addition to the ones described in the preceding Risk Factors, many of which are beyond our control, including: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actual or anticipated fluctuations in our results of operations;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overall performance of the equity markets and the economy as a whole;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the financial projections we may provide to the public or our failure to meet these projections;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failure of securities analysts to initiate or maintain coverage of us, changes in financial estimates by any securities analysts who follow our company, or our failure to meet these estimates or the expectations of investors;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pricing of subscription plans to our platform;</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actual or anticipated changes in our growth rate relative to that of our competitors;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the anticipated future size or growth rate of our addressable markets;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announcements of new products, or of acquisitions, strategic partnerships, joint ventures, or capital-raising activities or commitments, by us or by our competitors;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additions or departures of board members, management, or key personnel;</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rumors and market speculation involving us or other companies in our industry;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new laws or regulations or new interpretations of existing laws or regulations applicable to our business, including those related to data privacy and cyber security in the United States or globally;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lawsuits threatened or filed against us;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other events or factors, including those resulting from war, incidents of terrorism, or responses to these events;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health epidemics, such as the COVID-19 pandemic, influenza, and other highly communicable diseases or viruses; and</w:t>
      </w:r>
    </w:p>
    <w:p>
      <w:pPr>
        <w:pStyle w:val="HorizontalLine"/>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sales or expectations with respect to sales of shares of our Class A common stock by us or our security holders, particularly sales by our founders, directors, executive officers, and principal stockholders, none of whom are subject to any contractual lock-up agreement or other contractual restrictions on transfer.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In the past, companies that have experienced volatility in the trading price for their stock have been subject to securities class action litigation. If we were to become involved in securities litigation, it could subject us to substantial costs, divert resources and the attention of management from our business, and adversely affect our business, results of operations, and financial condition.</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Our largest stockholder will have the ability to influence the outcome of director elections and other matters requiring stockholder approval.</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Dustin Moskovitz, our co-founder, President, Chief Executive Officer, Chair, and largest stockholder, beneficially owns a significant percentage of our outstanding Class A common stock and Class B common stock, together, representing a majority of the voting power of our capital stock as of January 31, 2021. Mr. Moskovitz could exert substantial influence over matters requiring approval by our stockholders. This concentration of ownership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 Additionally, if our two 3.5% senior mandatory convertible promissory notes due 2025 convert into Class B common stock on or before the maturity dates, the voting power held by Mr. Moskovitz will further increase.</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The dual class structure of our common stock has the effect of concentrating voting control with our founders,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Class B common stock has 10 votes per share, and our Class A common stock, which is the stock listed on the NYSE has one vote per share. Our founders, directors, executive officers, and their affiliates hold a majority of the voting power of our capital stock. Because of the 10-to-one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date that is specified by the affirmative vote of the holders of two-thirds of the then-outstanding shares of Class B common stock, (ii) one year after the death or permanent disability of Mr. Moskovitz, or (iii) the later of the date that is (x) September 21, 2030 and (y) the date that Mr. Moskovitz no longer serves as our Chief Executive Officer or as a member of our board of directors. The conversion of Class B common stock to Class A common stock will have the effect, over time, of increasing the relative voting power of those </w:t>
      </w:r>
    </w:p>
    <w:p>
      <w:pPr>
        <w:pStyle w:val="HorizontalLine"/>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Class B common stock who retain their shares over the long term. As a result, it is possible that, in addition to Mr. Moskovitz, one or more of the persons or entities holding our Class B common stock could gain significant voting control as other holders of Class B common stock sell or otherwise convert their shares into Class A common stock.</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We cannot predict the effect our dual class structure may have on the trading price of our Class A common stock.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whether our dual class structure will result in a lower or more volatile trading price of our Class A common stock on the NYSE,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None of our stockholders are party to any contractual lock-up agreement or other contractual restrictions on transfer. Sales of substantial amounts of our Class A common stock in the public markets, or the perception that sales might occur, could cause the trading price of our Class A common stock to decline.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common stock into the public market, particularly sales by our founders, directors, executive officers, and principal stockholders, or the perception that these sales might occur in large quantities, could cause the trading price of our Class A common stock to decline.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 of our securityholders are subject to any contractual lock-up or other restriction on the transfer or sale of their shares.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certain of our securityholders have rights, subject to some conditions, to require us to file registration statements for the public resale of the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issue our capital stock or securities convertible into our capital stock from time to time in connection with a financing, acquisition, investments, or otherwise. Any such issuance could result in significant dilution to our existing stockholders and cause the trading price of our Class A common stock to decline.</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Our business and financial performance may differ from any projections that we disclose or any information that may be attributed to us by third parties.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w:t>
      </w:r>
    </w:p>
    <w:p>
      <w:pPr>
        <w:pStyle w:val="HorizontalLine"/>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Our trading price and trading volume could decline if securities or industry analysts do not publish research about our business, or if they publish unfavorable research.</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any equity research analysts will adequately provide research coverage about our company and of our Class A common stock. A lack of adequate research coverage may harm the liquidity and trading price of our Class A common stock. To the extent equity research analysts do provide research coverage of our company and our Class A common stock, we will not have any control over the content and opinions included in their reports. The trading price of our Class A common stock could decline if one or more of the analysts who c downgrade our stock or publish inaccurate or unfavorable commentary or research. If one or more of these analysts cease coverage of our company, or fail to regularly publish reports on us, the demand for our Class A common stock could decrease, which in turn could cause our trading price or trading volume to decline.</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The requirements of being a public company may strain our resources, divert management’s attention, and affect our ability to attract and retain executive management and qualified board members.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the listing standards of the NYSE,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Furthermore, several members of our management team do not have prior experience in running a public company.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Being a public company that is subject to these new rules and regulations has made and will continue to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compensation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pStyle w:val="HorizontalLine"/>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We do not intend to pay dividends for the foreseeable future.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In addition, our senior secured term loan facility contains restrictions on our ability to pay dividends. Accordingly, investors must rely on sales of their Class A common stock as the only way to realize any future gains, if any, on their investments.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Additional stock issuances could result in significant dilution to our stockholders.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our capital stock or securities convertible into our capital stock from time to time in connection with a financing, acquisition, investments, or otherwise. Additional issuances of our stock will result in dilution to existing holders of our stock. Also, the exercise of stock options to purchase our stock and the settlement of RSUs will result in further dilution. The amount of dilution could be substantial depending upon the size of the issuance or exercise. Additionally, in January and June 2020, we issued and sold to the Dustin Moskovitz Trust, an affiliated trust of Mr. Moskovitz, two 3.5% senior mandatory convertible promissory notes due 2025 for an aggregate principal amount of $450.0 million, that, if converted prior to their maturity, will convert into a number of shares of our Class B common stock between an aggregate of 17,012,822 and 27,220,504 shares. Any such issuances could result in substantial dilution to our existing stockholders and cause the trading price of our Class A common stock to decline.</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are provisions in our restated certificate of incorporation and restated bylaws that may make it difficult for a third party to acquire, or attempt to acquire, control of our company, even if a change in control were considered favorable by our stockholders. These anti-takeover provisions include: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classified board of directors so that not all members of our board of directors are elected at one time;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ability of our board of directors to determine the number of directors and to fill any vacancies and newly created directorships;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requirement that our directors may only be removed for cause;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prohibition on cumulative voting for directors;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requirement of a super-majority to amend some provisions in our restated certificate of incorporation and restated bylaws;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authorization of the issuance of “blank check” preferred stock that our board of directors could use to implement a stockholder rights plan;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provide for a dual class common stock structure in which holders of our Class B common stock, which has 10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inability of our stockholders to call special meetings of stockholders;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prohibition on stockholder actions by written consent, thereby requiring that all stockholder actions be taken at a meeting of our stockholders.</w:t>
      </w:r>
    </w:p>
    <w:p>
      <w:pPr>
        <w:pStyle w:val="HorizontalLine"/>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restated certificate of incorporation, our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Our restated certificate of incorporation designates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or our stockholders arising pursuant to the Delaware General Corporation Law, our certificate of incorporation, or our bylaws, any action to interpret, apply, enforce, or determine the validity of our certificate of incorporation or bylaws, any action as to which the Delaware General Corporation Law confers jurisdiction to the Court of Chancery of the State of Delaware, or any action asserting a claim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restated certificate of incorporation provides that the federal district courts of the United States of America will be the exclusive forum for resolving any complaint asserting a cause of action arising under the Securities Act.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Item 2. Properties </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Our corporate headquarters is located in San Francisco, California, where we lease approximately 88,000 square feet of office space pursuant to a lease that is set to expire in October 2021. In </w:t>
      </w:r>
      <w:r>
        <w:rPr>
          <w:rFonts w:ascii="Times New Roman;sans-serif" w:hAnsi="Times New Roman;sans-serif"/>
          <w:b w:val="false"/>
          <w:color w:val="000000"/>
          <w:sz w:val="20"/>
          <w:highlight w:val="white"/>
        </w:rPr>
        <w:t>February 2019, we entered into a lease agreement, pursuant to which we lease office space located in San Francisco, California consisting of 265,890 square feet for an initial term of 160 months which commenced in May 2020. This office building will house our new corporate headquarters, which we expect to begin occupying in the second quarter of fiscal 2022.</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In addition, we maintain additional offices in the United States and internationally, including in </w:t>
      </w:r>
      <w:r>
        <w:rPr>
          <w:rFonts w:ascii="Times New Roman;sans-serif" w:hAnsi="Times New Roman;sans-serif"/>
          <w:b w:val="false"/>
          <w:color w:val="000000"/>
          <w:sz w:val="20"/>
          <w:highlight w:val="white"/>
        </w:rPr>
        <w:t>Dublin, London, Munich, New York, Reykjavik, Singapore, Sydney, Tokyo, and Vancouver</w:t>
      </w:r>
      <w:r>
        <w:rPr>
          <w:rFonts w:ascii="Times New Roman;sans-serif" w:hAnsi="Times New Roman;sans-serif"/>
          <w:b w:val="false"/>
          <w:color w:val="000000"/>
          <w:sz w:val="20"/>
        </w:rPr>
        <w:t xml:space="preserve">. </w:t>
      </w:r>
    </w:p>
    <w:p>
      <w:pPr>
        <w:pStyle w:val="HorizontalLine"/>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 xml:space="preserve">Item 3. Legal Proceedings </w:t>
      </w:r>
    </w:p>
    <w:p>
      <w:pPr>
        <w:pStyle w:val="TextBody"/>
        <w:spacing w:lineRule="auto" w:line="288" w:before="0" w:after="18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Item 5. Market for Registrant’s Common Equity, Related Stockholder Matters and Issuer Purchases of Equity Security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Market Information for Our Class A Common Stock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has been listed on the NYSE under the symbol “ASAN” since September 30, 2020. Prior to that date, there was no public trading market for our Class A common stock.</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15, 2021, we had 96 holders of record of our Class A common stock and 17 holders of record of our Class B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the section titled “Security Ownership of Certain Beneficial Owners and Management and Related Stockholder Matters” for information regarding securities authorized for issuance.</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(i) the cumulative total stockholder return on our Class A common stock from September 30, 2020 (the date our Class A common stock commenced trading on the NYSE) through January 31, 2021 with (ii) the cumulative total return of the Standard &amp; Poor's (S&amp;P) 500 Index and the Standard &amp; Poor’s Information Technology Index over the same period, assuming the investment of $100 in our Class A common stock and in both of the other indices on September 30, 2020 and the reinvestment of dividends. The graph uses the closing market price on September 30, 2020 of $28.80 per share as the initial value of our Class A common stock. As discussed above, we have never declared or paid a cash dividend on our Class A common stock and do not anticipate declaring or paying a cash dividend in the foreseeable future.</w:t>
      </w:r>
    </w:p>
    <w:p>
      <w:pPr>
        <w:pStyle w:val="HorizontalLine"/>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before="0" w:after="180"/>
        <w:ind w:left="0" w:right="0" w:firstLine="360"/>
        <w:jc w:val="both"/>
        <w:rPr/>
      </w:pPr>
      <w:r>
        <w:rPr/>
        <w:drawing>
          <wp:inline distT="0" distB="63500" distL="0" distR="0">
            <wp:extent cx="5838825" cy="3619500"/>
            <wp:effectExtent l="0" t="0" r="0" b="0"/>
            <wp:docPr id="5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 descr=""/>
                    <pic:cNvPicPr>
                      <a:picLocks noChangeAspect="1" noChangeArrowheads="1"/>
                    </pic:cNvPicPr>
                  </pic:nvPicPr>
                  <pic:blipFill>
                    <a:blip r:embed="rId4"/>
                    <a:stretch>
                      <a:fillRect/>
                    </a:stretch>
                  </pic:blipFill>
                  <pic:spPr bwMode="auto">
                    <a:xfrm>
                      <a:off x="0" y="0"/>
                      <a:ext cx="5838825" cy="3619500"/>
                    </a:xfrm>
                    <a:prstGeom prst="rect">
                      <a:avLst/>
                    </a:prstGeom>
                  </pic:spPr>
                </pic:pic>
              </a:graphicData>
            </a:graphic>
          </wp:inline>
        </w:drawing>
      </w:r>
    </w:p>
    <w:p>
      <w:pPr>
        <w:pStyle w:val="TextBody"/>
        <w:spacing w:lineRule="auto" w:line="288" w:before="0" w:after="180"/>
        <w:rPr/>
      </w:pPr>
      <w:r>
        <w:rPr>
          <w:rFonts w:ascii="Times New Roman;sans-serif" w:hAnsi="Times New Roman;sans-serif"/>
          <w:b/>
          <w:color w:val="000000"/>
          <w:sz w:val="20"/>
        </w:rPr>
        <w:t>Unregistered Sales of Equity Securities</w:t>
      </w:r>
      <w:r>
        <w:rPr>
          <w:color w:val="000000"/>
        </w:rPr>
        <w:t xml:space="preserve"> </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From February 1, 2020 through September 22, 2020 (the date of the filing of our registration statement on Form S-8, File No. 333-248955), we issued to certain directors, officers, employees, consultants, and other service providers options for an aggregate of 16,713 shares of our Class A common stock under our equity compensation plans at an exercise price of $13.04 per share.</w:t>
      </w:r>
    </w:p>
    <w:p>
      <w:pPr>
        <w:pStyle w:val="TextBody"/>
        <w:spacing w:lineRule="auto" w:line="288" w:before="0" w:after="180"/>
        <w:ind w:left="0" w:right="0" w:firstLine="360"/>
        <w:jc w:val="both"/>
        <w:rPr/>
      </w:pPr>
      <w:r>
        <w:rPr>
          <w:rFonts w:ascii="Times New Roman;sans-serif" w:hAnsi="Times New Roman;sans-serif"/>
          <w:b w:val="false"/>
          <w:color w:val="000000"/>
          <w:sz w:val="20"/>
        </w:rPr>
        <w:t>From February 1, 2020 through September 22, 2020 (the date of the filing of our registration statement on Form S-8, File No. 333-248955), we issued and sold to certain directors, officers</w:t>
      </w:r>
      <w:r>
        <w:rPr>
          <w:rFonts w:ascii="Times New Roman;sans-serif" w:hAnsi="Times New Roman;sans-serif"/>
          <w:b w:val="false"/>
          <w:color w:val="000000"/>
          <w:sz w:val="20"/>
          <w:highlight w:val="white"/>
        </w:rPr>
        <w:t>, employees, consultants, and other service providers an aggregate of 4,304,888 shares of our Class A common stock upon exercise of options granted under our equity compensation plans, with purchase prices ranging from $0.14 to $13.04, for an aggregate purchase price of $8,392,913.</w:t>
      </w:r>
    </w:p>
    <w:p>
      <w:pPr>
        <w:pStyle w:val="TextBody"/>
        <w:spacing w:lineRule="auto" w:line="288" w:before="0" w:after="180"/>
        <w:ind w:left="0" w:right="0" w:firstLine="360"/>
        <w:jc w:val="both"/>
        <w:rPr/>
      </w:pPr>
      <w:r>
        <w:rPr>
          <w:rFonts w:ascii="Times New Roman;sans-serif" w:hAnsi="Times New Roman;sans-serif"/>
          <w:b w:val="false"/>
          <w:color w:val="000000"/>
          <w:sz w:val="20"/>
        </w:rPr>
        <w:t>From February 1, 2020 through September 22, 2020 (the date of the filing of our registration statement on Form S-8, File No. 333-248955), we issued to certain directors, officers</w:t>
      </w:r>
      <w:r>
        <w:rPr>
          <w:rFonts w:ascii="Times New Roman;sans-serif" w:hAnsi="Times New Roman;sans-serif"/>
          <w:b w:val="false"/>
          <w:color w:val="000000"/>
          <w:sz w:val="20"/>
          <w:highlight w:val="white"/>
        </w:rPr>
        <w:t>, employees, consultants, and other service providers RSUs for an aggregate of 5,637,148 shares of our Class A common stock under our equity compensation plans.</w:t>
      </w:r>
    </w:p>
    <w:p>
      <w:pPr>
        <w:pStyle w:val="TextBody"/>
        <w:spacing w:lineRule="auto" w:line="288" w:before="0" w:after="180"/>
        <w:ind w:left="0" w:right="0" w:firstLine="360"/>
        <w:jc w:val="both"/>
        <w:rPr/>
      </w:pPr>
      <w:r>
        <w:rPr>
          <w:rFonts w:ascii="Times New Roman;sans-serif" w:hAnsi="Times New Roman;sans-serif"/>
          <w:b w:val="false"/>
          <w:color w:val="000000"/>
          <w:sz w:val="20"/>
        </w:rPr>
        <w:t>From February 1, 2020 throug</w:t>
      </w:r>
      <w:r>
        <w:rPr>
          <w:rFonts w:ascii="Times New Roman;sans-serif" w:hAnsi="Times New Roman;sans-serif"/>
          <w:b w:val="false"/>
          <w:color w:val="000000"/>
          <w:sz w:val="20"/>
          <w:highlight w:val="white"/>
        </w:rPr>
        <w:t>h September 22, 202</w:t>
      </w:r>
      <w:r>
        <w:rPr>
          <w:rFonts w:ascii="Times New Roman;sans-serif" w:hAnsi="Times New Roman;sans-serif"/>
          <w:b w:val="false"/>
          <w:color w:val="000000"/>
          <w:sz w:val="20"/>
        </w:rPr>
        <w:t>0 (the date of the filing of our registration statement on Form S-8, File No. 333-248955), we issued 41,390</w:t>
      </w:r>
      <w:r>
        <w:rPr>
          <w:color w:val="000000"/>
          <w:highlight w:val="white"/>
        </w:rPr>
        <w:t xml:space="preserve"> </w:t>
      </w:r>
      <w:r>
        <w:rPr>
          <w:rFonts w:ascii="Times New Roman;sans-serif" w:hAnsi="Times New Roman;sans-serif"/>
          <w:b w:val="false"/>
          <w:color w:val="000000"/>
          <w:sz w:val="20"/>
          <w:highlight w:val="white"/>
        </w:rPr>
        <w:t xml:space="preserve">shares of our Class A common stock to </w:t>
      </w:r>
      <w:r>
        <w:rPr>
          <w:rFonts w:ascii="Times New Roman;sans-serif" w:hAnsi="Times New Roman;sans-serif"/>
          <w:b w:val="false"/>
          <w:color w:val="000000"/>
          <w:sz w:val="20"/>
        </w:rPr>
        <w:t>certain directors, officers</w:t>
      </w:r>
      <w:r>
        <w:rPr>
          <w:rFonts w:ascii="Times New Roman;sans-serif" w:hAnsi="Times New Roman;sans-serif"/>
          <w:b w:val="false"/>
          <w:color w:val="000000"/>
          <w:sz w:val="20"/>
          <w:highlight w:val="white"/>
        </w:rPr>
        <w:t>, employees, consultants, and other service providers upon settlement of RSUs granted under our equity compensation plans.</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June 2020, we issued a 3.5% senior mandatory convertible promissory note due June 26, 2025 in the principal amount of $150.0 million to the Dustin Moskovitz Trust.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transactions did not involve any underwriters, any underwriting discounts or commissions, or any public offering. We believe the offers, sales, and issuances of the above securities were exempt from registration under the Securities Act (or Regulation D or Regulation S promulgated thereunder) by virtue of Section 4(a)(2) of the Securities Act, because the issuance of securities to the recipient did not involve a public offering, or in reliance </w:t>
      </w:r>
    </w:p>
    <w:p>
      <w:pPr>
        <w:pStyle w:val="HorizontalLine"/>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All recipients had adequate access, through their relationships with us or otherwise, to information about us. The issuances of these securities were made without any general solicitation or advertising.</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Issuer Purchase of Equity Securities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contains information relating to the repurchases of our common stock made by us in the three months ended January 31, 2021. </w:t>
      </w:r>
    </w:p>
    <w:tbl>
      <w:tblPr>
        <w:tblW w:w="8637" w:type="dxa"/>
        <w:jc w:val="left"/>
        <w:tblInd w:w="0" w:type="dxa"/>
        <w:tblCellMar>
          <w:top w:w="28" w:type="dxa"/>
          <w:left w:w="28" w:type="dxa"/>
          <w:bottom w:w="28" w:type="dxa"/>
          <w:right w:w="28" w:type="dxa"/>
        </w:tblCellMar>
      </w:tblPr>
      <w:tblGrid>
        <w:gridCol w:w="1032"/>
        <w:gridCol w:w="908"/>
        <w:gridCol w:w="924"/>
        <w:gridCol w:w="109"/>
        <w:gridCol w:w="109"/>
        <w:gridCol w:w="109"/>
        <w:gridCol w:w="899"/>
        <w:gridCol w:w="899"/>
        <w:gridCol w:w="902"/>
        <w:gridCol w:w="109"/>
        <w:gridCol w:w="109"/>
        <w:gridCol w:w="109"/>
        <w:gridCol w:w="575"/>
        <w:gridCol w:w="1393"/>
        <w:gridCol w:w="297"/>
        <w:gridCol w:w="154"/>
      </w:tblGrid>
      <w:tr>
        <w:trPr/>
        <w:tc>
          <w:tcPr>
            <w:tcW w:w="10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Total Number of Shares Purchased</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 November 30,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 December 31,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14,624 </w:t>
            </w:r>
          </w:p>
        </w:tc>
        <w:tc>
          <w:tcPr>
            <w:tcW w:w="9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 January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9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65"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65"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65"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65"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w:t>
      </w:r>
    </w:p>
    <w:p>
      <w:pPr>
        <w:pStyle w:val="TextBody"/>
        <w:spacing w:lineRule="auto" w:line="288" w:before="0" w:after="0"/>
        <w:ind w:left="0" w:right="0" w:hanging="90"/>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Represents shares of unvested</w:t>
      </w:r>
      <w:r>
        <w:rPr>
          <w:color w:val="000000"/>
          <w:highlight w:val="white"/>
        </w:rPr>
        <w:t xml:space="preserve"> </w:t>
      </w:r>
      <w:r>
        <w:rPr>
          <w:rFonts w:ascii="Times New Roman;sans-serif" w:hAnsi="Times New Roman;sans-serif"/>
          <w:b w:val="false"/>
          <w:color w:val="000000"/>
          <w:sz w:val="18"/>
          <w:highlight w:val="white"/>
        </w:rPr>
        <w:t>Class A common stock that were repurchased by us from former employees upon termination of employment in accordance with the terms of the employees’ stock option agreements. We purchased the shares from the former employees at the respective original exercise prices.</w:t>
      </w:r>
    </w:p>
    <w:p>
      <w:pPr>
        <w:pStyle w:val="TextBody"/>
        <w:spacing w:before="0" w:after="18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6. Selected Financial Data</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selected financial data previously required by Item 301 of Regulation S-K has been omitted in reliance on SEC Release No. 33-10890.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spacing w:lineRule="auto" w:line="288" w:before="0" w:after="180"/>
        <w:ind w:left="0" w:right="0" w:firstLine="360"/>
        <w:jc w:val="both"/>
        <w:rPr/>
      </w:pPr>
      <w:r>
        <w:rPr>
          <w:rFonts w:ascii="Times New Roman;sans-serif" w:hAnsi="Times New Roman;sans-serif"/>
          <w:b w:val="false"/>
          <w:i/>
          <w:color w:val="000000"/>
          <w:sz w:val="20"/>
        </w:rPr>
        <w:t>The following discussion and analysis of our financial condition and results of operations should be read in conjunction with the section titled “Selected Consolidated Financial Data” and the consolidated financial statements and related notes included elsewhere in this report. As described in the section titled “Special Note Regarding Forward-Looking Statements,” this discussion contains forward</w:t>
      </w:r>
      <w:r>
        <w:rPr>
          <w:color w:val="000000"/>
        </w:rPr>
        <w:noBreakHyphen/>
      </w:r>
      <w:r>
        <w:rPr>
          <w:rFonts w:ascii="Times New Roman;sans-serif" w:hAnsi="Times New Roman;sans-serif"/>
          <w:b w:val="false"/>
          <w:i/>
          <w:color w:val="000000"/>
          <w:sz w:val="20"/>
        </w:rPr>
        <w:t>looking statements based upon current expectations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above in this report. Our fiscal year ends on January 31.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Asana is a work management platform that helps teams orchestrate work, from daily tasks to cross-functional strategic initiatives. Over 93,000 paying customers use Asana to manage everything from product launches to marketing campaigns to organization-wide goal setting. Our platform adds structure to unstructured work, creating clarity, transparency, and accountability to everyone within an organization—individuals, team leads, and executives—so they understand exactly who is doing what, by when.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Asana is flexible and applicable to virtually any use case across departments and organizations of all sizes. We designed our platform to be easy to use and intuitive to all users, regardless of role or technical proficiency. Users can start a project within minutes and onboard team members seamlessly without outside support. We allow users to work the way they want with the interface that is right for them, using tasks, lists, calendars, boards, timelines, and Workload.</w:t>
      </w:r>
    </w:p>
    <w:p>
      <w:pPr>
        <w:pStyle w:val="TextBody"/>
        <w:spacing w:lineRule="auto" w:line="288" w:before="0" w:after="200"/>
        <w:ind w:left="0" w:right="0" w:firstLine="270"/>
        <w:jc w:val="both"/>
        <w:rPr/>
      </w:pPr>
      <w:r>
        <w:rPr>
          <w:rFonts w:ascii="Times New Roman;sans-serif" w:hAnsi="Times New Roman;sans-serif"/>
          <w:b w:val="false"/>
          <w:color w:val="000000"/>
          <w:sz w:val="20"/>
        </w:rPr>
        <w:t>We have experienced rapid growth in recent periods. Our revenues were $227.0 million, $142.6 million, and $76.8 million for fiscal 2021, fiscal 2020, and fiscal 2019, respectively, representing growth of 59% and 86% for fiscal 2021 and f</w:t>
      </w:r>
      <w:r>
        <w:rPr>
          <w:rFonts w:ascii="Times New Roman;sans-serif" w:hAnsi="Times New Roman;sans-serif"/>
          <w:b w:val="false"/>
          <w:color w:val="000000"/>
          <w:sz w:val="20"/>
          <w:highlight w:val="white"/>
        </w:rPr>
        <w:t>iscal 2020, respectively</w:t>
      </w:r>
      <w:r>
        <w:rPr>
          <w:rFonts w:ascii="Times New Roman;sans-serif" w:hAnsi="Times New Roman;sans-serif"/>
          <w:b w:val="false"/>
          <w:color w:val="000000"/>
          <w:sz w:val="20"/>
        </w:rPr>
        <w:t xml:space="preserve">. As of January 31, 2021, we had 1,080 employees, representing growth of 54% since January 31, 2020. We had a net loss of $211.7 million, $118.6 million, and $50.9 million for </w:t>
      </w:r>
      <w:r>
        <w:rPr>
          <w:rFonts w:ascii="Times New Roman;sans-serif" w:hAnsi="Times New Roman;sans-serif"/>
          <w:b w:val="false"/>
          <w:color w:val="000000"/>
          <w:sz w:val="20"/>
          <w:highlight w:val="white"/>
        </w:rPr>
        <w:t>fiscal 2021, fiscal 2020, and fiscal 2019, respectively</w:t>
      </w:r>
      <w:r>
        <w:rPr>
          <w:rFonts w:ascii="Times New Roman;sans-serif" w:hAnsi="Times New Roman;sans-serif"/>
          <w:b w:val="false"/>
          <w:color w:val="000000"/>
          <w:sz w:val="20"/>
        </w:rPr>
        <w:t xml:space="preserve">. </w:t>
      </w: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growth and financial performance are dependent upon many factors, including the key factors described below.</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Paying Customers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continuing to grow the number of customers that use our platform. Our operating results and growth opportunity depend, in part, on our ability to attract new customers. We believe we have significant greenfield opportunities among addressable customers worldwide and we will continue to invest in our research and development and our sales and marketing organizations to address this opportunity.</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As of January 31, 2021, we had over 93,000 paying customers, compared to over 75,000 as of January 31, 2020. </w:t>
      </w:r>
      <w:r>
        <w:rPr>
          <w:rFonts w:ascii="Times New Roman;sans-serif" w:hAnsi="Times New Roman;sans-serif"/>
          <w:b w:val="false"/>
          <w:color w:val="000000"/>
          <w:sz w:val="20"/>
          <w:highlight w:val="white"/>
        </w:rPr>
        <w:t xml:space="preserve">We define a customer as a distinct account, which could include a team, company, educational or government institution, organization, or distinct business unit of a company, that is on a paid subscription plan, a free version, or a free trial of one of our paid subscription plans. A single organization may have multiple customers. </w:t>
      </w:r>
      <w:r>
        <w:rPr>
          <w:rFonts w:ascii="Times New Roman;sans-serif" w:hAnsi="Times New Roman;sans-serif"/>
          <w:b w:val="false"/>
          <w:color w:val="000000"/>
          <w:sz w:val="20"/>
        </w:rPr>
        <w:t xml:space="preserve">We define a paying customer as a customer on a paid subscription plan. No single customer accounts for more than 1% of our revenues, and our top 100 customers accounted for approximately </w:t>
      </w:r>
      <w:r>
        <w:rPr>
          <w:rFonts w:ascii="Times New Roman;sans-serif" w:hAnsi="Times New Roman;sans-serif"/>
          <w:b w:val="false"/>
          <w:color w:val="000000"/>
          <w:sz w:val="20"/>
          <w:highlight w:val="white"/>
        </w:rPr>
        <w:t>11</w:t>
      </w:r>
      <w:r>
        <w:rPr>
          <w:rFonts w:ascii="Times New Roman;sans-serif" w:hAnsi="Times New Roman;sans-serif"/>
          <w:b w:val="false"/>
          <w:color w:val="000000"/>
          <w:sz w:val="20"/>
        </w:rPr>
        <w:t>% and 9% of our revenues for the fiscal years ended January 31, 2021 and 2020, respectively.</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Customers Spending Over $5,000 and $50,000</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focus on growing the number of customers spending over $5,000 and $50,000 on an annualized basis as a measure of our ability to scale within organizations. We define customers spending over $5,000 and $50,000 as those organizations on a paid subscription plan that contributed to $5,000 or more or $50,000 or more in annualized </w:t>
      </w:r>
    </w:p>
    <w:p>
      <w:pPr>
        <w:pStyle w:val="HorizontalLine"/>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GAAP revenues in a given quarter, respectively, inclusive of discounts. As customers realize the productivity benefits we provide, our platform often becomes critical to managing their work and achieving their objectives, which drives further adoption and expansion opportunities, and results in higher annualized contract values. We believe that our ability to increase the number of these customers is an important indicator of the components of our business, including: the continued acquisition of new customers, retaining and expanding our user base within existing customers, our continued investment in product development and functionality required by larger organizations, and the growth of our direct sales force.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31, 2021, we had 10,174 customers spending over $5,000 on an annualized basis contributing approximately 58% of revenues for the fiscal year then ended. As of January 31, 2020, we had 6,555 customers spending over $5,000 on an annualized basis contributing approximately 50% of revenue for the fiscal year then ended.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2021 and 2020, we had 397 and 207 customers, respectively, spending over $50,000 on an annualized basis.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Dollar-based Net Retention Rate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derive a significant portion of our revenue growth from expansion within our customer base, where we have an opportunity to expand adoption of Asana across teams, departments, and organizations. We believe that our dollar-based net retention rate demonstrates our opportunity to further expand within our customer base, particularly those that generate higher levels of annual revenues.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reported dollar-based net retention rate equals the simple arithmetic average of our quarterly dollar-based net retention rate for the four quarters ending with the most recent fiscal quarter. We calculate our dollar-based net retention rate by comparing our revenues from the same set of customers in a given quarter, relative to the comparable prior-year period. To calculate our dollar-based net retention rate for a given quarter, we start with the revenues in that quarter from customers that generated revenues in the same quarter of the prior year. We then divide that amount by the revenues attributable to that same group of customers in the prior-year quarter. Current period revenues include any upsells and are net of contraction or attrition over the trailing 12 months, but exclude revenues from new customers in the current period. We expect our dollar-based net retention rate to fluctuate in future periods due to a number of factors, including the expected growth of our revenue base, the level of penetration within our customer base, and our ability to retain our customers.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31, 2021 and 2020, our dollar-based net retention rate was over 115% and over 120%, respectively. Our dollar-based net retention rate has declined year over year as a result of the COVID-19 pandemic, which had a disproportionate impact on smaller businesses and industries that were particularly affected by the pandemic.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2021 and 2020, our dollar-based net retention rate for customers spending over $5,000 with us on an annualized basis was 125% and over 125%, respectively. Our dollar-based net retention rate for customers spending over $50,000 with us on an annualized basis for the same periods was over 140%.</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Impact of COVID-19</w:t>
      </w:r>
    </w:p>
    <w:p>
      <w:pPr>
        <w:pStyle w:val="TextBody"/>
        <w:spacing w:lineRule="auto" w:line="288" w:before="0" w:after="180"/>
        <w:ind w:left="0" w:right="0" w:firstLine="360"/>
        <w:jc w:val="both"/>
        <w:rPr/>
      </w:pPr>
      <w:r>
        <w:rPr>
          <w:rFonts w:ascii="Times New Roman;sans-serif" w:hAnsi="Times New Roman;sans-serif"/>
          <w:b w:val="false"/>
          <w:color w:val="000000"/>
          <w:sz w:val="20"/>
        </w:rPr>
        <w:t>As a result of the COVID-19 pandemic, we temporarily closed our headquarters and other physical offices, required our employees and contractors to work remotely, and implemented travel restrictions, all of which represent a significant disruption in how we operate our business. The operations of our partners and customers have likewise been disrupted, with a disproportionate impact on smaller businesses that were particularly affected by the pandemic. This impact is most evident in the decline of our overall dollar-based net retention rate for the year ended January 31, 2021 over the same period last year, while our dollar-based net retention rates remained steady for customers who spent over $50,000</w:t>
      </w:r>
      <w:r>
        <w:rPr>
          <w:rFonts w:ascii="Times New Roman;sans-serif" w:hAnsi="Times New Roman;sans-serif"/>
          <w:b w:val="false"/>
          <w:color w:val="000000"/>
          <w:sz w:val="20"/>
          <w:highlight w:val="white"/>
        </w:rPr>
        <w:t>.</w:t>
      </w:r>
      <w:r>
        <w:rPr>
          <w:color w:val="000000"/>
        </w:rPr>
        <w:t xml:space="preserve"> </w:t>
      </w:r>
      <w:r>
        <w:rPr>
          <w:rFonts w:ascii="Times New Roman;sans-serif" w:hAnsi="Times New Roman;sans-serif"/>
          <w:b w:val="false"/>
          <w:color w:val="000000"/>
          <w:sz w:val="20"/>
        </w:rPr>
        <w:t xml:space="preserve">While the duration and extent of the COVID-19 pandemic depends on future developments that cannot be accurately predicted at this time, such as the extent and effectiveness of containment actions and the development of a vaccine, it has already had an adverse effect on the global economy and the ultimate societal and economic impact of the COVID-19 pandemic remains unknown. In particular, the conditions caused by this pandemic could affect the rate of global IT spending and could adversely affect demand for our </w:t>
      </w:r>
    </w:p>
    <w:p>
      <w:pPr>
        <w:pStyle w:val="HorizontalLine"/>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platform, lengthen our sales cycles, reduce the value or duration of subscriptions, negatively impact collections of accounts receivable, reduce expected spending from new customers, cause some of our paying customers to go out of business, limit the ability of our direct sales force to travel to customers and potential customers, and affect contraction or attrition rates of our customers, all of which could adversely affect our business, results of operations, and financial condition during future periods.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 xml:space="preserve">Non-GAAP Financial Measures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certain non-GAAP financial measures for each period presented below. In addition to our results determined in accordance with GAAP, we believe these non-GAAP financial measures are useful in evaluating our operating performance. See below for a description of the non-GAAP financial measures and their limitations as an analytical tool. </w:t>
      </w:r>
    </w:p>
    <w:tbl>
      <w:tblPr>
        <w:tblW w:w="6867" w:type="dxa"/>
        <w:jc w:val="left"/>
        <w:tblInd w:w="0" w:type="dxa"/>
        <w:tblCellMar>
          <w:top w:w="28" w:type="dxa"/>
          <w:left w:w="28" w:type="dxa"/>
          <w:bottom w:w="28" w:type="dxa"/>
          <w:right w:w="28" w:type="dxa"/>
        </w:tblCellMar>
      </w:tblPr>
      <w:tblGrid>
        <w:gridCol w:w="983"/>
        <w:gridCol w:w="865"/>
        <w:gridCol w:w="867"/>
        <w:gridCol w:w="211"/>
        <w:gridCol w:w="901"/>
        <w:gridCol w:w="109"/>
        <w:gridCol w:w="109"/>
        <w:gridCol w:w="109"/>
        <w:gridCol w:w="109"/>
        <w:gridCol w:w="211"/>
        <w:gridCol w:w="796"/>
        <w:gridCol w:w="109"/>
        <w:gridCol w:w="109"/>
        <w:gridCol w:w="109"/>
        <w:gridCol w:w="109"/>
        <w:gridCol w:w="211"/>
        <w:gridCol w:w="796"/>
        <w:gridCol w:w="154"/>
      </w:tblGrid>
      <w:tr>
        <w:trPr/>
        <w:tc>
          <w:tcPr>
            <w:tcW w:w="983"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loss from operations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Non-GAAP Loss From Operations and Non-GAAP Net Loss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non-GAAP loss from operations as loss from operations plus stock-based compensation expense and the related employer payroll tax associated with RSUs as well as non-recurring costs, such as direct listing expenses. The amount of employer payroll tax-related items on employee stock transactions is dependent on our stock price and other factors that are beyond our control and that do not correlate to the operation of the business. When evaluating the performance of our business and making operating plans, we do not consider these items (for example, when considering the impact of equity award grants, we place a greater emphasis on overall stockholder dilution rather than the accounting charges associated with such grants). We believe it is useful to exclude these expenses in order to better understand the long-term performance of our core business and to facilitate comparison of our results to those of peer companies and over multiple periods.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non-GAAP net loss as net loss plus stock-based compensation expense and the related employer payroll tax associated with RSUs, amortization of discount and non-cash contractual interest expense related to our senior mandatory convertible promissory note, and non-recurring costs such as direct listing expenses.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non-GAAP loss from operations and non-GAAP net loss in conjunction with traditional GAAP measures to evaluate our financial performance. We believe that non-GAAP loss from operations and non-GAAP net loss provide our management and investors consistency and comparability with our past financial performance and facilitates period-to-period comparisons of operations.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free cash flow as net cash used in operating activities less cash used for purchases of property and equipment and capitalized internal-use software costs, plus non-recurring expenditures such as capital expenditures from the purchases of property and equipment associated with the build-out of our corporate headquarters in San Francisco, and direct listing expenses. We believe that free cash flow is a useful indicator of liquidity that provides information to management and investors, even if negative, about the amount of cash used in our operations other than that used for investments in property and equipment and capitalized internal-use software costs, adjusted for non-recurring expenditures.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Limitations and Reconciliations of Non-GAAP Financial Measures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Non-GAAP financial measures have limitations as analytical tools and should not be considered in isolation or as substitutes for financial information presented under GAAP. There are a number of limitations related to the use </w:t>
      </w:r>
    </w:p>
    <w:p>
      <w:pPr>
        <w:pStyle w:val="HorizontalLine"/>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of non-GAAP financial measures versus comparable financial measures determined under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most directly comparable GAAP financial measure to each of these non-GAAP financial measures.</w:t>
      </w:r>
    </w:p>
    <w:p>
      <w:pPr>
        <w:pStyle w:val="TextBody"/>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Non-GAAP Loss From Operations </w:t>
      </w:r>
    </w:p>
    <w:tbl>
      <w:tblPr>
        <w:tblW w:w="10205" w:type="dxa"/>
        <w:jc w:val="left"/>
        <w:tblInd w:w="0" w:type="dxa"/>
        <w:tblCellMar>
          <w:top w:w="28" w:type="dxa"/>
          <w:left w:w="28" w:type="dxa"/>
          <w:bottom w:w="28" w:type="dxa"/>
          <w:right w:w="28" w:type="dxa"/>
        </w:tblCellMar>
      </w:tblPr>
      <w:tblGrid>
        <w:gridCol w:w="2186"/>
        <w:gridCol w:w="1890"/>
        <w:gridCol w:w="1897"/>
        <w:gridCol w:w="211"/>
        <w:gridCol w:w="892"/>
        <w:gridCol w:w="109"/>
        <w:gridCol w:w="109"/>
        <w:gridCol w:w="109"/>
        <w:gridCol w:w="109"/>
        <w:gridCol w:w="211"/>
        <w:gridCol w:w="892"/>
        <w:gridCol w:w="109"/>
        <w:gridCol w:w="109"/>
        <w:gridCol w:w="109"/>
        <w:gridCol w:w="109"/>
        <w:gridCol w:w="211"/>
        <w:gridCol w:w="787"/>
        <w:gridCol w:w="156"/>
      </w:tblGrid>
      <w:tr>
        <w:trPr/>
        <w:tc>
          <w:tcPr>
            <w:tcW w:w="2186" w:type="dxa"/>
            <w:tcBorders/>
            <w:shd w:fill="auto" w:val="clear"/>
            <w:vAlign w:val="center"/>
          </w:tcPr>
          <w:p>
            <w:pPr>
              <w:pStyle w:val="TableContents"/>
              <w:spacing w:before="0" w:after="283"/>
              <w:rPr>
                <w:sz w:val="4"/>
                <w:szCs w:val="4"/>
              </w:rPr>
            </w:pPr>
            <w:r>
              <w:rPr>
                <w:sz w:val="4"/>
                <w:szCs w:val="4"/>
              </w:rPr>
            </w:r>
          </w:p>
        </w:tc>
        <w:tc>
          <w:tcPr>
            <w:tcW w:w="1890" w:type="dxa"/>
            <w:tcBorders/>
            <w:shd w:fill="auto" w:val="clear"/>
            <w:vAlign w:val="center"/>
          </w:tcPr>
          <w:p>
            <w:pPr>
              <w:pStyle w:val="TableContents"/>
              <w:spacing w:before="0" w:after="283"/>
              <w:rPr>
                <w:sz w:val="4"/>
                <w:szCs w:val="4"/>
              </w:rPr>
            </w:pPr>
            <w:r>
              <w:rPr>
                <w:sz w:val="4"/>
                <w:szCs w:val="4"/>
              </w:rPr>
            </w:r>
          </w:p>
        </w:tc>
        <w:tc>
          <w:tcPr>
            <w:tcW w:w="18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973"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r>
      <w:tr>
        <w:trPr/>
        <w:tc>
          <w:tcPr>
            <w:tcW w:w="59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59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9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5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2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and related employer payroll tax associated with RSUs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listing expenses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3"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r>
      <w:tr>
        <w:trPr/>
        <w:tc>
          <w:tcPr>
            <w:tcW w:w="5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loss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(43,466)</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5973"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Non-GAAP Net Loss</w:t>
      </w:r>
    </w:p>
    <w:tbl>
      <w:tblPr>
        <w:tblW w:w="10205" w:type="dxa"/>
        <w:jc w:val="left"/>
        <w:tblInd w:w="0" w:type="dxa"/>
        <w:tblCellMar>
          <w:top w:w="28" w:type="dxa"/>
          <w:left w:w="28" w:type="dxa"/>
          <w:bottom w:w="28" w:type="dxa"/>
          <w:right w:w="28" w:type="dxa"/>
        </w:tblCellMar>
      </w:tblPr>
      <w:tblGrid>
        <w:gridCol w:w="2406"/>
        <w:gridCol w:w="1767"/>
        <w:gridCol w:w="1799"/>
        <w:gridCol w:w="211"/>
        <w:gridCol w:w="892"/>
        <w:gridCol w:w="109"/>
        <w:gridCol w:w="109"/>
        <w:gridCol w:w="109"/>
        <w:gridCol w:w="109"/>
        <w:gridCol w:w="211"/>
        <w:gridCol w:w="892"/>
        <w:gridCol w:w="109"/>
        <w:gridCol w:w="109"/>
        <w:gridCol w:w="109"/>
        <w:gridCol w:w="109"/>
        <w:gridCol w:w="211"/>
        <w:gridCol w:w="787"/>
        <w:gridCol w:w="157"/>
      </w:tblGrid>
      <w:tr>
        <w:trPr/>
        <w:tc>
          <w:tcPr>
            <w:tcW w:w="2406" w:type="dxa"/>
            <w:tcBorders/>
            <w:shd w:fill="auto" w:val="clear"/>
            <w:vAlign w:val="center"/>
          </w:tcPr>
          <w:p>
            <w:pPr>
              <w:pStyle w:val="TableContents"/>
              <w:spacing w:before="0" w:after="283"/>
              <w:rPr>
                <w:sz w:val="4"/>
                <w:szCs w:val="4"/>
              </w:rPr>
            </w:pPr>
            <w:r>
              <w:rPr>
                <w:sz w:val="4"/>
                <w:szCs w:val="4"/>
              </w:rPr>
            </w:r>
          </w:p>
        </w:tc>
        <w:tc>
          <w:tcPr>
            <w:tcW w:w="1767" w:type="dxa"/>
            <w:tcBorders/>
            <w:shd w:fill="auto" w:val="clear"/>
            <w:vAlign w:val="center"/>
          </w:tcPr>
          <w:p>
            <w:pPr>
              <w:pStyle w:val="TableContents"/>
              <w:spacing w:before="0" w:after="283"/>
              <w:rPr>
                <w:sz w:val="4"/>
                <w:szCs w:val="4"/>
              </w:rPr>
            </w:pPr>
            <w:r>
              <w:rPr>
                <w:sz w:val="4"/>
                <w:szCs w:val="4"/>
              </w:rPr>
            </w:r>
          </w:p>
        </w:tc>
        <w:tc>
          <w:tcPr>
            <w:tcW w:w="17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9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59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9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5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(50,928)</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2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and related employer payroll tax associated with RSUs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discount on convertible notes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convertible notes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listing expenses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(42,381)</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Free Cash Flow </w:t>
      </w:r>
    </w:p>
    <w:tbl>
      <w:tblPr>
        <w:tblW w:w="10205" w:type="dxa"/>
        <w:jc w:val="left"/>
        <w:tblInd w:w="0" w:type="dxa"/>
        <w:tblCellMar>
          <w:top w:w="28" w:type="dxa"/>
          <w:left w:w="28" w:type="dxa"/>
          <w:bottom w:w="28" w:type="dxa"/>
          <w:right w:w="28" w:type="dxa"/>
        </w:tblCellMar>
      </w:tblPr>
      <w:tblGrid>
        <w:gridCol w:w="2190"/>
        <w:gridCol w:w="1913"/>
        <w:gridCol w:w="1925"/>
        <w:gridCol w:w="211"/>
        <w:gridCol w:w="897"/>
        <w:gridCol w:w="109"/>
        <w:gridCol w:w="109"/>
        <w:gridCol w:w="109"/>
        <w:gridCol w:w="109"/>
        <w:gridCol w:w="211"/>
        <w:gridCol w:w="826"/>
        <w:gridCol w:w="109"/>
        <w:gridCol w:w="109"/>
        <w:gridCol w:w="109"/>
        <w:gridCol w:w="109"/>
        <w:gridCol w:w="211"/>
        <w:gridCol w:w="792"/>
        <w:gridCol w:w="157"/>
      </w:tblGrid>
      <w:tr>
        <w:trPr/>
        <w:tc>
          <w:tcPr>
            <w:tcW w:w="2190" w:type="dxa"/>
            <w:tcBorders/>
            <w:shd w:fill="auto" w:val="clear"/>
            <w:vAlign w:val="center"/>
          </w:tcPr>
          <w:p>
            <w:pPr>
              <w:pStyle w:val="TableContents"/>
              <w:spacing w:before="0" w:after="283"/>
              <w:rPr>
                <w:sz w:val="4"/>
                <w:szCs w:val="4"/>
              </w:rPr>
            </w:pPr>
            <w:r>
              <w:rPr>
                <w:sz w:val="4"/>
                <w:szCs w:val="4"/>
              </w:rPr>
            </w:r>
          </w:p>
        </w:tc>
        <w:tc>
          <w:tcPr>
            <w:tcW w:w="1913" w:type="dxa"/>
            <w:tcBorders/>
            <w:shd w:fill="auto" w:val="clear"/>
            <w:vAlign w:val="center"/>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028"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r>
      <w:tr>
        <w:trPr/>
        <w:tc>
          <w:tcPr>
            <w:tcW w:w="6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6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60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(44,662)</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311,597 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55,293 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(30,180)</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2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internal-use software </w:t>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2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for build-out of corporate headquarters</w:t>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listing expenses paid</w:t>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(33,587)</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 xml:space="preserve">Components of Results of Operations </w:t>
      </w: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subscription revenues from paying customers accessing our cloud-based platform. Subscription revenues are driven primarily by the number of paying customers, the number of paying users within the customer base, and the level of subscription plan. We recognize revenues ratably over the related contractual term beginning on the date that the platform is made available to a customer.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ease of implementation of our platform, revenues from professional services have been immaterial to date. </w:t>
      </w: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Cost of Revenues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revenues consists primarily of the cost of providing our platform to free users and paying customers and is comprised of third-party hosting fees, personnel-related expenses for our operations and support personnel, credit card processing fees, and amortization of our capitalized internal-use software costs.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acquire new customers and existing customers increase their use of our cloud-based platform, we expect that our cost of revenues will continue to increase in dollar amount.</w:t>
      </w: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Gross Profit and Gross Margin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or revenues less cost of revenues, and gross margin, or gross profit as a percentage of revenues, has been and will continue to be affected by various factors, including the timing of our acquisition of new customers, renewals of and follow-on sales to existing customers, costs associated with operating our cloud-based platform, and the extent to which we expand our operations and customer support organizations. We expect our gross profit to increase in dollar amount and our subscription gross margin to remain relatively consistent over the long term.</w:t>
      </w: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research and development, sales and marketing, and general and administrative expenses. Personnel-related expenses are the most significant component of operating expenses and consist of salaries, benefits, stock-based compensation expense, and, in the case of sales and marketing expenses, sales commissions. Operating expenses also include an allocation of overhead costs for facilities and shared IT-related expenses, including depreciation expense.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fiscal years ended January 31, 2020 and 2019, our personnel-related expenses have been significantly impacted by stock-based compensation expense associated with tender offers. </w:t>
      </w:r>
    </w:p>
    <w:p>
      <w:pPr>
        <w:pStyle w:val="TextBody"/>
        <w:spacing w:lineRule="auto" w:line="288" w:before="0" w:after="180"/>
        <w:ind w:left="0" w:right="0" w:firstLine="360"/>
        <w:jc w:val="both"/>
        <w:rPr/>
      </w:pPr>
      <w:r>
        <w:rPr>
          <w:rFonts w:ascii="Times New Roman;sans-serif" w:hAnsi="Times New Roman;sans-serif"/>
          <w:b w:val="false"/>
          <w:color w:val="000000"/>
          <w:sz w:val="20"/>
        </w:rPr>
        <w:t>In April 2018, our board of directors approved a plan for a private trust whose sole trustee and grantor is our co-founder, President, Chief Executive Officer, or CEO, and Chair to purchase shares of our Class A and Class B common stock from certain current and former employees. A total of approximately 1.5 million shares were tendered in the offer.</w:t>
      </w:r>
      <w:r>
        <w:rPr>
          <w:color w:val="000000"/>
        </w:rPr>
        <w:t xml:space="preserve"> </w:t>
      </w:r>
      <w:r>
        <w:rPr>
          <w:rFonts w:ascii="Times New Roman;sans-serif" w:hAnsi="Times New Roman;sans-serif"/>
          <w:b w:val="false"/>
          <w:color w:val="000000"/>
          <w:sz w:val="20"/>
        </w:rPr>
        <w:t xml:space="preserve">The tender offer closed in May 2018, at which time we recorded $3.8 million in stock-based compensation expense related to the excess of the selling price per share paid to our employees and former employees over the fair value of each tendered share.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2019, certain of our stockholders conducted a tender offer for shares of our outstanding Class A and Class B common stock and purchased an aggregate of 4,647,127 shares of our outstanding Class A and Class B common stock from certain other stockholders at a purchase price of $15.82 per share, for an aggregate purchase price of $73.5 million, resulting in stock-based compensation expense of $38.7 million for the excess of the selling price per share over the fair value of the tendered shares. </w:t>
      </w:r>
    </w:p>
    <w:p>
      <w:pPr>
        <w:pStyle w:val="HorizontalLine"/>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62"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spacing w:lineRule="auto" w:line="288" w:before="0" w:after="180"/>
        <w:ind w:left="0" w:right="0" w:firstLine="360"/>
        <w:jc w:val="both"/>
        <w:rPr/>
      </w:pPr>
      <w:r>
        <w:rPr>
          <w:rFonts w:ascii="Times New Roman;sans-serif" w:hAnsi="Times New Roman;sans-serif"/>
          <w:b w:val="false"/>
          <w:color w:val="000000"/>
          <w:sz w:val="20"/>
        </w:rPr>
        <w:t>Research and development expenses consist primarily of personnel-related expenses. These expenses also include product design costs, third-party services and consulting expenses, software subscriptions and expensed computer equipment used in research and development activities, and allocated overhead costs. A substantial portion of our research and development efforts are focused on enhancing our software architecture and adding new features and functionality to our platform.</w:t>
      </w:r>
      <w:r>
        <w:rPr>
          <w:color w:val="000000"/>
          <w:highlight w:val="white"/>
        </w:rPr>
        <w:t xml:space="preserve"> </w:t>
      </w:r>
      <w:r>
        <w:rPr>
          <w:rFonts w:ascii="Times New Roman;sans-serif" w:hAnsi="Times New Roman;sans-serif"/>
          <w:b w:val="false"/>
          <w:color w:val="000000"/>
          <w:sz w:val="20"/>
          <w:highlight w:val="white"/>
        </w:rPr>
        <w:t>We anticipate continuing to invest in innovation and technology development, and as a result, we expect research and development expenses to continue to increase in dollar amount but to decrease as a percentage of revenues over time.</w:t>
      </w:r>
    </w:p>
    <w:p>
      <w:pPr>
        <w:pStyle w:val="TextBody"/>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consist primarily of personnel-related expenses and expenses for performance marketing and lead generation, brand marketing, and sponsorship activities.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three years. </w:t>
      </w:r>
    </w:p>
    <w:p>
      <w:pPr>
        <w:pStyle w:val="TextBody"/>
        <w:spacing w:lineRule="auto" w:line="288" w:before="0" w:after="180"/>
        <w:ind w:left="0" w:right="0" w:firstLine="360"/>
        <w:jc w:val="both"/>
        <w:rPr/>
      </w:pPr>
      <w:r>
        <w:rPr>
          <w:rFonts w:ascii="Times New Roman;sans-serif" w:hAnsi="Times New Roman;sans-serif"/>
          <w:b w:val="false"/>
          <w:color w:val="000000"/>
          <w:sz w:val="20"/>
        </w:rPr>
        <w:t>We continue to make investments in our sales and marketing organization, and we expect sales and marketing expenses to remain our largest operating expense in dollar amount.</w:t>
      </w:r>
      <w:r>
        <w:rPr>
          <w:color w:val="000000"/>
          <w:highlight w:val="white"/>
        </w:rPr>
        <w:t xml:space="preserve"> </w:t>
      </w:r>
      <w:r>
        <w:rPr>
          <w:rFonts w:ascii="Times New Roman;sans-serif" w:hAnsi="Times New Roman;sans-serif"/>
          <w:b w:val="false"/>
          <w:color w:val="000000"/>
          <w:sz w:val="20"/>
          <w:highlight w:val="white"/>
        </w:rPr>
        <w:t>We expect our sales and marketing expenses to continue to increase in dollar amount but to decrease as a percentage of revenues over time, although the percentage may fluctuate from quarter to quarter depending on the extent and timing of our marketing initiatives.</w:t>
      </w:r>
    </w:p>
    <w:p>
      <w:pPr>
        <w:pStyle w:val="TextBody"/>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personnel-related expenses for our finance, human resources, information technology, and legal organizations. These expenses also include non-personnel costs, such as outside legal, accounting, and other professional fees, software subscriptions and expensed computer equipment, certain tax, license, and insurance-related expenses, and allocated overhead costs.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recognized and will continue to recognize certain expenses as part of our transition to a publicly traded company, consisting of professional fees and other expenses. In the quarters leading up to the listing of our Class A common stock on the NYSE, we incurred professional fees and expenses, and in the quarter of our listing we incurred fees paid to our financial advisors in addition to other professional fees and expenses related to such listing. We expect to continue to incur additional expenses as a result of operating as a public company, including costs to comply with the rules and regulations of the NYSE and costs related to compliance and reporting obligations pursuant to the rules and regulations of the SEC. In addition, as a public company, we expect to continue to incur additional costs associated with accounting, compliance, insurance, and investor relations. As a result, we expect our general and administrative expenses to continue to increase in dollar amount for the foreseeable future but to generally decrease as a percentage of our revenues over the longer term, although the percentage may fluctuate from period to period depending on the timing and amount of our general and administrative expenses.</w:t>
      </w: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Income and Other Income (Expense), Net and Interest Expense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(expense), net consists of income earned on our marketable securities and foreign currency transaction gains and losses.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consists of contractual interest expense and amortization of the debt discount on the senior mandatory convertible promissory notes we issued in January and June 2020 to a trust affiliated with our CEO, and interest expense from our term loan.</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consists primarily of income taxes in certain foreign jurisdictions in which we conduct business. To date, we have not recorded any U.S. federal income tax expense, and our state and foreign income tax expenses have not been material. We have recorded deferred tax assets for which we provide a full valuation allowance, which primarily include net operating loss carryforwards and research and development tax </w:t>
      </w:r>
    </w:p>
    <w:p>
      <w:pPr>
        <w:pStyle w:val="HorizontalLine"/>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credit carryforwards. We expect to maintain this full valuation allowance for the foreseeable future as it is more likely than not the deferred tax assets will not be realized based on our history of losses.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our results of operations for the periods presented and as a percentage of our revenues for those periods. The period-to-period comparison of financial results is not necessarily indicative of financial results to be achieved in future periods. </w:t>
      </w:r>
    </w:p>
    <w:tbl>
      <w:tblPr>
        <w:tblW w:w="8246" w:type="dxa"/>
        <w:jc w:val="left"/>
        <w:tblInd w:w="0" w:type="dxa"/>
        <w:tblCellMar>
          <w:top w:w="28" w:type="dxa"/>
          <w:left w:w="28" w:type="dxa"/>
          <w:bottom w:w="28" w:type="dxa"/>
          <w:right w:w="28" w:type="dxa"/>
        </w:tblCellMar>
      </w:tblPr>
      <w:tblGrid>
        <w:gridCol w:w="1446"/>
        <w:gridCol w:w="1267"/>
        <w:gridCol w:w="1276"/>
        <w:gridCol w:w="211"/>
        <w:gridCol w:w="901"/>
        <w:gridCol w:w="109"/>
        <w:gridCol w:w="109"/>
        <w:gridCol w:w="109"/>
        <w:gridCol w:w="109"/>
        <w:gridCol w:w="211"/>
        <w:gridCol w:w="901"/>
        <w:gridCol w:w="109"/>
        <w:gridCol w:w="109"/>
        <w:gridCol w:w="109"/>
        <w:gridCol w:w="109"/>
        <w:gridCol w:w="211"/>
        <w:gridCol w:w="796"/>
        <w:gridCol w:w="154"/>
      </w:tblGrid>
      <w:tr>
        <w:trPr/>
        <w:tc>
          <w:tcPr>
            <w:tcW w:w="1446"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Cost of revenues </w:t>
            </w:r>
            <w:r>
              <w:rPr>
                <w:rFonts w:ascii="Times New Roman;sans-serif" w:hAnsi="Times New Roman;sans-serif"/>
                <w:b w:val="false"/>
                <w:color w:val="000000"/>
                <w:sz w:val="13"/>
              </w:rPr>
              <w:t>(1)</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Research and development </w:t>
            </w:r>
            <w:r>
              <w:rPr>
                <w:rFonts w:ascii="Times New Roman;sans-serif" w:hAnsi="Times New Roman;sans-serif"/>
                <w:b w:val="false"/>
                <w:color w:val="000000"/>
                <w:sz w:val="13"/>
              </w:rPr>
              <w:t>(1)</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Sales and marketing </w:t>
            </w:r>
            <w:r>
              <w:rPr>
                <w:rFonts w:ascii="Times New Roman;sans-serif" w:hAnsi="Times New Roman;sans-serif"/>
                <w:b w:val="false"/>
                <w:color w:val="000000"/>
                <w:sz w:val="13"/>
              </w:rPr>
              <w:t>(1)</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General and administrative </w:t>
            </w:r>
            <w:r>
              <w:rPr>
                <w:rFonts w:ascii="Times New Roman;sans-serif" w:hAnsi="Times New Roman;sans-serif"/>
                <w:b w:val="false"/>
                <w:color w:val="000000"/>
                <w:sz w:val="13"/>
              </w:rPr>
              <w:t>(1)</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(expense), net</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w:t>
      </w:r>
    </w:p>
    <w:p>
      <w:pPr>
        <w:pStyle w:val="TextBody"/>
        <w:spacing w:lineRule="auto" w:line="288" w:before="0" w:after="0"/>
        <w:jc w:val="both"/>
        <w:rPr/>
      </w:pPr>
      <w:r>
        <w:rPr>
          <w:rFonts w:ascii="Times New Roman;sans-serif" w:hAnsi="Times New Roman;sans-serif"/>
          <w:b w:val="false"/>
          <w:color w:val="000000"/>
          <w:sz w:val="18"/>
        </w:rPr>
        <w:t>(1)</w:t>
      </w:r>
      <w:r>
        <w:rPr>
          <w:rFonts w:ascii="Times New Roman;sans-serif" w:hAnsi="Times New Roman;sans-serif"/>
          <w:b w:val="false"/>
          <w:color w:val="000000"/>
          <w:sz w:val="18"/>
        </w:rPr>
        <w:t>Amounts include stock-based compensation expense as follows:</w:t>
      </w:r>
    </w:p>
    <w:tbl>
      <w:tblPr>
        <w:tblW w:w="6717" w:type="dxa"/>
        <w:jc w:val="center"/>
        <w:tblInd w:w="0" w:type="dxa"/>
        <w:tblCellMar>
          <w:top w:w="28" w:type="dxa"/>
          <w:left w:w="28" w:type="dxa"/>
          <w:bottom w:w="28" w:type="dxa"/>
          <w:right w:w="28" w:type="dxa"/>
        </w:tblCellMar>
      </w:tblPr>
      <w:tblGrid>
        <w:gridCol w:w="1087"/>
        <w:gridCol w:w="954"/>
        <w:gridCol w:w="959"/>
        <w:gridCol w:w="211"/>
        <w:gridCol w:w="721"/>
        <w:gridCol w:w="109"/>
        <w:gridCol w:w="109"/>
        <w:gridCol w:w="109"/>
        <w:gridCol w:w="109"/>
        <w:gridCol w:w="211"/>
        <w:gridCol w:w="721"/>
        <w:gridCol w:w="109"/>
        <w:gridCol w:w="109"/>
        <w:gridCol w:w="109"/>
        <w:gridCol w:w="109"/>
        <w:gridCol w:w="211"/>
        <w:gridCol w:w="616"/>
        <w:gridCol w:w="154"/>
      </w:tblGrid>
      <w:tr>
        <w:trPr/>
        <w:tc>
          <w:tcPr>
            <w:tcW w:w="1087"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Cost of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expense for fiscal 2020 and fiscal 2019 includes $38.7 million and $3.8 million, respectively, of compensation expense related to tender offers described above and in Note 11 to our consolidated financial statements included elsewhere in this Annual Report on Form 10-K. </w:t>
      </w:r>
    </w:p>
    <w:p>
      <w:pPr>
        <w:pStyle w:val="HorizontalLine"/>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components of our statements of operations data, for each of the periods presented, as a percentage of revenues. </w:t>
      </w:r>
    </w:p>
    <w:tbl>
      <w:tblPr>
        <w:tblW w:w="6900" w:type="dxa"/>
        <w:jc w:val="left"/>
        <w:tblInd w:w="0" w:type="dxa"/>
        <w:tblCellMar>
          <w:top w:w="28" w:type="dxa"/>
          <w:left w:w="28" w:type="dxa"/>
          <w:bottom w:w="28" w:type="dxa"/>
          <w:right w:w="28" w:type="dxa"/>
        </w:tblCellMar>
      </w:tblPr>
      <w:tblGrid>
        <w:gridCol w:w="1447"/>
        <w:gridCol w:w="1267"/>
        <w:gridCol w:w="1276"/>
        <w:gridCol w:w="233"/>
        <w:gridCol w:w="233"/>
        <w:gridCol w:w="271"/>
        <w:gridCol w:w="109"/>
        <w:gridCol w:w="109"/>
        <w:gridCol w:w="109"/>
        <w:gridCol w:w="233"/>
        <w:gridCol w:w="233"/>
        <w:gridCol w:w="271"/>
        <w:gridCol w:w="109"/>
        <w:gridCol w:w="109"/>
        <w:gridCol w:w="109"/>
        <w:gridCol w:w="233"/>
        <w:gridCol w:w="233"/>
        <w:gridCol w:w="316"/>
      </w:tblGrid>
      <w:tr>
        <w:trPr/>
        <w:tc>
          <w:tcPr>
            <w:tcW w:w="1447"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0"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of revenues)</w:t>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revenues </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(expense), net</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73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Less than 1%</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Note: Certain figures may not sum due to rounding.</w:t>
      </w: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Comparison of the Fiscal Years Ended January 31, 2021 and 2020</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Revenues </w:t>
      </w:r>
    </w:p>
    <w:tbl>
      <w:tblPr>
        <w:tblW w:w="6146" w:type="dxa"/>
        <w:jc w:val="center"/>
        <w:tblInd w:w="0" w:type="dxa"/>
        <w:tblCellMar>
          <w:top w:w="28" w:type="dxa"/>
          <w:left w:w="28" w:type="dxa"/>
          <w:bottom w:w="28" w:type="dxa"/>
          <w:right w:w="28" w:type="dxa"/>
        </w:tblCellMar>
      </w:tblPr>
      <w:tblGrid>
        <w:gridCol w:w="332"/>
        <w:gridCol w:w="291"/>
        <w:gridCol w:w="293"/>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6"/>
        <w:gridCol w:w="186"/>
        <w:gridCol w:w="544"/>
      </w:tblGrid>
      <w:tr>
        <w:trPr/>
        <w:tc>
          <w:tcPr>
            <w:tcW w:w="33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increased $84.4 million, or 59%, during fiscal 2021 compared to fiscal 2020. The increase in revenues was primarily due to the addition of new paying customers, a continued shift in our sales mix toward our higher priced subscription plans, such as Enterprise and Business plans, and revenues generated from our existing paying customers expanding their use of our solution as reflected by our dollar-based net retention rate of over 115% as of January 31, 2021.</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Cost of Revenues and Gross Margin</w:t>
      </w:r>
    </w:p>
    <w:tbl>
      <w:tblPr>
        <w:tblW w:w="6753" w:type="dxa"/>
        <w:jc w:val="center"/>
        <w:tblInd w:w="0" w:type="dxa"/>
        <w:tblCellMar>
          <w:top w:w="28" w:type="dxa"/>
          <w:left w:w="28" w:type="dxa"/>
          <w:bottom w:w="28" w:type="dxa"/>
          <w:right w:w="28" w:type="dxa"/>
        </w:tblCellMar>
      </w:tblPr>
      <w:tblGrid>
        <w:gridCol w:w="547"/>
        <w:gridCol w:w="483"/>
        <w:gridCol w:w="484"/>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6"/>
        <w:gridCol w:w="186"/>
        <w:gridCol w:w="544"/>
      </w:tblGrid>
      <w:tr>
        <w:trPr/>
        <w:tc>
          <w:tcPr>
            <w:tcW w:w="547"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revenues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revenues increased $8.9 million, or 45%, during fiscal 2021 compared to fiscal 2020. The increase was primarily due to an increase of $2.8 million in personnel-related costs due to increased headcount, $2.3 million in third-party hosting costs as we increased capacity to support customer usage and growth of our customer base, </w:t>
      </w:r>
    </w:p>
    <w:p>
      <w:pPr>
        <w:pStyle w:val="HorizontalLine"/>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65"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pPr>
      <w:r>
        <w:rPr>
          <w:rFonts w:ascii="Times New Roman;sans-serif" w:hAnsi="Times New Roman;sans-serif"/>
          <w:b w:val="false"/>
          <w:color w:val="000000"/>
          <w:sz w:val="20"/>
          <w:highlight w:val="white"/>
        </w:rPr>
        <w:t>$1.8 million in credit card processing fees and $1.3 million in allocated overhead costs as a result of increased overall costs to support the growth of our business and rela</w:t>
      </w:r>
      <w:r>
        <w:rPr>
          <w:rFonts w:ascii="Times New Roman;sans-serif" w:hAnsi="Times New Roman;sans-serif"/>
          <w:b w:val="false"/>
          <w:color w:val="000000"/>
          <w:sz w:val="20"/>
        </w:rPr>
        <w:t>ted infrastructure.</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Operating Expenses</w:t>
      </w:r>
    </w:p>
    <w:tbl>
      <w:tblPr>
        <w:tblW w:w="7644" w:type="dxa"/>
        <w:jc w:val="left"/>
        <w:tblInd w:w="0" w:type="dxa"/>
        <w:tblCellMar>
          <w:top w:w="28" w:type="dxa"/>
          <w:left w:w="28" w:type="dxa"/>
          <w:bottom w:w="28" w:type="dxa"/>
          <w:right w:w="28" w:type="dxa"/>
        </w:tblCellMar>
      </w:tblPr>
      <w:tblGrid>
        <w:gridCol w:w="837"/>
        <w:gridCol w:w="734"/>
        <w:gridCol w:w="73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6"/>
        <w:gridCol w:w="186"/>
        <w:gridCol w:w="544"/>
      </w:tblGrid>
      <w:tr>
        <w:trPr/>
        <w:tc>
          <w:tcPr>
            <w:tcW w:w="837"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5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5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$31.5 million, or 35%, during fiscal 2021 compared to fiscal 2020. The increase was primarily due to an increase of $40.8 million in personnel-related expenses driven by higher headcount, an increase of $7.8 million in allocated overhead costs as a result of increased overall costs to support the growth of our business and related infrastructure, partially offset by a decrease of $19.3 million in stock-based compensation expense related to a tender offer in October 2019.</w:t>
      </w:r>
    </w:p>
    <w:p>
      <w:pPr>
        <w:pStyle w:val="TextBody"/>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spacing w:lineRule="auto" w:line="288" w:before="0" w:after="180"/>
        <w:ind w:left="0" w:right="0" w:firstLine="360"/>
        <w:jc w:val="both"/>
        <w:rPr/>
      </w:pPr>
      <w:r>
        <w:rPr>
          <w:rFonts w:ascii="Times New Roman;sans-serif" w:hAnsi="Times New Roman;sans-serif"/>
          <w:b w:val="false"/>
          <w:color w:val="000000"/>
          <w:sz w:val="20"/>
        </w:rPr>
        <w:t>Sales and marketing expenses increased $70.6 million, or 67%, during fiscal 2021 compared to fiscal 2020. The increase was prim</w:t>
      </w:r>
      <w:r>
        <w:rPr>
          <w:rFonts w:ascii="Times New Roman;sans-serif" w:hAnsi="Times New Roman;sans-serif"/>
          <w:b w:val="false"/>
          <w:color w:val="000000"/>
          <w:sz w:val="20"/>
          <w:highlight w:val="white"/>
        </w:rPr>
        <w:t xml:space="preserve">arily due to an increase of $36.2 million in personnel-related expenses as a result of higher headcount, an increase of $27.4 million in third-party advertising expenses for our marketing programs, an increase of $9.0 million in allocated overhead costs as a result of increased overall costs to support the growth of our business and related infrastructure, and an increase of $3.4 million in fees to marketing vendors, partially offset by a decrease of $7.7 million in stock-based compensation expense related to a tender offer in October 2019. </w:t>
      </w:r>
    </w:p>
    <w:p>
      <w:pPr>
        <w:pStyle w:val="TextBody"/>
        <w:spacing w:lineRule="auto" w:line="288" w:before="0" w:after="180"/>
        <w:ind w:left="0" w:right="0" w:firstLine="36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General and Administrative</w:t>
      </w:r>
    </w:p>
    <w:p>
      <w:pPr>
        <w:pStyle w:val="TextBody"/>
        <w:spacing w:lineRule="auto" w:line="288" w:before="0" w:after="180"/>
        <w:ind w:left="0" w:right="0" w:firstLine="360"/>
        <w:jc w:val="both"/>
        <w:rPr/>
      </w:pPr>
      <w:r>
        <w:rPr>
          <w:rFonts w:ascii="Times New Roman;sans-serif" w:hAnsi="Times New Roman;sans-serif"/>
          <w:b w:val="false"/>
          <w:color w:val="000000"/>
          <w:sz w:val="20"/>
          <w:highlight w:val="white"/>
        </w:rPr>
        <w:t>General and administrative expenses increased $29.4 million, or 63%, during fiscal 2021 compared to fiscal 2020. The increase was primarily due to an increase of $18.1 million in fees for professional services associated with preparing to be a public company, including direct listing expenses, an increase of $15.2 million in personnel-related expenses driven by higher headcount to support our continued growth, an increase of $3.7 million in allocated overhead costs as a result of increased overall costs to support the growth of our business and related infrastructure, an increase of $2.1 million related to increased premiums for director and officer insurance incurred as a result o</w:t>
      </w:r>
      <w:r>
        <w:rPr>
          <w:rFonts w:ascii="Times New Roman;sans-serif" w:hAnsi="Times New Roman;sans-serif"/>
          <w:b w:val="false"/>
          <w:color w:val="000000"/>
          <w:sz w:val="20"/>
        </w:rPr>
        <w:t>f becoming a public company, partially offset by a decrease of $11.4 million in stock-based compensation expense related to a tender offer in October 2019.</w:t>
      </w: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Interest Income, Interest Expense, and Other Income (Expense), Net</w:t>
      </w:r>
    </w:p>
    <w:tbl>
      <w:tblPr>
        <w:tblW w:w="9224" w:type="dxa"/>
        <w:jc w:val="left"/>
        <w:tblInd w:w="0" w:type="dxa"/>
        <w:tblCellMar>
          <w:top w:w="28" w:type="dxa"/>
          <w:left w:w="28" w:type="dxa"/>
          <w:bottom w:w="28" w:type="dxa"/>
          <w:right w:w="28" w:type="dxa"/>
        </w:tblCellMar>
      </w:tblPr>
      <w:tblGrid>
        <w:gridCol w:w="1444"/>
        <w:gridCol w:w="1271"/>
        <w:gridCol w:w="1275"/>
        <w:gridCol w:w="211"/>
        <w:gridCol w:w="616"/>
        <w:gridCol w:w="109"/>
        <w:gridCol w:w="109"/>
        <w:gridCol w:w="109"/>
        <w:gridCol w:w="109"/>
        <w:gridCol w:w="211"/>
        <w:gridCol w:w="616"/>
        <w:gridCol w:w="109"/>
        <w:gridCol w:w="109"/>
        <w:gridCol w:w="109"/>
        <w:gridCol w:w="109"/>
        <w:gridCol w:w="211"/>
        <w:gridCol w:w="796"/>
        <w:gridCol w:w="109"/>
        <w:gridCol w:w="109"/>
        <w:gridCol w:w="109"/>
        <w:gridCol w:w="109"/>
        <w:gridCol w:w="360"/>
        <w:gridCol w:w="361"/>
        <w:gridCol w:w="544"/>
      </w:tblGrid>
      <w:tr>
        <w:trPr/>
        <w:tc>
          <w:tcPr>
            <w:tcW w:w="1444"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(expense), net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46,282 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$36.1 million during fiscal 2021 compared to fiscal 2020 primarily due to the issuance of the senior mandatory convertible promissory notes to a trust affiliated with our CEO in January 2020 and June 2020. Other income (expense), net increased $0.2 million during fiscal 2021 compared to fiscal 2020 due primarily to an increase in gains on foreign currency transactions.</w:t>
      </w:r>
    </w:p>
    <w:p>
      <w:pPr>
        <w:pStyle w:val="HorizontalLine"/>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66"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 xml:space="preserve">Comparison of the Fiscal Years Ended January, 31, 2020 and 2019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Revenues </w:t>
      </w:r>
    </w:p>
    <w:tbl>
      <w:tblPr>
        <w:tblW w:w="6041" w:type="dxa"/>
        <w:jc w:val="left"/>
        <w:tblInd w:w="0" w:type="dxa"/>
        <w:tblCellMar>
          <w:top w:w="28" w:type="dxa"/>
          <w:left w:w="28" w:type="dxa"/>
          <w:bottom w:w="28" w:type="dxa"/>
          <w:right w:w="28" w:type="dxa"/>
        </w:tblCellMar>
      </w:tblPr>
      <w:tblGrid>
        <w:gridCol w:w="332"/>
        <w:gridCol w:w="291"/>
        <w:gridCol w:w="293"/>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186"/>
        <w:gridCol w:w="186"/>
        <w:gridCol w:w="544"/>
      </w:tblGrid>
      <w:tr>
        <w:trPr/>
        <w:tc>
          <w:tcPr>
            <w:tcW w:w="33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ind w:left="0" w:right="0" w:firstLine="360"/>
        <w:jc w:val="both"/>
        <w:rPr/>
      </w:pPr>
      <w:r>
        <w:rPr>
          <w:rFonts w:ascii="Times New Roman;sans-serif" w:hAnsi="Times New Roman;sans-serif"/>
          <w:b w:val="false"/>
          <w:color w:val="000000"/>
          <w:sz w:val="20"/>
        </w:rPr>
        <w:t>Revenues increased $65.8 million, or 86%, for fiscal 2020 compared to fiscal 2019. The increase in revenues was primarily due to a shift in our sales mix toward our higher priced subscription plans, such as Enterprise and Business plans, the addition of new paying customers, and revenues generated from our existing paying customers as reflected by our dollar-based net retention rate of </w:t>
      </w:r>
      <w:r>
        <w:rPr>
          <w:rFonts w:ascii="Times New Roman;sans-serif" w:hAnsi="Times New Roman;sans-serif"/>
          <w:b w:val="false"/>
          <w:color w:val="000000"/>
          <w:sz w:val="20"/>
          <w:highlight w:val="white"/>
        </w:rPr>
        <w:t>over 120%</w:t>
      </w:r>
      <w:r>
        <w:rPr>
          <w:color w:val="000000"/>
        </w:rPr>
        <w:t xml:space="preserve"> </w:t>
      </w:r>
      <w:r>
        <w:rPr>
          <w:rFonts w:ascii="Times New Roman;sans-serif" w:hAnsi="Times New Roman;sans-serif"/>
          <w:b w:val="false"/>
          <w:color w:val="000000"/>
          <w:sz w:val="20"/>
        </w:rPr>
        <w:t xml:space="preserve">as of January 31, 2020.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Cost of Revenues and Gross Margin</w:t>
      </w:r>
    </w:p>
    <w:tbl>
      <w:tblPr>
        <w:tblW w:w="6308" w:type="dxa"/>
        <w:jc w:val="center"/>
        <w:tblInd w:w="0" w:type="dxa"/>
        <w:tblCellMar>
          <w:top w:w="28" w:type="dxa"/>
          <w:left w:w="28" w:type="dxa"/>
          <w:bottom w:w="28" w:type="dxa"/>
          <w:right w:w="28" w:type="dxa"/>
        </w:tblCellMar>
      </w:tblPr>
      <w:tblGrid>
        <w:gridCol w:w="547"/>
        <w:gridCol w:w="483"/>
        <w:gridCol w:w="484"/>
        <w:gridCol w:w="264"/>
        <w:gridCol w:w="193"/>
        <w:gridCol w:w="483"/>
        <w:gridCol w:w="136"/>
        <w:gridCol w:w="136"/>
        <w:gridCol w:w="136"/>
        <w:gridCol w:w="264"/>
        <w:gridCol w:w="193"/>
        <w:gridCol w:w="483"/>
        <w:gridCol w:w="109"/>
        <w:gridCol w:w="109"/>
        <w:gridCol w:w="109"/>
        <w:gridCol w:w="211"/>
        <w:gridCol w:w="616"/>
        <w:gridCol w:w="109"/>
        <w:gridCol w:w="109"/>
        <w:gridCol w:w="109"/>
        <w:gridCol w:w="109"/>
        <w:gridCol w:w="186"/>
        <w:gridCol w:w="186"/>
        <w:gridCol w:w="544"/>
      </w:tblGrid>
      <w:tr>
        <w:trPr/>
        <w:tc>
          <w:tcPr>
            <w:tcW w:w="547"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revenues </w:t>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19,881</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4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revenues increased $6.0 million, or 44%, for fiscal 2020 compared to fiscal 2019. The increase was primarily due to an increase of $3.6 million in third-party hosting costs as we increased capacity to support customer usage and growth of our customer base, $1.6 million in personnel-related costs due to increased headcount, and $1.5 million in credit card processing fees, partially offset by a $0.7 million decrease in amortization of capitalized internal-use software costs.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gross margin increased for fiscal 2020 compared to fiscal 2019 as we increased our revenues and more efficiently managed third-party hosting costs, realized benefits due to economies of scale resulting from increased efficiency with our technology and infrastructure, and experienced a decrease in amortization of capitalized internal-use software costs.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Operating Expenses</w:t>
      </w:r>
    </w:p>
    <w:tbl>
      <w:tblPr>
        <w:tblW w:w="7738" w:type="dxa"/>
        <w:jc w:val="left"/>
        <w:tblInd w:w="0" w:type="dxa"/>
        <w:tblCellMar>
          <w:top w:w="28" w:type="dxa"/>
          <w:left w:w="28" w:type="dxa"/>
          <w:bottom w:w="28" w:type="dxa"/>
          <w:right w:w="28" w:type="dxa"/>
        </w:tblCellMar>
      </w:tblPr>
      <w:tblGrid>
        <w:gridCol w:w="837"/>
        <w:gridCol w:w="734"/>
        <w:gridCol w:w="73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44"/>
      </w:tblGrid>
      <w:tr>
        <w:trPr/>
        <w:tc>
          <w:tcPr>
            <w:tcW w:w="837"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5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5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$47.1 million, or 111%, for fiscal 2020 compared to fiscal 2019. The increase was primarily due to an increase of $40.5 million in personnel-related expenses driven by higher headcount and $16.6 million in higher tender offer-related stock-based compensation expense, an increase of $3.9 million in allocated overhead costs as a result of increased overall costs to support the growth of our business and related infrastructure, and an increase of $1.5 million related to software subscriptions and expensed computer equipment used in research and development activities.</w:t>
      </w:r>
    </w:p>
    <w:p>
      <w:pPr>
        <w:pStyle w:val="HorizontalLine"/>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67"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increased $53.7 million, or 103%, for fiscal 2020 compared to fiscal 2019. The increase was primarily due to an increase of $26.1 million in personnel-related expenses as a result of higher headcount and sales commissions for our sales personnel and $7.0 million in higher tender offer-related stock-based compensation expense, an increase of $13.7 million in advertising expenses for our marketing programs, an increase of $7.2 million in fees to marketing vendors, and an increase of $3.6 million in allocated overhead costs as a result of increased overall costs to support the growth of our business and related infrastructure. </w:t>
      </w:r>
    </w:p>
    <w:p>
      <w:pPr>
        <w:pStyle w:val="TextBody"/>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increased $26.6 million, or 131%, for fiscal 2020 compared to fiscal 2019. The increase was primarily due to an increase of $17.6 million in personnel-related expenses driven by higher headcount to support our continued growth and $11.2 million in higher tender offer-related stock-based compensation expense, an increase of $2.8 million in fees for professional services associated with preparing to be a public company, including direct listing expenses, an increase of $1.6 million in fees paid to external consultants, and an increase of $1.3 million in software subscriptions and expensed computer equipment to support the growth of our business and related infrastructure. </w:t>
      </w: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Interest Income, Interest Expense, and Other Income (Expense), Net</w:t>
      </w:r>
    </w:p>
    <w:tbl>
      <w:tblPr>
        <w:tblW w:w="8649" w:type="dxa"/>
        <w:jc w:val="left"/>
        <w:tblInd w:w="0" w:type="dxa"/>
        <w:tblCellMar>
          <w:top w:w="28" w:type="dxa"/>
          <w:left w:w="28" w:type="dxa"/>
          <w:bottom w:w="28" w:type="dxa"/>
          <w:right w:w="28" w:type="dxa"/>
        </w:tblCellMar>
      </w:tblPr>
      <w:tblGrid>
        <w:gridCol w:w="1444"/>
        <w:gridCol w:w="1271"/>
        <w:gridCol w:w="1275"/>
        <w:gridCol w:w="211"/>
        <w:gridCol w:w="616"/>
        <w:gridCol w:w="109"/>
        <w:gridCol w:w="109"/>
        <w:gridCol w:w="109"/>
        <w:gridCol w:w="109"/>
        <w:gridCol w:w="211"/>
        <w:gridCol w:w="616"/>
        <w:gridCol w:w="109"/>
        <w:gridCol w:w="109"/>
        <w:gridCol w:w="109"/>
        <w:gridCol w:w="109"/>
        <w:gridCol w:w="213"/>
        <w:gridCol w:w="471"/>
        <w:gridCol w:w="112"/>
        <w:gridCol w:w="109"/>
        <w:gridCol w:w="109"/>
        <w:gridCol w:w="109"/>
        <w:gridCol w:w="233"/>
        <w:gridCol w:w="233"/>
        <w:gridCol w:w="544"/>
      </w:tblGrid>
      <w:tr>
        <w:trPr/>
        <w:tc>
          <w:tcPr>
            <w:tcW w:w="1444"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(expense), net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(expense), net increased $0.3 million, or 23%, for fiscal 2020 compared to fiscal 2019 primarily due to increased income from our investments in marketable securities as a result of our higher investment balances in fiscal 2020 compared to fiscal 2019. Interest expense increased $0.1 million for fiscal 2020 compared to fiscal 2019 due to the issuance of the senior mandatory convertible promissory note to a trust affiliated with our CEO.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inception, we have financed operations primarily through the net proceeds we have received from the sales of our preferred stock and common stock, the issuance of senior mandatory convertible promissory notes in January and June 2020 to a trust affiliated with our CEO, and cash generated from the sale of subscriptions to our platform. We have generated losses from our operations as reflected in our accumulated deficit of $541.4 million as of January 31, 2021 and negative cash flows from operating activities for fiscal 2021, fiscal 2020, and fiscal 2019. Our future capital requirements will depend on many factors, including revenue growth and costs incurred to support customer usage and growth in our customer base, increased research and development expenses to support the growth of our business and related infrastructure, and increased general and administrative expenses to support being a publicly traded company.</w:t>
      </w:r>
    </w:p>
    <w:p>
      <w:pPr>
        <w:pStyle w:val="TextBody"/>
        <w:spacing w:lineRule="auto" w:line="288" w:before="0" w:after="180"/>
        <w:ind w:left="0" w:right="0" w:firstLine="360"/>
        <w:jc w:val="both"/>
        <w:rPr/>
      </w:pPr>
      <w:r>
        <w:rPr>
          <w:rFonts w:ascii="Times New Roman;sans-serif" w:hAnsi="Times New Roman;sans-serif"/>
          <w:b w:val="false"/>
          <w:color w:val="000000"/>
          <w:sz w:val="20"/>
        </w:rPr>
        <w:t>As of January 31, 2021</w:t>
      </w:r>
      <w:r>
        <w:rPr>
          <w:rFonts w:ascii="Times New Roman;sans-serif" w:hAnsi="Times New Roman;sans-serif"/>
          <w:b w:val="false"/>
          <w:color w:val="000000"/>
          <w:sz w:val="20"/>
          <w:highlight w:val="white"/>
        </w:rPr>
        <w:t>, our principal sources of liquidity were cash, cash equivalents, and marketable securities of $386.3 million.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2020, we entered into a five-year $40.0 million term loan agreement with Silicon Valley Bank. The agreement provides for a senior secured term loan facility, in an aggregate principal amount of up to $40.0 million, to be used for the construction of our new corporate headquarters. Interest will accrue on any outstanding balance at a floating rate per annum equal to the prime rate (as publicly announced from time to time by the Wall Street Journal) plus an applicable margin equal to either (a) 0% if our unrestricted cash at the lender is equal to or less than $80.0 million, or (b) (0.5)% if our unrestricted cash at the lender is between $80.0 million and $100.0 million, or (c) </w:t>
      </w:r>
    </w:p>
    <w:p>
      <w:pPr>
        <w:pStyle w:val="HorizontalLine"/>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68"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pPr>
      <w:r>
        <w:rPr>
          <w:rFonts w:ascii="Times New Roman;sans-serif" w:hAnsi="Times New Roman;sans-serif"/>
          <w:b w:val="false"/>
          <w:color w:val="000000"/>
          <w:sz w:val="20"/>
        </w:rPr>
        <w:t xml:space="preserve">(1.0)% if our unrestricted cash balance at the lender is equal to or greater than $100.0 million. Interest shall be payable monthly. As of January 31, 2021, </w:t>
      </w:r>
      <w:r>
        <w:rPr>
          <w:rFonts w:ascii="Times New Roman;sans-serif" w:hAnsi="Times New Roman;sans-serif"/>
          <w:b w:val="false"/>
          <w:color w:val="000000"/>
          <w:sz w:val="20"/>
          <w:highlight w:val="white"/>
        </w:rPr>
        <w:t>$31.0 million</w:t>
      </w:r>
      <w:r>
        <w:rPr>
          <w:color w:val="000000"/>
        </w:rPr>
        <w:t xml:space="preserve"> </w:t>
      </w:r>
      <w:r>
        <w:rPr>
          <w:rFonts w:ascii="Times New Roman;sans-serif" w:hAnsi="Times New Roman;sans-serif"/>
          <w:b w:val="false"/>
          <w:color w:val="000000"/>
          <w:sz w:val="20"/>
        </w:rPr>
        <w:t xml:space="preserve">was drawn and outstanding under this term loan.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substantial source of our cash provided by operating activities is our deferred revenue, which is included on our consolidated balance sheets as a liability. Deferred revenue consists of the unearned portion of billed fees for our subscriptions, which is recorded as revenues over the term of the subscription agreement. As of January 31, 2021 and January 31, 2020, we had $105.9 million and $64.1 million, respectively, of deferred revenue of which $103.9 million and $62.7 million, respectively, were recorded as a current liability. This deferred revenue will be recognized as revenues when all of the revenue recognition criteria are met.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assess our liquidity primarily through our cash on hand as well as the projected timing of billings under contract with our paying customers and related collection cycles. We believe our current cash, cash equivalents, marketable securities, and amounts available under our senior secured term loan facility will be sufficient to meet our working capital and capital expenditure requirements for at least the next 12 months.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summary of our cash flows for the periods presented:</w:t>
      </w:r>
    </w:p>
    <w:tbl>
      <w:tblPr>
        <w:tblW w:w="8246" w:type="dxa"/>
        <w:jc w:val="left"/>
        <w:tblInd w:w="0" w:type="dxa"/>
        <w:tblCellMar>
          <w:top w:w="28" w:type="dxa"/>
          <w:left w:w="28" w:type="dxa"/>
          <w:bottom w:w="28" w:type="dxa"/>
          <w:right w:w="28" w:type="dxa"/>
        </w:tblCellMar>
      </w:tblPr>
      <w:tblGrid>
        <w:gridCol w:w="1519"/>
        <w:gridCol w:w="1338"/>
        <w:gridCol w:w="1342"/>
        <w:gridCol w:w="211"/>
        <w:gridCol w:w="796"/>
        <w:gridCol w:w="109"/>
        <w:gridCol w:w="109"/>
        <w:gridCol w:w="109"/>
        <w:gridCol w:w="109"/>
        <w:gridCol w:w="211"/>
        <w:gridCol w:w="796"/>
        <w:gridCol w:w="109"/>
        <w:gridCol w:w="109"/>
        <w:gridCol w:w="109"/>
        <w:gridCol w:w="109"/>
        <w:gridCol w:w="211"/>
        <w:gridCol w:w="796"/>
        <w:gridCol w:w="154"/>
      </w:tblGrid>
      <w:tr>
        <w:trPr/>
        <w:tc>
          <w:tcPr>
            <w:tcW w:w="1519"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largest source of operating cash is cash collection from sales of subscriptions to our paying customers. Our primary uses of cash from operating activities are for personnel-related expenses, marketing expenses, and third-party hosting-related and software expenses. In the last several years, we have generated negative cash flows from operating activities and have supplemented working capital requirements through net proceeds from the sale of equity and equity-linked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of $92.9 million for fiscal 2021 reflects our net loss of $211.7 million, adjusted by non-cash items such as stock-based compensation expense of $34.2 million, amortization of discount on convertible notes and term loan issuance costs of $22.4 million, non-cash lease expense of $16.4 million, non-cash interest expense of $13.7 million, amortization of deferred contract acquisition costs of $4.1 million, depreciation and amortization of $3.5 million, provision for doubtful accounts of $0.9 million, and net cash inflows of $23.3 million from changes in our operating assets and liabilities. The net cash inflows from changes in operating assets and liabilities primarily consisted of a $41.8 million increase in deferred revenue resulting from increased billings for subscriptions, a $17.9 million increase in accrued liabilities and other liabilities primarily from an increase in accrued advertising, and a $7.3 million increase in operating lease liabilities. These amounts were partially offset by a $20.5 million increase in accounts receivable due to higher customer billings, a $17.2 million increase in prepaid expenses and other current assets related to an increase in deferred contract acquisition costs, a $3.4 million increase in other assets, and a $2.9 million decrease in accounts payable not related to the purchases of property and equipment.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of $40.1 million for fiscal 2020 reflects our net loss of $118.6 million, adjusted by non-cash items such as stock-based compensation expense of $48.4 million, non-cash lease expense of $8.2 million, depreciation and amortization of $2.2 million, amortization of deferred contract acquisition costs of $1.6 million, and net accretion of discount on marketable securities of $1.0 million, and net cash inflows of $18.2 million from changes in our operating assets and liabilities. The net cash inflows from changes in operating assets and liabilities primarily consisted of a $32.2 million increase in deferred revenue, resulting from increased billings for subscriptions, and an $8.3 million increase in accrued expenses and other current liabilities, resulting primarily </w:t>
      </w:r>
    </w:p>
    <w:p>
      <w:pPr>
        <w:pStyle w:val="HorizontalLine"/>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69"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from increases in accrued professional services, marketing, accrued payroll, and benefits, and a $3.5 million increase in accounts payable. These amounts were partially offset by an $8.7 million increase in prepaid expenses and other current assets related to an increase in prepayments made in advance for future services and an increase in deferred contract acquisition costs, a $7.7 million increase in accounts receivable due to higher customer billings, and a $7.6 million decrease in operating lease liabilities.</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Net cash used in operating activities of $30.2 million for fiscal 2019 reflects our net loss of $50.9 million, offset by non-cash items such as stock-based compensation expense of $8.5 million and depreciation and amortization of $4.2 million, and net cash inflows of $8.3 million from changes in our operating assets and liabilities. The net cash inflows from changes in operating assets and liabilities primarily consisted of a $15.1 million increase in deferred revenue, resulting from increased billings for subscriptions, and a $4.0 million increase in accrued expenses and other current liabilities, resulting primarily from increases in accrued payroll related to commissions and bonuses. These amounts were partially offset by a $4.5 million increase in prepaid expenses and other current assets related to prepayments made in advance for future services, a $3.7 million increase in other assets related to deferred contract acquisition costs resulting from the adoption of Accounting Standards Codification Topic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or ASC 606, and a $3.4 million increase in accounts receivable due to higher customer billings.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of $158.9 million for fiscal 2021 consisted of $191.6 million in purchases marketable securities, $57.3 million in purchases of property and equipment from an increase in construction in progress and $1.0 million in capitalized internal-use software costs, partially offset by $53.8 million in maturities of marketable securities and $37.1 million in sales of marketable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of $12.7 million for fiscal 2020 consisted of $19.9 million in net purchases, sales, and maturities of marketable securities, partially offset by $6.9 million in purchases of property and equipment from an increase in construction in progress and leasehold improvements, and $0.4 million in capitalized internal-use software costs.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of $44.7 million for fiscal 2019 consisted of $41.3 million in net purchases and maturities of marketable securities, $2.9 million in purchases of property and equipment from an increase in leasehold improvements and furniture and fixtures associated with supporting higher headcount, and $0.6 million in capitalized internal-use software costs.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lineRule="auto" w:line="288" w:before="0" w:after="180"/>
        <w:ind w:left="0" w:right="0" w:firstLine="360"/>
        <w:jc w:val="both"/>
        <w:rPr/>
      </w:pPr>
      <w:r>
        <w:rPr>
          <w:rFonts w:ascii="Times New Roman;sans-serif" w:hAnsi="Times New Roman;sans-serif"/>
          <w:b w:val="false"/>
          <w:color w:val="000000"/>
          <w:sz w:val="20"/>
        </w:rPr>
        <w:t>Net cash provided by financing activities of $201.0 million for fiscal 2021 consisted of $150.0 million of proceeds from the issuance of a senior mandatory convertible promissory note in June 2020 to a trust affiliated with our CE</w:t>
      </w:r>
      <w:r>
        <w:rPr>
          <w:rFonts w:ascii="Times New Roman;sans-serif" w:hAnsi="Times New Roman;sans-serif"/>
          <w:b w:val="false"/>
          <w:color w:val="000000"/>
          <w:sz w:val="20"/>
          <w:highlight w:val="white"/>
        </w:rPr>
        <w:t>O, $30.9 million in net</w:t>
      </w:r>
      <w:r>
        <w:rPr>
          <w:color w:val="000000"/>
        </w:rPr>
        <w:t xml:space="preserve"> </w:t>
      </w:r>
      <w:r>
        <w:rPr>
          <w:rFonts w:ascii="Times New Roman;sans-serif" w:hAnsi="Times New Roman;sans-serif"/>
          <w:b w:val="false"/>
          <w:color w:val="000000"/>
          <w:sz w:val="20"/>
        </w:rPr>
        <w:t>proceeds from our term loan</w:t>
      </w:r>
      <w:r>
        <w:rPr>
          <w:rFonts w:ascii="Times New Roman;sans-serif" w:hAnsi="Times New Roman;sans-serif"/>
          <w:b w:val="false"/>
          <w:color w:val="000000"/>
          <w:sz w:val="20"/>
          <w:highlight w:val="white"/>
        </w:rPr>
        <w:t xml:space="preserve">, and $20.5 million in proceeds from the exercise of stock options, partially offset by $0.4 million in taxes paid related to the net share settlement of </w:t>
      </w:r>
      <w:r>
        <w:rPr>
          <w:rFonts w:ascii="Times New Roman;sans-serif" w:hAnsi="Times New Roman;sans-serif"/>
          <w:b w:val="false"/>
          <w:color w:val="000000"/>
          <w:sz w:val="20"/>
        </w:rPr>
        <w:t>equity awards.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of $311.6 million for fiscal 2020 consisted of $300.0 million of proceeds from the issuance of a senior mandatory convertible promissory note in January 2020 to a trust affiliated with our CEO and $11.7 million in proceeds from the exercise of stock options, partially offset by $0.1 million in repurchases of common stock.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of $55.3 million for fiscal 2019 consisted of $51.0 million in net proceeds from the sale and issuance of Series E preferred stock and $4.3 million in proceeds from the exercise of stock options.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contractual commitment amounts in the table below are associated with agreements that are enforceable and legally binding. Purchase orders issued in the ordinary course of business are not included in the table below, as our purchase orders represent authorizations to purchase rather than binding agreements.</w:t>
      </w:r>
    </w:p>
    <w:p>
      <w:pPr>
        <w:pStyle w:val="HorizontalLine"/>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70"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before="0" w:after="18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The following table summarizes our contractual obligations as of </w:t>
      </w:r>
      <w:r>
        <w:rPr>
          <w:rFonts w:ascii="Times New Roman;sans-serif" w:hAnsi="Times New Roman;sans-serif"/>
          <w:b w:val="false"/>
          <w:color w:val="000000"/>
          <w:sz w:val="18"/>
        </w:rPr>
        <w:t>January 31, 2021</w:t>
      </w:r>
      <w:r>
        <w:rPr>
          <w:rFonts w:ascii="Times New Roman;sans-serif" w:hAnsi="Times New Roman;sans-serif"/>
          <w:b w:val="false"/>
          <w:color w:val="000000"/>
          <w:sz w:val="20"/>
        </w:rPr>
        <w:t>:</w:t>
      </w:r>
    </w:p>
    <w:tbl>
      <w:tblPr>
        <w:tblW w:w="10160" w:type="dxa"/>
        <w:jc w:val="left"/>
        <w:tblInd w:w="0" w:type="dxa"/>
        <w:tblCellMar>
          <w:top w:w="28" w:type="dxa"/>
          <w:left w:w="28" w:type="dxa"/>
          <w:bottom w:w="28" w:type="dxa"/>
          <w:right w:w="28" w:type="dxa"/>
        </w:tblCellMar>
      </w:tblPr>
      <w:tblGrid>
        <w:gridCol w:w="973"/>
        <w:gridCol w:w="854"/>
        <w:gridCol w:w="858"/>
        <w:gridCol w:w="211"/>
        <w:gridCol w:w="826"/>
        <w:gridCol w:w="109"/>
        <w:gridCol w:w="109"/>
        <w:gridCol w:w="109"/>
        <w:gridCol w:w="109"/>
        <w:gridCol w:w="267"/>
        <w:gridCol w:w="914"/>
        <w:gridCol w:w="138"/>
        <w:gridCol w:w="109"/>
        <w:gridCol w:w="109"/>
        <w:gridCol w:w="109"/>
        <w:gridCol w:w="211"/>
        <w:gridCol w:w="826"/>
        <w:gridCol w:w="109"/>
        <w:gridCol w:w="109"/>
        <w:gridCol w:w="109"/>
        <w:gridCol w:w="109"/>
        <w:gridCol w:w="211"/>
        <w:gridCol w:w="721"/>
        <w:gridCol w:w="109"/>
        <w:gridCol w:w="109"/>
        <w:gridCol w:w="109"/>
        <w:gridCol w:w="109"/>
        <w:gridCol w:w="268"/>
        <w:gridCol w:w="1051"/>
        <w:gridCol w:w="196"/>
      </w:tblGrid>
      <w:tr>
        <w:trPr/>
        <w:tc>
          <w:tcPr>
            <w:tcW w:w="973"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5"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 Year</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1 - 3 years</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3 - 5 years</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51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 5 Years</w:t>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5"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lease commitments</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10,174 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252,757 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Purchase commitments</w:t>
            </w:r>
            <w:r>
              <w:rPr>
                <w:rFonts w:ascii="Times New Roman;sans-serif" w:hAnsi="Times New Roman;sans-serif"/>
                <w:b w:val="false"/>
                <w:color w:val="000000"/>
                <w:sz w:val="13"/>
              </w:rPr>
              <w:t>(2)(3)</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252,757 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(1)Consists of future non-cancelable minimum rental payments under operating leases for our offices. </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(2)In January 2021, we entered into a 60-month contract with Amazon Web Services for hosting-related services. Pursuant to the terms of the contract, we are required to spend a minimum of $103.5 million over the term of the agreement, including $18.0 million within the first year. As of January 31, 2021, we had $103.5 million remaining on the commitment. </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(3)During the year ended January 31, 2021, we entered into multiple agreements with a construction company related to the build-out of our new corporate headquarters (see Note 9 to our consolidated financial statements). The cumulative contract value is $71.1 million, and as of January 31, 2021, $32.3 million remains unpaid under these agreements, of which $9.5 million has been recorded on our consolidated balance sheets within accounts payable or accrued expenses and other liabilities.</w:t>
      </w:r>
    </w:p>
    <w:p>
      <w:pPr>
        <w:pStyle w:val="TextBody"/>
        <w:spacing w:before="0" w:after="0"/>
        <w:ind w:left="0" w:right="0" w:hanging="360"/>
        <w:jc w:val="both"/>
        <w:rPr/>
      </w:pPr>
      <w:r>
        <w:rPr/>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In February 2019, we entered into a new lease agreement for office space in San Francisco, which commenced in May 2020 and expires in October 2033. As part of the agreement, we were required to issue a $17.0 million letter of credit upon access to the office space, which occurred in the year ended January 31, 2021. We participated in the construction of the office space and have incurred construction costs to prepare the office space for our use, which will be partially reimbursed by the landlord. </w:t>
      </w:r>
      <w:r>
        <w:rPr>
          <w:rFonts w:ascii="Times New Roman;sans-serif" w:hAnsi="Times New Roman;sans-serif"/>
          <w:b w:val="false"/>
          <w:color w:val="000000"/>
          <w:sz w:val="20"/>
          <w:highlight w:val="white"/>
        </w:rPr>
        <w:t xml:space="preserve">During the </w:t>
      </w:r>
      <w:r>
        <w:rPr>
          <w:rFonts w:ascii="Times New Roman;sans-serif" w:hAnsi="Times New Roman;sans-serif"/>
          <w:b w:val="false"/>
          <w:color w:val="000000"/>
          <w:sz w:val="20"/>
        </w:rPr>
        <w:t>year ended January 31, 2021</w:t>
      </w:r>
      <w:r>
        <w:rPr>
          <w:rFonts w:ascii="Times New Roman;sans-serif" w:hAnsi="Times New Roman;sans-serif"/>
          <w:b w:val="false"/>
          <w:color w:val="000000"/>
          <w:sz w:val="20"/>
          <w:highlight w:val="white"/>
        </w:rPr>
        <w:t xml:space="preserve">, all three phases of this lease commenced, and as a result, we recognized total ROU assets of $175.5 million, with corresponding operating lease liabilities of $173.4 million, on the consolidated balance sheet as of the respective commencement dates of the three phases. We expect to incur a total of approximately $404.1 million of future minimum payments and capital commitments, net of tenant improvement receivables as of January 31, 2021, inclusive of $363.7 million of net lease payments and the remaining capital commitments </w:t>
      </w:r>
      <w:r>
        <w:rPr>
          <w:rFonts w:ascii="Times New Roman;sans-serif" w:hAnsi="Times New Roman;sans-serif"/>
          <w:b w:val="false"/>
          <w:color w:val="000000"/>
          <w:sz w:val="20"/>
        </w:rPr>
        <w:t>related to the build-out of the Company’s new corporate headquarters</w:t>
      </w:r>
      <w:r>
        <w:rPr>
          <w:color w:val="000000"/>
          <w:highlight w:val="white"/>
        </w:rPr>
        <w:t xml:space="preserve"> </w:t>
      </w:r>
      <w:r>
        <w:rPr>
          <w:rFonts w:ascii="Times New Roman;sans-serif" w:hAnsi="Times New Roman;sans-serif"/>
          <w:b w:val="false"/>
          <w:color w:val="000000"/>
          <w:sz w:val="20"/>
          <w:highlight w:val="white"/>
        </w:rPr>
        <w:t>referenced above. Our CEO acts as a personal guarantor to the lease for the full rent payments over t</w:t>
      </w:r>
      <w:r>
        <w:rPr>
          <w:rFonts w:ascii="Times New Roman;sans-serif" w:hAnsi="Times New Roman;sans-serif"/>
          <w:b w:val="false"/>
          <w:color w:val="000000"/>
          <w:sz w:val="20"/>
        </w:rPr>
        <w:t>he entire term of the lease should we default on our obligations.</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Additionally, in April 2020, we amended the lease arrangement to include a fee for access to additional shared space, for which future payments total $3.9 million.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information on our commitments and contingencies, refer to Note 8 in the condensed consolidated financial statements contained within this Annual Report on Form 10-K.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and June 2020, we issued two unsecured senior mandatory convertible promissory notes for an aggregate principal amount of $450.0 million, or the 2020 Notes, to a trust affiliated with our CEO. The 2020 Notes are senior, unsecured obligations of the Company. The 2020 Notes bear interest at a fixed rate of 3.5% per annum that will be compounded annually and payable in-kind, resulting in an aggregate $534.5 million being due upon settlement. The 2020 Notes consist of a note that matures on January 30, 2025 and a note that matures on June 26, 2025. The 2020 Notes mature, and would be converted into shares of our Class B common stock, on the applicable maturity date, unless earlier converted into shares of our Class B common stock or redeemed in connection with our bankruptcy, insolvency, or other similar events. The holder of the 2020 Notes is not entitled to convert the 2020 Notes at any time. The 2020 Notes are only convertible into shares of our Class B common stock at our option under certain scenarios, as discussed in Note 6 to our consolidated financial statements included elsewhere in this Annual Report on Form 10-K.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2020, we entered into a $40.0 million term loan agreement with Silicon Valley Bank, as discussed in Liquidity and Capital Resources above.</w:t>
      </w:r>
    </w:p>
    <w:p>
      <w:pPr>
        <w:pStyle w:val="HorizontalLine"/>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71"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Indemnification Agreements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in connection with the listing of our Class A common stock on the NYSE,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financial position, results of operations, or cash flows.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all periods presented,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are prepared in accordance with U.S. GAAP. The preparation of these financial statements requires us to make estimates and assumptions that affect the reported amounts of assets, liabilities, revenues,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accounting estimates, assumptions, and judgments that we believe have the most significant impact on our consolidated financial statements are described below.</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derive our revenues from monthly and annual subscription fees earned from paying customers accessing the platform. Our policy is to exclude sales and other indirect taxes when measuring the transaction price of our subscription agreements. We account for revenue contracts with customers by applying the requirements of ASC 606, which includes the following steps: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identification of the contract, or contracts, with the customer;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identification of the performance obligations in the contract;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determination of the transaction price;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allocation of the transaction price to the performance obligations in the contract; and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recognition of the revenues when, or as, we satisfy a performance obligation.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subscription agreements generally have monthly or annual contractual terms. We recognize revenues ratably over the related contractual term beginning on the date that the platform is made available to a customer, as the customer receives and consumes the benefits of the platform throughout the contractual period. Access to the platform represents a series of distinct services that comprise a single performance obligation that is satisfied over time. Our contracts are generally non-cancelable and do not provide for refunds to paying customers in the event of cancellations.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Deferred Contract Acquisition Costs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contract acquisition costs represent gross deferred contract acquisition costs less accumulated amortization. Sales commissions earned by our sales force and bonuses earned by executives, as well as related payroll taxes, are considered to be incremental and recoverable costs of obtaining a contract with a customer. As a </w:t>
      </w:r>
    </w:p>
    <w:p>
      <w:pPr>
        <w:pStyle w:val="HorizontalLine"/>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72"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result, these amounts have been capitalized as deferred contract acquisition costs within prepaid and other current assets and other assets on the consolidated balance sheets.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amortize deferred contract acquisition costs over a period of benefit of three years. We estimated the period of benefit by considering factors such as historical customer attrition rates, the useful life of our technology, and the impact of competition in the software-as-a-service industry. </w:t>
      </w:r>
    </w:p>
    <w:p>
      <w:pPr>
        <w:pStyle w:val="TextBody"/>
        <w:spacing w:lineRule="auto" w:line="288" w:before="120" w:after="18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Stock-Based Compensation Expense</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record stock-based compensation expense for all stock-based awards made to employees, non-employees, and directors based on estimated fair values recognized over the requisite service period. We estimate the fair value of options granted to employees for purposes of calculating stock-based compensation expense on the grant date using the Black-Scholes pricing model. The Black-Scholes pricing model requires us to make assumptions and judgments about the inputs used in the calculation, including the expected term (weighted-average period of time that the options granted are expected to be outstanding), the volatility of our common stock, risk-free interest rate, and expected dividend yield. The expected term represents the period that we expect our stock-based awards to be outstanding. We determine the expected term assumptions based on the vesting terms, exercise terms, and contractual lives of the options. The volatility is based on an average of the historical volatilities of the common stock of comparable public companies with characteristics similar to ours. The risk-free rate is based on the U.S. Treasury yield curve in effect at the time of grant for periods corresponding with the expected life of the option. Our expected dividend yield input is zero as we have not historically paid, nor do we expect in the future to pay, cash dividends. </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measure stock-based compensation expense related to our restricted stock units, or RSUs, based on the fair value of the underlying shares on the date of grant. RSUs are subject to time-based vesting, which generally occurs over a period of four years.</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recognize stock-based compensation expense over the requisite service period, which is generally the vesting period of the respective award. We use the straight-line method for expense attribution. We account for forfeitures as they occur. </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assumptions are based on the following for each of the years presented:</w:t>
      </w:r>
    </w:p>
    <w:p>
      <w:pPr>
        <w:pStyle w:val="TextBody"/>
        <w:spacing w:lineRule="auto" w:line="288" w:before="0" w:after="180"/>
        <w:ind w:left="0" w:right="0" w:hanging="360"/>
        <w:jc w:val="both"/>
        <w:rPr/>
      </w:pPr>
      <w:r>
        <w:rPr>
          <w:color w:val="000000"/>
          <w:highlight w:val="white"/>
        </w:rPr>
        <w:t>•</w:t>
      </w:r>
      <w:r>
        <w:rPr>
          <w:rFonts w:ascii="Times New Roman;sans-serif" w:hAnsi="Times New Roman;sans-serif"/>
          <w:b w:val="false"/>
          <w:i/>
          <w:color w:val="000000"/>
          <w:sz w:val="20"/>
          <w:highlight w:val="white"/>
        </w:rPr>
        <w:t xml:space="preserve">Fair value of common stock— </w:t>
      </w:r>
      <w:r>
        <w:rPr>
          <w:rFonts w:ascii="Times New Roman;sans-serif" w:hAnsi="Times New Roman;sans-serif"/>
          <w:b w:val="false"/>
          <w:color w:val="000000"/>
          <w:sz w:val="20"/>
          <w:highlight w:val="white"/>
        </w:rPr>
        <w:t>Prior to our direct listing,</w:t>
      </w:r>
      <w:r>
        <w:rPr>
          <w:color w:val="000000"/>
          <w:highlight w:val="white"/>
        </w:rPr>
        <w:t xml:space="preserve"> </w:t>
      </w:r>
      <w:r>
        <w:rPr>
          <w:rFonts w:ascii="Times New Roman;sans-serif" w:hAnsi="Times New Roman;sans-serif"/>
          <w:b w:val="false"/>
          <w:color w:val="000000"/>
          <w:sz w:val="20"/>
          <w:highlight w:val="white"/>
        </w:rPr>
        <w:t>we estimated the fair value of common stock; see “Common Stock Valuations” below.</w:t>
      </w:r>
    </w:p>
    <w:p>
      <w:pPr>
        <w:pStyle w:val="TextBody"/>
        <w:spacing w:lineRule="auto" w:line="288" w:before="0" w:after="180"/>
        <w:ind w:left="0" w:right="0" w:hanging="360"/>
        <w:jc w:val="both"/>
        <w:rPr/>
      </w:pPr>
      <w:r>
        <w:rPr>
          <w:color w:val="000000"/>
          <w:highlight w:val="white"/>
        </w:rPr>
        <w:t>•</w:t>
      </w:r>
      <w:r>
        <w:rPr>
          <w:rFonts w:ascii="Times New Roman;sans-serif" w:hAnsi="Times New Roman;sans-serif"/>
          <w:b w:val="false"/>
          <w:i/>
          <w:color w:val="000000"/>
          <w:sz w:val="20"/>
          <w:highlight w:val="white"/>
        </w:rPr>
        <w:t>Expected volatility—</w:t>
      </w:r>
      <w:r>
        <w:rPr>
          <w:rFonts w:ascii="Times New Roman;sans-serif" w:hAnsi="Times New Roman;sans-serif"/>
          <w:b w:val="false"/>
          <w:color w:val="000000"/>
          <w:sz w:val="20"/>
          <w:highlight w:val="white"/>
        </w:rPr>
        <w:t>Expected volatility is a measure of the amount by which the stock price is expected to fluctuate. Since we do not have sufficient trading history of our common stock, we estimate the expected volatility of our stock options at the grant date by taking the average historical volatility of a group of comparable publicly traded companies over a period equal to the expected life of the options.</w:t>
      </w:r>
    </w:p>
    <w:p>
      <w:pPr>
        <w:pStyle w:val="TextBody"/>
        <w:spacing w:lineRule="auto" w:line="288" w:before="0" w:after="180"/>
        <w:ind w:left="0" w:right="0" w:hanging="360"/>
        <w:jc w:val="both"/>
        <w:rPr/>
      </w:pPr>
      <w:r>
        <w:rPr>
          <w:color w:val="000000"/>
          <w:highlight w:val="white"/>
        </w:rPr>
        <w:t>•</w:t>
      </w:r>
      <w:r>
        <w:rPr>
          <w:rFonts w:ascii="Times New Roman;sans-serif" w:hAnsi="Times New Roman;sans-serif"/>
          <w:b w:val="false"/>
          <w:i/>
          <w:color w:val="000000"/>
          <w:sz w:val="20"/>
          <w:highlight w:val="white"/>
        </w:rPr>
        <w:t>Expected term—</w:t>
      </w:r>
      <w:r>
        <w:rPr>
          <w:rFonts w:ascii="Times New Roman;sans-serif" w:hAnsi="Times New Roman;sans-serif"/>
          <w:b w:val="false"/>
          <w:color w:val="000000"/>
          <w:sz w:val="20"/>
          <w:highlight w:val="white"/>
        </w:rPr>
        <w:t xml:space="preserve">Expected term represents the period that our stock-based awards are expected to be outstanding. The expected term assumptions are determined based on the vesting terms, exercise terms, and contractual lives of the options. </w:t>
      </w:r>
    </w:p>
    <w:p>
      <w:pPr>
        <w:pStyle w:val="TextBody"/>
        <w:spacing w:lineRule="auto" w:line="288" w:before="0" w:after="180"/>
        <w:ind w:left="0" w:right="0" w:hanging="360"/>
        <w:jc w:val="both"/>
        <w:rPr/>
      </w:pPr>
      <w:r>
        <w:rPr>
          <w:color w:val="000000"/>
          <w:highlight w:val="white"/>
        </w:rPr>
        <w:t>•</w:t>
      </w:r>
      <w:r>
        <w:rPr>
          <w:rFonts w:ascii="Times New Roman;sans-serif" w:hAnsi="Times New Roman;sans-serif"/>
          <w:b w:val="false"/>
          <w:i/>
          <w:color w:val="000000"/>
          <w:sz w:val="20"/>
          <w:highlight w:val="white"/>
        </w:rPr>
        <w:t>Risk-free rate—</w:t>
      </w:r>
      <w:r>
        <w:rPr>
          <w:rFonts w:ascii="Times New Roman;sans-serif" w:hAnsi="Times New Roman;sans-serif"/>
          <w:b w:val="false"/>
          <w:color w:val="000000"/>
          <w:sz w:val="20"/>
          <w:highlight w:val="white"/>
        </w:rPr>
        <w:t>We use the U.S. Treasury yield for our risk-free interest rate that corresponds with the expected term.</w:t>
      </w:r>
    </w:p>
    <w:p>
      <w:pPr>
        <w:pStyle w:val="TextBody"/>
        <w:spacing w:lineRule="auto" w:line="288" w:before="0" w:after="180"/>
        <w:ind w:left="0" w:right="0" w:hanging="360"/>
        <w:jc w:val="both"/>
        <w:rPr/>
      </w:pPr>
      <w:r>
        <w:rPr>
          <w:color w:val="000000"/>
          <w:highlight w:val="white"/>
        </w:rPr>
        <w:t>•</w:t>
      </w:r>
      <w:r>
        <w:rPr>
          <w:rFonts w:ascii="Times New Roman;sans-serif" w:hAnsi="Times New Roman;sans-serif"/>
          <w:b w:val="false"/>
          <w:i/>
          <w:color w:val="000000"/>
          <w:sz w:val="20"/>
          <w:highlight w:val="white"/>
        </w:rPr>
        <w:t>Dividend yield—</w:t>
      </w:r>
      <w:r>
        <w:rPr>
          <w:rFonts w:ascii="Times New Roman;sans-serif" w:hAnsi="Times New Roman;sans-serif"/>
          <w:b w:val="false"/>
          <w:color w:val="000000"/>
          <w:sz w:val="20"/>
          <w:highlight w:val="white"/>
        </w:rPr>
        <w:t>We utilize a dividend yield of zero, as we do not currently issue dividends, nor do we expect to do so in the future.</w:t>
      </w:r>
    </w:p>
    <w:p>
      <w:pPr>
        <w:pStyle w:val="TextBody"/>
        <w:spacing w:lineRule="auto" w:line="288" w:before="120" w:after="18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Common Stock Valuations</w:t>
      </w:r>
    </w:p>
    <w:p>
      <w:pPr>
        <w:pStyle w:val="TextBody"/>
        <w:spacing w:lineRule="auto" w:line="288" w:before="0" w:after="180"/>
        <w:ind w:left="0" w:right="0" w:firstLine="360"/>
        <w:jc w:val="both"/>
        <w:rPr/>
      </w:pPr>
      <w:r>
        <w:rPr>
          <w:rFonts w:ascii="Times New Roman;sans-serif" w:hAnsi="Times New Roman;sans-serif"/>
          <w:b w:val="false"/>
          <w:color w:val="000000"/>
          <w:sz w:val="20"/>
          <w:highlight w:val="white"/>
        </w:rPr>
        <w:t xml:space="preserve">Prior to our direct listing, the fair value of our common stock underlying our stock-based awards was historically determined by our board of directors, in accordance with the guidelines outlined in the </w:t>
      </w:r>
      <w:r>
        <w:rPr>
          <w:rFonts w:ascii="Times New Roman;sans-serif" w:hAnsi="Times New Roman;sans-serif"/>
          <w:b w:val="false"/>
          <w:i/>
          <w:color w:val="000000"/>
          <w:sz w:val="20"/>
          <w:highlight w:val="white"/>
        </w:rPr>
        <w:t xml:space="preserve">American Institute of Certified Public Accountants, Valuation of Privately-Held-Company Equity Securities Issued as Compensation </w:t>
      </w:r>
      <w:r>
        <w:rPr>
          <w:rFonts w:ascii="Times New Roman;sans-serif" w:hAnsi="Times New Roman;sans-serif"/>
          <w:b w:val="false"/>
          <w:color w:val="000000"/>
          <w:sz w:val="20"/>
          <w:highlight w:val="white"/>
        </w:rPr>
        <w:t xml:space="preserve">guide. Each fair value estimate was based on a variety of factors, which included the following: </w:t>
      </w:r>
    </w:p>
    <w:p>
      <w:pPr>
        <w:pStyle w:val="HorizontalLine"/>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73"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hanging="360"/>
        <w:jc w:val="both"/>
        <w:rPr/>
      </w:pPr>
      <w:r>
        <w:rPr>
          <w:color w:val="000000"/>
          <w:highlight w:val="white"/>
        </w:rPr>
        <w:t>•</w:t>
      </w:r>
      <w:r>
        <w:rPr>
          <w:rFonts w:ascii="Times New Roman;sans-serif" w:hAnsi="Times New Roman;sans-serif"/>
          <w:b w:val="false"/>
          <w:color w:val="000000"/>
          <w:sz w:val="20"/>
          <w:highlight w:val="white"/>
        </w:rPr>
        <w:t xml:space="preserve">contemporaneous valuations performed by an unrelated third-party valuation firm; </w:t>
      </w:r>
    </w:p>
    <w:p>
      <w:pPr>
        <w:pStyle w:val="TextBody"/>
        <w:spacing w:lineRule="auto" w:line="288" w:before="0" w:after="180"/>
        <w:ind w:left="0" w:right="0" w:hanging="360"/>
        <w:jc w:val="both"/>
        <w:rPr/>
      </w:pPr>
      <w:r>
        <w:rPr>
          <w:color w:val="000000"/>
          <w:highlight w:val="white"/>
        </w:rPr>
        <w:t>•</w:t>
      </w:r>
      <w:r>
        <w:rPr>
          <w:rFonts w:ascii="Times New Roman;sans-serif" w:hAnsi="Times New Roman;sans-serif"/>
          <w:b w:val="false"/>
          <w:color w:val="000000"/>
          <w:sz w:val="20"/>
          <w:highlight w:val="white"/>
        </w:rPr>
        <w:t xml:space="preserve">the prices, rights, preferences, and privileges of our preferred stock relative to those of our common stock; </w:t>
      </w:r>
    </w:p>
    <w:p>
      <w:pPr>
        <w:pStyle w:val="TextBody"/>
        <w:spacing w:lineRule="auto" w:line="288" w:before="0" w:after="180"/>
        <w:ind w:left="0" w:right="0" w:hanging="360"/>
        <w:jc w:val="both"/>
        <w:rPr/>
      </w:pPr>
      <w:r>
        <w:rPr>
          <w:color w:val="000000"/>
          <w:highlight w:val="white"/>
        </w:rPr>
        <w:t>•</w:t>
      </w:r>
      <w:r>
        <w:rPr>
          <w:rFonts w:ascii="Times New Roman;sans-serif" w:hAnsi="Times New Roman;sans-serif"/>
          <w:b w:val="false"/>
          <w:color w:val="000000"/>
          <w:sz w:val="20"/>
          <w:highlight w:val="white"/>
        </w:rPr>
        <w:t xml:space="preserve">the lack of marketability of our common stock; </w:t>
      </w:r>
    </w:p>
    <w:p>
      <w:pPr>
        <w:pStyle w:val="TextBody"/>
        <w:spacing w:lineRule="auto" w:line="288" w:before="0" w:after="180"/>
        <w:ind w:left="0" w:right="0" w:hanging="360"/>
        <w:jc w:val="both"/>
        <w:rPr/>
      </w:pPr>
      <w:r>
        <w:rPr>
          <w:color w:val="000000"/>
          <w:highlight w:val="white"/>
        </w:rPr>
        <w:t>•</w:t>
      </w:r>
      <w:r>
        <w:rPr>
          <w:rFonts w:ascii="Times New Roman;sans-serif" w:hAnsi="Times New Roman;sans-serif"/>
          <w:b w:val="false"/>
          <w:color w:val="000000"/>
          <w:sz w:val="20"/>
          <w:highlight w:val="white"/>
        </w:rPr>
        <w:t xml:space="preserve">our operating and financial performance; </w:t>
      </w:r>
    </w:p>
    <w:p>
      <w:pPr>
        <w:pStyle w:val="TextBody"/>
        <w:spacing w:lineRule="auto" w:line="288" w:before="0" w:after="180"/>
        <w:ind w:left="0" w:right="0" w:hanging="360"/>
        <w:jc w:val="both"/>
        <w:rPr/>
      </w:pPr>
      <w:r>
        <w:rPr>
          <w:color w:val="000000"/>
          <w:highlight w:val="white"/>
        </w:rPr>
        <w:t>•</w:t>
      </w:r>
      <w:r>
        <w:rPr>
          <w:rFonts w:ascii="Times New Roman;sans-serif" w:hAnsi="Times New Roman;sans-serif"/>
          <w:b w:val="false"/>
          <w:color w:val="000000"/>
          <w:sz w:val="20"/>
          <w:highlight w:val="white"/>
        </w:rPr>
        <w:t xml:space="preserve">current business conditions and outlook; </w:t>
      </w:r>
    </w:p>
    <w:p>
      <w:pPr>
        <w:pStyle w:val="TextBody"/>
        <w:spacing w:lineRule="auto" w:line="288" w:before="0" w:after="180"/>
        <w:ind w:left="0" w:right="0" w:hanging="360"/>
        <w:jc w:val="both"/>
        <w:rPr/>
      </w:pPr>
      <w:r>
        <w:rPr>
          <w:color w:val="000000"/>
          <w:highlight w:val="white"/>
        </w:rPr>
        <w:t>•</w:t>
      </w:r>
      <w:r>
        <w:rPr>
          <w:rFonts w:ascii="Times New Roman;sans-serif" w:hAnsi="Times New Roman;sans-serif"/>
          <w:b w:val="false"/>
          <w:color w:val="000000"/>
          <w:sz w:val="20"/>
          <w:highlight w:val="white"/>
        </w:rPr>
        <w:t xml:space="preserve">hiring of key personnel and the experience of our management; </w:t>
      </w:r>
    </w:p>
    <w:p>
      <w:pPr>
        <w:pStyle w:val="TextBody"/>
        <w:spacing w:lineRule="auto" w:line="288" w:before="0" w:after="180"/>
        <w:ind w:left="0" w:right="0" w:hanging="360"/>
        <w:jc w:val="both"/>
        <w:rPr/>
      </w:pPr>
      <w:r>
        <w:rPr>
          <w:color w:val="000000"/>
          <w:highlight w:val="white"/>
        </w:rPr>
        <w:t>•</w:t>
      </w:r>
      <w:r>
        <w:rPr>
          <w:rFonts w:ascii="Times New Roman;sans-serif" w:hAnsi="Times New Roman;sans-serif"/>
          <w:b w:val="false"/>
          <w:color w:val="000000"/>
          <w:sz w:val="20"/>
          <w:highlight w:val="white"/>
        </w:rPr>
        <w:t xml:space="preserve">our history and the timing of the introduction of new applications and capabilities; </w:t>
      </w:r>
    </w:p>
    <w:p>
      <w:pPr>
        <w:pStyle w:val="TextBody"/>
        <w:spacing w:lineRule="auto" w:line="288" w:before="0" w:after="180"/>
        <w:ind w:left="0" w:right="0" w:hanging="360"/>
        <w:jc w:val="both"/>
        <w:rPr/>
      </w:pPr>
      <w:r>
        <w:rPr>
          <w:color w:val="000000"/>
          <w:highlight w:val="white"/>
        </w:rPr>
        <w:t>•</w:t>
      </w:r>
      <w:r>
        <w:rPr>
          <w:rFonts w:ascii="Times New Roman;sans-serif" w:hAnsi="Times New Roman;sans-serif"/>
          <w:b w:val="false"/>
          <w:color w:val="000000"/>
          <w:sz w:val="20"/>
          <w:highlight w:val="white"/>
        </w:rPr>
        <w:t xml:space="preserve">our stage of development; </w:t>
      </w:r>
    </w:p>
    <w:p>
      <w:pPr>
        <w:pStyle w:val="TextBody"/>
        <w:spacing w:lineRule="auto" w:line="288" w:before="0" w:after="180"/>
        <w:ind w:left="0" w:right="0" w:hanging="360"/>
        <w:jc w:val="both"/>
        <w:rPr/>
      </w:pPr>
      <w:r>
        <w:rPr>
          <w:color w:val="000000"/>
          <w:highlight w:val="white"/>
        </w:rPr>
        <w:t>•</w:t>
      </w:r>
      <w:r>
        <w:rPr>
          <w:rFonts w:ascii="Times New Roman;sans-serif" w:hAnsi="Times New Roman;sans-serif"/>
          <w:b w:val="false"/>
          <w:color w:val="000000"/>
          <w:sz w:val="20"/>
          <w:highlight w:val="white"/>
        </w:rPr>
        <w:t xml:space="preserve">the likelihood of achieving a liquidity event, such as an initial public offering or a merger or acquisition of our business given prevailing market conditions; </w:t>
      </w:r>
    </w:p>
    <w:p>
      <w:pPr>
        <w:pStyle w:val="TextBody"/>
        <w:spacing w:lineRule="auto" w:line="288" w:before="0" w:after="180"/>
        <w:ind w:left="0" w:right="0" w:hanging="360"/>
        <w:jc w:val="both"/>
        <w:rPr/>
      </w:pPr>
      <w:r>
        <w:rPr>
          <w:color w:val="000000"/>
          <w:highlight w:val="white"/>
        </w:rPr>
        <w:t>•</w:t>
      </w:r>
      <w:r>
        <w:rPr>
          <w:rFonts w:ascii="Times New Roman;sans-serif" w:hAnsi="Times New Roman;sans-serif"/>
          <w:b w:val="false"/>
          <w:color w:val="000000"/>
          <w:sz w:val="20"/>
          <w:highlight w:val="white"/>
        </w:rPr>
        <w:t xml:space="preserve">the market performance of comparable publicly traded companies; and </w:t>
      </w:r>
    </w:p>
    <w:p>
      <w:pPr>
        <w:pStyle w:val="TextBody"/>
        <w:spacing w:lineRule="auto" w:line="288" w:before="0" w:after="180"/>
        <w:ind w:left="0" w:right="0" w:hanging="360"/>
        <w:jc w:val="both"/>
        <w:rPr/>
      </w:pPr>
      <w:r>
        <w:rPr>
          <w:color w:val="000000"/>
          <w:highlight w:val="white"/>
        </w:rPr>
        <w:t>•</w:t>
      </w:r>
      <w:r>
        <w:rPr>
          <w:rFonts w:ascii="Times New Roman;sans-serif" w:hAnsi="Times New Roman;sans-serif"/>
          <w:b w:val="false"/>
          <w:color w:val="000000"/>
          <w:sz w:val="20"/>
          <w:highlight w:val="white"/>
        </w:rPr>
        <w:t xml:space="preserve">U.S. and global capital market conditions. </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valuing our common stock, our board of directors determined the equity value of our business using valuation methods they deemed appropriate under the circumstances applicable at the valuation date. </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One method, the market approach, estimates value based on a comparison of our company to comparable public companies in a similar line of business. To determine our peer group of companies, we considered public enterprise cloud-based application providers and selected those that are similar to us in size, economic drivers, and operating characteristics. From the comparable companies, a representative market value multiple was determined, which was applied to our operating results to estimate the enterprise value of our company. When applicable, we also used the option pricing model to backsolve the value of the security from our most recent round of financing, which implies a total equity value as well as a per share common stock value. </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For valuations prior to January 31, 2020, once the enterprise value was determined under the market approach, we used the option pricing model to allocate that value among the various classes of securities to arrive at the fair value of the common stock. </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For valuations as of and subsequent to January 31, 2020 and before our direct listing, we used a hybrid method utilizing a combination of the option pricing model and the probability-weighted expected return method, or the PWERM, in estimating the fair value of our common stock. Using the PWERM, the value of our common stock is estimated based upon a probability-weighted analysis of varying values for our common stock assuming possible future events for our company, including a scenario assuming we become a publicly traded company and a scenario assuming we continue as a privately held company.</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 whether the transactions occurred among willing and unrelated parties, and whether the transactions involved investors with access to our financial information.</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For valuations after our direct listing, our board of directors determined the fair value of each share of underlying Class A common stock based on the closing price of our Class A common stock as reported on the date of grant.</w:t>
      </w:r>
    </w:p>
    <w:p>
      <w:pPr>
        <w:pStyle w:val="HorizontalLine"/>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74"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Lease Obligations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determine if an arrangement is a lease at inception by determining if the contract conveys the right to control the issue of an identified asset for a period of time in exchange for consideration and other facts and circumstances. Right-of-use (“ROU”) assets and lease liabilities are recognized at commencement date based on the present value of remaining lease payments over the lease term. For this purpose, we consider only payments that are fixed and determinable at the time of commencement. As our leases do not provide an implicit rate, we use the incremental borrowing rate based on the information available at commencement date in determining the present value of lease payments. The incremental borrowing rate is a hypothetical rate based on our understanding of what its credit rating would be. The ROU assets also include any lease payments made prior to commencement and are recorded net of any lease incentives received. The lease terms may include options to extend or terminate the lease when it is reasonably certain that we will exercise such options. The lease agreements may contain variable costs such as common area maintenance, insurance, real estate taxes or other costs. Variable lease costs are expensed as incurred on the consolidated statements of operations. Our lease agreements generally do not contain any residual value guarantees, restrictions, or covenants.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lease agreements with lease and non-lease components. We have elected to combine lease and non-lease components as a single lease component for all classes of underlying assets. We have also elected to keep leases with an initial term of 12 months or less off the balance sheet and recognize the associated lease payments in the consolidated statements of operations on a straight-line basis over the lease term.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leases are included in operating lease ROU assets, operating lease liabilities, current, and operating lease liabilities, noncurrent on the consolidated balance sheets.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2 to our consolidated financial statements included elsewhere in this Annual Report on Form 10-K for more information regarding recent accounting pronouncements.</w:t>
      </w: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JOBS Act Accounting Election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operations in the United States and internationally, and we are exposed to market risk in the ordinary course of our business.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cash equivalents, and marketable securities primarily consist of cash on hand and highly liquid investments in money market funds and U.S. government securities. As of January 31, 2021 and January 31, 2020, we had cash and cash equivalents of $259.9 million and $306.0 million, respectively, and marketable securities of $145.5 million and $45.3 million, respectively. We do not enter into investments for trading or speculative purposes. Our investments are exposed to market risk due to fluctuations in interest rates, which may affect our interest income and the fair value of our investments. However, due to the short-term nature of our investment portfolio, we do not believe an immediate 10% increase or decrease in interest rates would have a material effect on the fair value of our portfolio. We therefore do not expect our operating results or cash flows to be materially affected by a sudden change in market interest rates. </w:t>
      </w:r>
    </w:p>
    <w:p>
      <w:pPr>
        <w:pStyle w:val="HorizontalLine"/>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75"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180"/>
        <w:jc w:val="both"/>
        <w:rPr/>
      </w:pPr>
      <w:hyperlink w:anchor="ib0d26095cdc74b36b9b41ab79c125c4b_4">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and June 2020, we issued the 2020 Notes for an aggregate principal amount of $450 million to a trust affiliated with our CEO. The 2020 Notes bear interest at a fixed rate of 3.5% per annum that will be compounded annually and payable in-kind. As the 2020 Notes have a fixed annual interest rate, we have no financial exposure associated with changes in interest rates. However, the fair values of the 2020 Notes are subject to interest rate risk, market risk, and other factors, as the fair values of the 2020 Notes will fluctuate when there are changes to the interest rate or the price of our common stock. The interest and common stock value changes affect the fair values of the 2020 Notes, but do not impact our financial position, cash flows, or results of operations due to the fixed nature of the debt obligation.</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Australian Dollar, Japanese Yen, Icelandic Krona, and Singapore Dollar. Additionally, fluctuations in foreign currency exchange rates may cause us to recognize transaction gains and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76"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before="0" w:after="180"/>
        <w:ind w:left="0" w:right="0" w:hanging="90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spacing w:before="0" w:after="180"/>
        <w:ind w:left="0" w:right="0" w:firstLine="36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8325" w:type="dxa"/>
        <w:jc w:val="left"/>
        <w:tblInd w:w="0" w:type="dxa"/>
        <w:tblCellMar>
          <w:top w:w="28" w:type="dxa"/>
          <w:left w:w="28" w:type="dxa"/>
          <w:bottom w:w="28" w:type="dxa"/>
          <w:right w:w="28" w:type="dxa"/>
        </w:tblCellMar>
      </w:tblPr>
      <w:tblGrid>
        <w:gridCol w:w="2828"/>
        <w:gridCol w:w="2486"/>
        <w:gridCol w:w="2500"/>
        <w:gridCol w:w="149"/>
        <w:gridCol w:w="149"/>
        <w:gridCol w:w="213"/>
      </w:tblGrid>
      <w:tr>
        <w:trPr/>
        <w:tc>
          <w:tcPr>
            <w:tcW w:w="2828" w:type="dxa"/>
            <w:tcBorders/>
            <w:shd w:fill="auto" w:val="clear"/>
            <w:vAlign w:val="center"/>
          </w:tcPr>
          <w:p>
            <w:pPr>
              <w:pStyle w:val="TableContents"/>
              <w:spacing w:before="0" w:after="283"/>
              <w:rPr>
                <w:sz w:val="4"/>
                <w:szCs w:val="4"/>
              </w:rPr>
            </w:pPr>
            <w:r>
              <w:rPr>
                <w:sz w:val="4"/>
                <w:szCs w:val="4"/>
              </w:rPr>
            </w:r>
          </w:p>
        </w:tc>
        <w:tc>
          <w:tcPr>
            <w:tcW w:w="2486" w:type="dxa"/>
            <w:tcBorders/>
            <w:shd w:fill="auto" w:val="clear"/>
            <w:vAlign w:val="center"/>
          </w:tcPr>
          <w:p>
            <w:pPr>
              <w:pStyle w:val="TableContents"/>
              <w:spacing w:before="0" w:after="283"/>
              <w:rPr>
                <w:sz w:val="4"/>
                <w:szCs w:val="4"/>
              </w:rPr>
            </w:pPr>
            <w:r>
              <w:rPr>
                <w:sz w:val="4"/>
                <w:szCs w:val="4"/>
              </w:rPr>
            </w:r>
          </w:p>
        </w:tc>
        <w:tc>
          <w:tcPr>
            <w:tcW w:w="250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7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Page</w:t>
            </w:r>
          </w:p>
        </w:tc>
      </w:tr>
      <w:tr>
        <w:trPr/>
        <w:tc>
          <w:tcPr>
            <w:tcW w:w="78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82">
              <w:r>
                <w:rPr>
                  <w:rStyle w:val="InternetLink"/>
                  <w:rFonts w:ascii="Times New Roman;sans-serif" w:hAnsi="Times New Roman;sans-serif"/>
                  <w:b w:val="false"/>
                  <w:color w:val="0000FF"/>
                  <w:sz w:val="20"/>
                  <w:u w:val="single"/>
                </w:rPr>
                <w:t xml:space="preserve">Report of Independent Registered Public Accounting Firm </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0d26095cdc74b36b9b41ab79c125c4b_82">
              <w:r>
                <w:rPr>
                  <w:rStyle w:val="InternetLink"/>
                  <w:rFonts w:ascii="Times New Roman;sans-serif" w:hAnsi="Times New Roman;sans-serif"/>
                  <w:b w:val="false"/>
                  <w:color w:val="0000FF"/>
                  <w:sz w:val="20"/>
                  <w:u w:val="single"/>
                </w:rPr>
                <w:t>75</w:t>
              </w:r>
            </w:hyperlink>
          </w:p>
        </w:tc>
      </w:tr>
      <w:tr>
        <w:trPr/>
        <w:tc>
          <w:tcPr>
            <w:tcW w:w="78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85">
              <w:r>
                <w:rPr>
                  <w:rStyle w:val="InternetLink"/>
                  <w:rFonts w:ascii="Times New Roman;sans-serif" w:hAnsi="Times New Roman;sans-serif"/>
                  <w:b w:val="false"/>
                  <w:color w:val="0000FF"/>
                  <w:sz w:val="20"/>
                  <w:u w:val="single"/>
                </w:rPr>
                <w:t>Consolidated Balance Sheets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0d26095cdc74b36b9b41ab79c125c4b_85">
              <w:r>
                <w:rPr>
                  <w:rStyle w:val="InternetLink"/>
                  <w:rFonts w:ascii="Times New Roman;sans-serif" w:hAnsi="Times New Roman;sans-serif"/>
                  <w:b w:val="false"/>
                  <w:color w:val="0000FF"/>
                  <w:sz w:val="20"/>
                  <w:u w:val="single"/>
                </w:rPr>
                <w:t>76</w:t>
              </w:r>
            </w:hyperlink>
          </w:p>
        </w:tc>
      </w:tr>
      <w:tr>
        <w:trPr/>
        <w:tc>
          <w:tcPr>
            <w:tcW w:w="78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88">
              <w:r>
                <w:rPr>
                  <w:rStyle w:val="InternetLink"/>
                  <w:rFonts w:ascii="Times New Roman;sans-serif" w:hAnsi="Times New Roman;sans-serif"/>
                  <w:b w:val="false"/>
                  <w:color w:val="0000FF"/>
                  <w:sz w:val="20"/>
                  <w:u w:val="single"/>
                </w:rPr>
                <w:t>Consolidated Statements of Operations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0d26095cdc74b36b9b41ab79c125c4b_88">
              <w:r>
                <w:rPr>
                  <w:rStyle w:val="InternetLink"/>
                  <w:rFonts w:ascii="Times New Roman;sans-serif" w:hAnsi="Times New Roman;sans-serif"/>
                  <w:b w:val="false"/>
                  <w:color w:val="0000FF"/>
                  <w:sz w:val="20"/>
                  <w:u w:val="single"/>
                </w:rPr>
                <w:t>77</w:t>
              </w:r>
            </w:hyperlink>
          </w:p>
        </w:tc>
      </w:tr>
      <w:tr>
        <w:trPr/>
        <w:tc>
          <w:tcPr>
            <w:tcW w:w="78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91">
              <w:r>
                <w:rPr>
                  <w:rStyle w:val="InternetLink"/>
                  <w:rFonts w:ascii="Times New Roman;sans-serif" w:hAnsi="Times New Roman;sans-serif"/>
                  <w:b w:val="false"/>
                  <w:color w:val="0000FF"/>
                  <w:sz w:val="20"/>
                  <w:u w:val="single"/>
                </w:rPr>
                <w:t>Consolidated Statements of Comprehensive Loss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0d26095cdc74b36b9b41ab79c125c4b_91">
              <w:r>
                <w:rPr>
                  <w:rStyle w:val="InternetLink"/>
                  <w:rFonts w:ascii="Times New Roman;sans-serif" w:hAnsi="Times New Roman;sans-serif"/>
                  <w:b w:val="false"/>
                  <w:color w:val="0000FF"/>
                  <w:sz w:val="20"/>
                  <w:u w:val="single"/>
                </w:rPr>
                <w:t>78</w:t>
              </w:r>
            </w:hyperlink>
          </w:p>
        </w:tc>
      </w:tr>
      <w:tr>
        <w:trPr/>
        <w:tc>
          <w:tcPr>
            <w:tcW w:w="78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94">
              <w:r>
                <w:rPr>
                  <w:rStyle w:val="InternetLink"/>
                  <w:rFonts w:ascii="Times New Roman;sans-serif" w:hAnsi="Times New Roman;sans-serif"/>
                  <w:b w:val="false"/>
                  <w:color w:val="0000FF"/>
                  <w:sz w:val="20"/>
                  <w:u w:val="single"/>
                </w:rPr>
                <w:t>Consolidated Statements of Redeemable Convertible Preferred Stock and Stockholders’ Deficit</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0d26095cdc74b36b9b41ab79c125c4b_94">
              <w:r>
                <w:rPr>
                  <w:rStyle w:val="InternetLink"/>
                  <w:rFonts w:ascii="Times New Roman;sans-serif" w:hAnsi="Times New Roman;sans-serif"/>
                  <w:b w:val="false"/>
                  <w:color w:val="0000FF"/>
                  <w:sz w:val="20"/>
                  <w:u w:val="single"/>
                </w:rPr>
                <w:t>79</w:t>
              </w:r>
            </w:hyperlink>
          </w:p>
        </w:tc>
      </w:tr>
      <w:tr>
        <w:trPr/>
        <w:tc>
          <w:tcPr>
            <w:tcW w:w="78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97">
              <w:r>
                <w:rPr>
                  <w:rStyle w:val="InternetLink"/>
                  <w:rFonts w:ascii="Times New Roman;sans-serif" w:hAnsi="Times New Roman;sans-serif"/>
                  <w:b w:val="false"/>
                  <w:color w:val="0000FF"/>
                  <w:sz w:val="20"/>
                  <w:u w:val="single"/>
                </w:rPr>
                <w:t>Consolidated Statements of Cash Flows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0d26095cdc74b36b9b41ab79c125c4b_97">
              <w:r>
                <w:rPr>
                  <w:rStyle w:val="InternetLink"/>
                  <w:rFonts w:ascii="Times New Roman;sans-serif" w:hAnsi="Times New Roman;sans-serif"/>
                  <w:b w:val="false"/>
                  <w:color w:val="0000FF"/>
                  <w:sz w:val="20"/>
                  <w:u w:val="single"/>
                </w:rPr>
                <w:t>81</w:t>
              </w:r>
            </w:hyperlink>
          </w:p>
        </w:tc>
      </w:tr>
      <w:tr>
        <w:trPr/>
        <w:tc>
          <w:tcPr>
            <w:tcW w:w="78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d26095cdc74b36b9b41ab79c125c4b_100">
              <w:r>
                <w:rPr>
                  <w:rStyle w:val="InternetLink"/>
                  <w:rFonts w:ascii="Times New Roman;sans-serif" w:hAnsi="Times New Roman;sans-serif"/>
                  <w:b w:val="false"/>
                  <w:color w:val="0000FF"/>
                  <w:sz w:val="20"/>
                  <w:u w:val="single"/>
                </w:rPr>
                <w:t>Notes to Consolidated Financial Statements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0d26095cdc74b36b9b41ab79c125c4b_100">
              <w:r>
                <w:rPr>
                  <w:rStyle w:val="InternetLink"/>
                  <w:rFonts w:ascii="Times New Roman;sans-serif" w:hAnsi="Times New Roman;sans-serif"/>
                  <w:b w:val="false"/>
                  <w:color w:val="0000FF"/>
                  <w:sz w:val="20"/>
                  <w:u w:val="single"/>
                </w:rPr>
                <w:t>83</w:t>
              </w:r>
            </w:hyperlink>
          </w:p>
        </w:tc>
      </w:tr>
    </w:tbl>
    <w:p>
      <w:pPr>
        <w:pStyle w:val="TextBody"/>
        <w:spacing w:before="0" w:after="18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77"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before="0" w:after="180"/>
        <w:ind w:left="0" w:right="0" w:firstLine="360"/>
        <w:jc w:val="both"/>
        <w:rPr/>
      </w:pPr>
      <w:r>
        <w:rPr/>
      </w:r>
    </w:p>
    <w:p>
      <w:pPr>
        <w:pStyle w:val="TextBody"/>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spacing w:lineRule="auto" w:line="288" w:before="0" w:after="180"/>
        <w:rPr/>
      </w:pP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Board of Directors and Stockholders of Asana, Inc.</w:t>
      </w:r>
      <w:r>
        <w:rPr>
          <w:color w:val="000000"/>
        </w:rPr>
        <w:t xml:space="preserve"> </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Opinion on the Financial Statements</w:t>
      </w:r>
    </w:p>
    <w:p>
      <w:pPr>
        <w:pStyle w:val="TextBody"/>
        <w:spacing w:lineRule="auto" w:line="288" w:before="0" w:after="180"/>
        <w:jc w:val="both"/>
        <w:rPr/>
      </w:pPr>
      <w:r>
        <w:rPr>
          <w:rFonts w:ascii="Times New Roman;sans-serif" w:hAnsi="Times New Roman;sans-serif"/>
          <w:b w:val="false"/>
          <w:color w:val="000000"/>
          <w:sz w:val="20"/>
        </w:rPr>
        <w:t>We have audited the accompanying consolidated balance sheets of Asana, Inc. and its subsidiaries (the “Company”) as of January 31, 2021 and 2020, and the related consolidated</w:t>
      </w:r>
      <w:r>
        <w:rPr>
          <w:color w:val="000000"/>
        </w:rPr>
        <w:t xml:space="preserve"> </w:t>
      </w:r>
      <w:r>
        <w:rPr>
          <w:rFonts w:ascii="Times New Roman;sans-serif" w:hAnsi="Times New Roman;sans-serif"/>
          <w:b w:val="false"/>
          <w:color w:val="000000"/>
          <w:sz w:val="20"/>
        </w:rPr>
        <w:t>statements of operations, of comprehensive loss, of redeemable convertible preferred stock and stockholders’ deficit, and of cash flows</w:t>
      </w:r>
      <w:r>
        <w:rPr>
          <w:color w:val="000000"/>
        </w:rPr>
        <w:t xml:space="preserve"> </w:t>
      </w:r>
      <w:r>
        <w:rPr>
          <w:rFonts w:ascii="Times New Roman;sans-serif" w:hAnsi="Times New Roman;sans-serif"/>
          <w:b w:val="false"/>
          <w:color w:val="000000"/>
          <w:sz w:val="20"/>
        </w:rPr>
        <w:t>for each of the three years in the period ended January 31, 2021, including the related notes (collectively referred to as the “consolidated</w:t>
      </w:r>
      <w:r>
        <w:rPr>
          <w:color w:val="000000"/>
        </w:rPr>
        <w:t xml:space="preserve"> </w:t>
      </w:r>
      <w:r>
        <w:rPr>
          <w:rFonts w:ascii="Times New Roman;sans-serif" w:hAnsi="Times New Roman;sans-serif"/>
          <w:b w:val="false"/>
          <w:color w:val="000000"/>
          <w:sz w:val="20"/>
        </w:rPr>
        <w:t>financial statements”). In our opinion, the consolidated financial statements present fairly, in all material respects, the financial position of the Company</w:t>
      </w:r>
      <w:r>
        <w:rPr>
          <w:color w:val="000000"/>
        </w:rPr>
        <w:t xml:space="preserve"> </w:t>
      </w:r>
      <w:r>
        <w:rPr>
          <w:rFonts w:ascii="Times New Roman;sans-serif" w:hAnsi="Times New Roman;sans-serif"/>
          <w:b w:val="false"/>
          <w:color w:val="000000"/>
          <w:sz w:val="20"/>
        </w:rPr>
        <w:t>as of January 31, 2021 and 2020, and the results of its operations and its cash flows for each of the three years in the period ended January 31, 2021</w:t>
      </w:r>
      <w:r>
        <w:rPr>
          <w:color w:val="000000"/>
        </w:rPr>
        <w:t xml:space="preserve"> </w:t>
      </w:r>
      <w:r>
        <w:rPr>
          <w:rFonts w:ascii="Times New Roman;sans-serif" w:hAnsi="Times New Roman;sans-serif"/>
          <w:b w:val="false"/>
          <w:color w:val="000000"/>
          <w:sz w:val="20"/>
        </w:rPr>
        <w:t xml:space="preserve">in conformity with accounting principles generally accepted in the United States of America. </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Accounting Principle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2 to the consolidated financial statements, the Company changed the manner in which it accounts for leases as of February 1, 2019.</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Basis for Opinion</w:t>
      </w:r>
    </w:p>
    <w:p>
      <w:pPr>
        <w:pStyle w:val="TextBody"/>
        <w:spacing w:lineRule="auto" w:line="288" w:before="0" w:after="180"/>
        <w:jc w:val="both"/>
        <w:rPr/>
      </w:pPr>
      <w:r>
        <w:rPr>
          <w:rFonts w:ascii="Times New Roman;sans-serif" w:hAnsi="Times New Roman;sans-serif"/>
          <w:b w:val="false"/>
          <w:color w:val="000000"/>
          <w:sz w:val="20"/>
        </w:rPr>
        <w:t>These consolidated</w:t>
      </w:r>
      <w:r>
        <w:rPr>
          <w:color w:val="000000"/>
        </w:rPr>
        <w:t xml:space="preserve"> </w:t>
      </w:r>
      <w:r>
        <w:rPr>
          <w:rFonts w:ascii="Times New Roman;sans-serif" w:hAnsi="Times New Roman;sans-serif"/>
          <w:b w:val="false"/>
          <w:color w:val="000000"/>
          <w:sz w:val="20"/>
        </w:rPr>
        <w:t xml:space="preserve">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lineRule="auto" w:line="288" w:before="0" w:after="180"/>
        <w:jc w:val="both"/>
        <w:rPr/>
      </w:pPr>
      <w:r>
        <w:rPr>
          <w:rFonts w:ascii="Times New Roman;sans-serif" w:hAnsi="Times New Roman;sans-serif"/>
          <w:b w:val="false"/>
          <w:color w:val="000000"/>
          <w:sz w:val="20"/>
        </w:rPr>
        <w:t>We conducted our audits of these consolidated</w:t>
      </w:r>
      <w:r>
        <w:rPr>
          <w:color w:val="000000"/>
        </w:rPr>
        <w:t xml:space="preserve"> </w:t>
      </w:r>
      <w:r>
        <w:rPr>
          <w:rFonts w:ascii="Times New Roman;sans-serif" w:hAnsi="Times New Roman;sans-serif"/>
          <w:b w:val="false"/>
          <w:color w:val="000000"/>
          <w:sz w:val="20"/>
        </w:rPr>
        <w:t xml:space="preserve">financial statements in accordance with the standards of the PCAOB. Those standards require that we plan and perform the audit to obtain reasonable assurance about whether the consolidated financial statements are free of material misstatement, whether due to error or fraud. </w:t>
      </w:r>
    </w:p>
    <w:p>
      <w:pPr>
        <w:pStyle w:val="TextBody"/>
        <w:spacing w:lineRule="auto" w:line="288" w:before="0" w:after="180"/>
        <w:jc w:val="both"/>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w:t>
      </w:r>
      <w:r>
        <w:rPr>
          <w:color w:val="000000"/>
        </w:rPr>
        <w:t xml:space="preserve"> </w:t>
      </w:r>
      <w:r>
        <w:rPr>
          <w:rFonts w:ascii="Times New Roman;sans-serif" w:hAnsi="Times New Roman;sans-serif"/>
          <w:b w:val="false"/>
          <w:color w:val="000000"/>
          <w:sz w:val="20"/>
        </w:rPr>
        <w:t>financial statements. We believe that our audits provide a reasonable basis for our opinion.</w:t>
      </w:r>
    </w:p>
    <w:p>
      <w:pPr>
        <w:pStyle w:val="TextBody"/>
        <w:spacing w:before="0" w:after="180"/>
        <w:rPr/>
      </w:pPr>
      <w:r>
        <w:rPr/>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/s/ PricewaterhouseCoopers LLP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San Francisco, California</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March 30, 2021</w:t>
      </w:r>
    </w:p>
    <w:p>
      <w:pPr>
        <w:pStyle w:val="TextBody"/>
        <w:spacing w:before="0" w:after="180"/>
        <w:rPr/>
      </w:pPr>
      <w:r>
        <w:rPr/>
      </w:r>
    </w:p>
    <w:p>
      <w:pPr>
        <w:pStyle w:val="TextBody"/>
        <w:spacing w:lineRule="auto" w:line="288" w:before="0" w:after="180"/>
        <w:rPr/>
      </w:pPr>
      <w:r>
        <w:rPr>
          <w:rFonts w:ascii="Times New Roman;sans-serif" w:hAnsi="Times New Roman;sans-serif"/>
          <w:b w:val="false"/>
          <w:color w:val="000000"/>
          <w:sz w:val="20"/>
        </w:rPr>
        <w:t>We have served as the Company's auditor since 2011</w:t>
      </w:r>
      <w:r>
        <w:rPr>
          <w:rFonts w:ascii="Times New Roman;sans-serif" w:hAnsi="Times New Roman;sans-serif"/>
          <w:b/>
          <w:color w:val="000000"/>
          <w:sz w:val="20"/>
        </w:rPr>
        <w:t>.</w:t>
      </w:r>
    </w:p>
    <w:p>
      <w:pPr>
        <w:pStyle w:val="TextBody"/>
        <w:spacing w:before="0" w:after="18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78"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bl>
      <w:tblPr>
        <w:tblW w:w="10205" w:type="dxa"/>
        <w:jc w:val="center"/>
        <w:tblInd w:w="0" w:type="dxa"/>
        <w:tblCellMar>
          <w:top w:w="28" w:type="dxa"/>
          <w:left w:w="28" w:type="dxa"/>
          <w:bottom w:w="28" w:type="dxa"/>
          <w:right w:w="28" w:type="dxa"/>
        </w:tblCellMar>
      </w:tblPr>
      <w:tblGrid>
        <w:gridCol w:w="2835"/>
        <w:gridCol w:w="2304"/>
        <w:gridCol w:w="2220"/>
        <w:gridCol w:w="216"/>
        <w:gridCol w:w="848"/>
        <w:gridCol w:w="111"/>
        <w:gridCol w:w="111"/>
        <w:gridCol w:w="111"/>
        <w:gridCol w:w="111"/>
        <w:gridCol w:w="216"/>
        <w:gridCol w:w="848"/>
        <w:gridCol w:w="111"/>
        <w:gridCol w:w="163"/>
      </w:tblGrid>
      <w:tr>
        <w:trPr/>
        <w:tc>
          <w:tcPr>
            <w:tcW w:w="2835" w:type="dxa"/>
            <w:tcBorders/>
            <w:shd w:fill="auto" w:val="clear"/>
            <w:vAlign w:val="center"/>
          </w:tcPr>
          <w:p>
            <w:pPr>
              <w:pStyle w:val="TableContents"/>
              <w:spacing w:before="0" w:after="283"/>
              <w:rPr>
                <w:sz w:val="4"/>
                <w:szCs w:val="4"/>
              </w:rPr>
            </w:pPr>
            <w:r>
              <w:rPr>
                <w:sz w:val="4"/>
                <w:szCs w:val="4"/>
              </w:rPr>
            </w:r>
          </w:p>
        </w:tc>
        <w:tc>
          <w:tcPr>
            <w:tcW w:w="2304" w:type="dxa"/>
            <w:tcBorders/>
            <w:shd w:fill="auto" w:val="clear"/>
            <w:vAlign w:val="center"/>
          </w:tcPr>
          <w:p>
            <w:pPr>
              <w:pStyle w:val="TableContents"/>
              <w:spacing w:before="0" w:after="283"/>
              <w:rPr>
                <w:sz w:val="4"/>
                <w:szCs w:val="4"/>
              </w:rPr>
            </w:pPr>
            <w:r>
              <w:rPr>
                <w:sz w:val="4"/>
                <w:szCs w:val="4"/>
              </w:rPr>
            </w:r>
          </w:p>
        </w:tc>
        <w:tc>
          <w:tcPr>
            <w:tcW w:w="222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3"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259,878 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306,020 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126,396 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w:t>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32,194 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12,659 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445,763 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380,634 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74,436 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182,924 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noncurrent</w:t>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19,125 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731,119 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421,692 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0042"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Convertible Preferred Stock, and Stockholders’ Deficit</w:t>
            </w:r>
          </w:p>
        </w:tc>
        <w:tc>
          <w:tcPr>
            <w:tcW w:w="163" w:type="dxa"/>
            <w:tcBorders/>
            <w:shd w:fill="auto" w:val="clear"/>
          </w:tcPr>
          <w:p>
            <w:pPr>
              <w:pStyle w:val="TableContents"/>
              <w:spacing w:before="0" w:after="283"/>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41,616 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103,875 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8,386 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11,613 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163,476 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100,128 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net</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net—related party</w:t>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351,161 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203,097 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196,802 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10,472 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743,908 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316,426 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8)</w:t>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 $0.00001 par value; 0 and 151,101 shares authorized as of January 31, 2021 and January 31, 2020, respectively; 0 and 73,577 shares issued and outstanding as of January 31, 2021 and January 31, 2020, respectively; liquidation preference of $250,999 as of January 31, 2020</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250,581 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 equity</w:t>
            </w:r>
          </w:p>
        </w:tc>
        <w:tc>
          <w:tcPr>
            <w:tcW w:w="11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$0.00001 par value; 1,500,000 and 540,000 shares authorized as of January 31, 2021 and January 31, 2020, respectively; 161,480 and 76,688 shares issued and outstanding as of January 31, 2021 and January 31, 2020, respectively;</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528,616 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184,522 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Accumulated deficit </w:t>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(541,446)</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(329,736)</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(12,789)</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(145,315)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redeemable convertible preferred stock, and stockholders’ deficit</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731,119 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421,692 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79"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spacing w:before="0" w:after="0"/>
        <w:jc w:val="center"/>
        <w:rPr/>
      </w:pPr>
      <w:r>
        <w:rPr/>
      </w:r>
    </w:p>
    <w:tbl>
      <w:tblPr>
        <w:tblW w:w="9803" w:type="dxa"/>
        <w:jc w:val="left"/>
        <w:tblInd w:w="0" w:type="dxa"/>
        <w:tblCellMar>
          <w:top w:w="28" w:type="dxa"/>
          <w:left w:w="28" w:type="dxa"/>
          <w:bottom w:w="28" w:type="dxa"/>
          <w:right w:w="28" w:type="dxa"/>
        </w:tblCellMar>
      </w:tblPr>
      <w:tblGrid>
        <w:gridCol w:w="1893"/>
        <w:gridCol w:w="1657"/>
        <w:gridCol w:w="1669"/>
        <w:gridCol w:w="211"/>
        <w:gridCol w:w="901"/>
        <w:gridCol w:w="109"/>
        <w:gridCol w:w="109"/>
        <w:gridCol w:w="109"/>
        <w:gridCol w:w="109"/>
        <w:gridCol w:w="211"/>
        <w:gridCol w:w="901"/>
        <w:gridCol w:w="109"/>
        <w:gridCol w:w="109"/>
        <w:gridCol w:w="109"/>
        <w:gridCol w:w="109"/>
        <w:gridCol w:w="211"/>
        <w:gridCol w:w="796"/>
        <w:gridCol w:w="109"/>
        <w:gridCol w:w="109"/>
        <w:gridCol w:w="109"/>
        <w:gridCol w:w="154"/>
      </w:tblGrid>
      <w:tr>
        <w:trPr/>
        <w:tc>
          <w:tcPr>
            <w:tcW w:w="1893" w:type="dxa"/>
            <w:tcBorders/>
            <w:shd w:fill="auto" w:val="clear"/>
            <w:vAlign w:val="center"/>
          </w:tcPr>
          <w:p>
            <w:pPr>
              <w:pStyle w:val="TableContents"/>
              <w:spacing w:before="0" w:after="283"/>
              <w:rPr>
                <w:sz w:val="4"/>
                <w:szCs w:val="4"/>
              </w:rPr>
            </w:pPr>
            <w:r>
              <w:rPr>
                <w:sz w:val="4"/>
                <w:szCs w:val="4"/>
              </w:rPr>
            </w:r>
          </w:p>
        </w:tc>
        <w:tc>
          <w:tcPr>
            <w:tcW w:w="1657" w:type="dxa"/>
            <w:tcBorders/>
            <w:shd w:fill="auto" w:val="clear"/>
            <w:vAlign w:val="center"/>
          </w:tcPr>
          <w:p>
            <w:pPr>
              <w:pStyle w:val="TableContents"/>
              <w:spacing w:before="0" w:after="283"/>
              <w:rPr>
                <w:sz w:val="4"/>
                <w:szCs w:val="4"/>
              </w:rPr>
            </w:pPr>
            <w:r>
              <w:rPr>
                <w:sz w:val="4"/>
                <w:szCs w:val="4"/>
              </w:rPr>
            </w:r>
          </w:p>
        </w:tc>
        <w:tc>
          <w:tcPr>
            <w:tcW w:w="16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revenues </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(expense), net</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w:t>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calculating net loss per share:</w:t>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12"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106,344 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70,335 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65,214</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80"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before="0" w:after="0"/>
        <w:jc w:val="center"/>
        <w:rPr/>
      </w:pPr>
      <w:r>
        <w:rPr/>
      </w:r>
    </w:p>
    <w:tbl>
      <w:tblPr>
        <w:tblW w:w="8697" w:type="dxa"/>
        <w:jc w:val="left"/>
        <w:tblInd w:w="0" w:type="dxa"/>
        <w:tblCellMar>
          <w:top w:w="28" w:type="dxa"/>
          <w:left w:w="28" w:type="dxa"/>
          <w:bottom w:w="28" w:type="dxa"/>
          <w:right w:w="28" w:type="dxa"/>
        </w:tblCellMar>
      </w:tblPr>
      <w:tblGrid>
        <w:gridCol w:w="1608"/>
        <w:gridCol w:w="1403"/>
        <w:gridCol w:w="1429"/>
        <w:gridCol w:w="211"/>
        <w:gridCol w:w="901"/>
        <w:gridCol w:w="109"/>
        <w:gridCol w:w="109"/>
        <w:gridCol w:w="109"/>
        <w:gridCol w:w="109"/>
        <w:gridCol w:w="211"/>
        <w:gridCol w:w="901"/>
        <w:gridCol w:w="109"/>
        <w:gridCol w:w="109"/>
        <w:gridCol w:w="109"/>
        <w:gridCol w:w="109"/>
        <w:gridCol w:w="211"/>
        <w:gridCol w:w="796"/>
        <w:gridCol w:w="154"/>
      </w:tblGrid>
      <w:tr>
        <w:trPr/>
        <w:tc>
          <w:tcPr>
            <w:tcW w:w="1608"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4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 (losses) on marketable securities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81"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REDEEMABLE CONVERTIBLE PREFERRED STOCK AND STOCKHOLDERS’ DEFICIT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1578" w:type="dxa"/>
        <w:jc w:val="center"/>
        <w:tblInd w:w="0" w:type="dxa"/>
        <w:tblCellMar>
          <w:top w:w="28" w:type="dxa"/>
          <w:left w:w="28" w:type="dxa"/>
          <w:bottom w:w="28" w:type="dxa"/>
          <w:right w:w="28" w:type="dxa"/>
        </w:tblCellMar>
      </w:tblPr>
      <w:tblGrid>
        <w:gridCol w:w="559"/>
        <w:gridCol w:w="268"/>
        <w:gridCol w:w="269"/>
        <w:gridCol w:w="323"/>
        <w:gridCol w:w="323"/>
        <w:gridCol w:w="192"/>
        <w:gridCol w:w="109"/>
        <w:gridCol w:w="109"/>
        <w:gridCol w:w="109"/>
        <w:gridCol w:w="196"/>
        <w:gridCol w:w="736"/>
        <w:gridCol w:w="109"/>
        <w:gridCol w:w="109"/>
        <w:gridCol w:w="109"/>
        <w:gridCol w:w="109"/>
        <w:gridCol w:w="109"/>
        <w:gridCol w:w="109"/>
        <w:gridCol w:w="109"/>
        <w:gridCol w:w="323"/>
        <w:gridCol w:w="323"/>
        <w:gridCol w:w="196"/>
        <w:gridCol w:w="109"/>
        <w:gridCol w:w="109"/>
        <w:gridCol w:w="109"/>
        <w:gridCol w:w="248"/>
        <w:gridCol w:w="305"/>
        <w:gridCol w:w="138"/>
        <w:gridCol w:w="109"/>
        <w:gridCol w:w="109"/>
        <w:gridCol w:w="109"/>
        <w:gridCol w:w="196"/>
        <w:gridCol w:w="736"/>
        <w:gridCol w:w="109"/>
        <w:gridCol w:w="109"/>
        <w:gridCol w:w="109"/>
        <w:gridCol w:w="109"/>
        <w:gridCol w:w="366"/>
        <w:gridCol w:w="646"/>
        <w:gridCol w:w="204"/>
        <w:gridCol w:w="109"/>
        <w:gridCol w:w="109"/>
        <w:gridCol w:w="109"/>
        <w:gridCol w:w="196"/>
        <w:gridCol w:w="751"/>
        <w:gridCol w:w="109"/>
        <w:gridCol w:w="109"/>
        <w:gridCol w:w="109"/>
        <w:gridCol w:w="109"/>
        <w:gridCol w:w="196"/>
        <w:gridCol w:w="791"/>
        <w:gridCol w:w="154"/>
      </w:tblGrid>
      <w:tr>
        <w:trPr/>
        <w:tc>
          <w:tcPr>
            <w:tcW w:w="55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6"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Redeemable Convertible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60"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Additional</w:t>
              <w:br/>
              <w:t>Paid-In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br/>
              <w:t xml:space="preserve">Other </w:t>
              <w:br/>
              <w:t>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br/>
              <w:t>Stockholders’ Deficit</w:t>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February 1, 2018</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67,317 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63,660 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(142,202)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Series E redeemable convertible preferred stock, net of issuance costs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6,230 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exercise of options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stock options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gain on marketable securities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(50,928)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January 31, 2019</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73,547 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68,256 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(211,147)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exercise of options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redeemable convertible preferred stock upon net exercise of warrants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stock options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gain on marketable securities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Deemed capital contribution on issuance of convertible note—related party</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(118,589)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January 31, 2020</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73,577 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76,688 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(329,736)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2851" w:type="dxa"/>
            <w:gridSpan w:val="12"/>
            <w:tcBorders/>
            <w:shd w:fill="auto" w:val="clea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2851" w:type="dxa"/>
            <w:gridSpan w:val="12"/>
            <w:tcBorders/>
            <w:shd w:fill="auto" w:val="clea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pStyle w:val="TextBody"/>
        <w:spacing w:lineRule="auto" w:line="288" w:before="0" w:after="180"/>
        <w:ind w:left="0" w:right="0" w:firstLine="36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HorizontalLine"/>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82"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180" w:after="283"/>
        <w:ind w:left="0" w:right="0" w:hanging="1440"/>
        <w:jc w:val="center"/>
        <w:rPr>
          <w:rFonts w:ascii="Times New Roman;sans-serif" w:hAnsi="Times New Roman;sans-serif"/>
          <w:b/>
          <w:color w:val="000000"/>
          <w:sz w:val="20"/>
        </w:rPr>
      </w:pPr>
      <w:r>
        <w:rPr>
          <w:rFonts w:ascii="Times New Roman;sans-serif" w:hAnsi="Times New Roman;sans-serif"/>
          <w:b/>
          <w:color w:val="000000"/>
          <w:sz w:val="20"/>
        </w:rPr>
        <w:t>CONSOLIDATED STATEMENTS OF REDEEMABLE CONVERTIBLE PREFERRED STOCK AND STOCKHOLDERS’ DEFICIT-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2056" w:type="dxa"/>
        <w:jc w:val="left"/>
        <w:tblInd w:w="0" w:type="dxa"/>
        <w:tblCellMar>
          <w:top w:w="28" w:type="dxa"/>
          <w:left w:w="28" w:type="dxa"/>
          <w:bottom w:w="28" w:type="dxa"/>
          <w:right w:w="28" w:type="dxa"/>
        </w:tblCellMar>
      </w:tblPr>
      <w:tblGrid>
        <w:gridCol w:w="753"/>
        <w:gridCol w:w="253"/>
        <w:gridCol w:w="255"/>
        <w:gridCol w:w="330"/>
        <w:gridCol w:w="331"/>
        <w:gridCol w:w="192"/>
        <w:gridCol w:w="203"/>
        <w:gridCol w:w="203"/>
        <w:gridCol w:w="109"/>
        <w:gridCol w:w="196"/>
        <w:gridCol w:w="736"/>
        <w:gridCol w:w="109"/>
        <w:gridCol w:w="109"/>
        <w:gridCol w:w="109"/>
        <w:gridCol w:w="109"/>
        <w:gridCol w:w="109"/>
        <w:gridCol w:w="109"/>
        <w:gridCol w:w="109"/>
        <w:gridCol w:w="368"/>
        <w:gridCol w:w="368"/>
        <w:gridCol w:w="196"/>
        <w:gridCol w:w="109"/>
        <w:gridCol w:w="109"/>
        <w:gridCol w:w="109"/>
        <w:gridCol w:w="196"/>
        <w:gridCol w:w="406"/>
        <w:gridCol w:w="109"/>
        <w:gridCol w:w="109"/>
        <w:gridCol w:w="109"/>
        <w:gridCol w:w="109"/>
        <w:gridCol w:w="196"/>
        <w:gridCol w:w="736"/>
        <w:gridCol w:w="109"/>
        <w:gridCol w:w="109"/>
        <w:gridCol w:w="109"/>
        <w:gridCol w:w="109"/>
        <w:gridCol w:w="374"/>
        <w:gridCol w:w="632"/>
        <w:gridCol w:w="210"/>
        <w:gridCol w:w="109"/>
        <w:gridCol w:w="109"/>
        <w:gridCol w:w="109"/>
        <w:gridCol w:w="196"/>
        <w:gridCol w:w="751"/>
        <w:gridCol w:w="109"/>
        <w:gridCol w:w="109"/>
        <w:gridCol w:w="109"/>
        <w:gridCol w:w="109"/>
        <w:gridCol w:w="221"/>
        <w:gridCol w:w="745"/>
        <w:gridCol w:w="175"/>
      </w:tblGrid>
      <w:tr>
        <w:trPr/>
        <w:tc>
          <w:tcPr>
            <w:tcW w:w="75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970"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 xml:space="preserve">Other </w:t>
              <w:br/>
              <w:t>Comprehensive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Deficit</w:t>
            </w:r>
          </w:p>
        </w:tc>
      </w:tr>
      <w:tr>
        <w:trPr/>
        <w:tc>
          <w:tcPr>
            <w:tcW w:w="12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January 31, 2020</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73,577 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76,688 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(329,736)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(145,315)</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the exercise of options</w:t>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18,057 </w:t>
            </w:r>
          </w:p>
        </w:tc>
        <w:tc>
          <w:tcPr>
            <w:tcW w:w="175"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early exercised stock options</w:t>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3,443 </w:t>
            </w:r>
          </w:p>
        </w:tc>
        <w:tc>
          <w:tcPr>
            <w:tcW w:w="175"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the vesting and settlement of restricted stock units, net of shares withheld for taxes</w:t>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853" w:type="dxa"/>
            <w:gridSpan w:val="3"/>
            <w:tcBorders/>
            <w:shd w:fill="auto" w:val="clear"/>
            <w:vAlign w:val="center"/>
          </w:tcPr>
          <w:p>
            <w:pPr>
              <w:pStyle w:val="TableContents"/>
              <w:spacing w:before="0" w:after="283"/>
              <w:rPr>
                <w:sz w:val="4"/>
                <w:szCs w:val="4"/>
              </w:rPr>
            </w:pPr>
            <w:r>
              <w:rPr>
                <w:sz w:val="4"/>
                <w:szCs w:val="4"/>
              </w:rPr>
            </w:r>
          </w:p>
        </w:tc>
        <w:tc>
          <w:tcPr>
            <w:tcW w:w="51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ind w:left="0" w:right="0" w:hanging="90"/>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redeemable convertible preferred stock to common stock in connection with direct listing</w:t>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(73,577)</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(250,581)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73,577 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250,580 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250,581 </w:t>
            </w:r>
          </w:p>
        </w:tc>
        <w:tc>
          <w:tcPr>
            <w:tcW w:w="175"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34,419 </w:t>
            </w:r>
          </w:p>
        </w:tc>
        <w:tc>
          <w:tcPr>
            <w:tcW w:w="175"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marketable securities</w:t>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75"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75"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capital contribution on issuance of convertible note—related party</w:t>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37,973 </w:t>
            </w:r>
          </w:p>
        </w:tc>
        <w:tc>
          <w:tcPr>
            <w:tcW w:w="175"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(211,710)</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January 31, 2021</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161,480 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(541,446)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(12,789)</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83"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152"/>
        <w:gridCol w:w="1832"/>
        <w:gridCol w:w="1846"/>
        <w:gridCol w:w="211"/>
        <w:gridCol w:w="887"/>
        <w:gridCol w:w="109"/>
        <w:gridCol w:w="109"/>
        <w:gridCol w:w="109"/>
        <w:gridCol w:w="109"/>
        <w:gridCol w:w="211"/>
        <w:gridCol w:w="887"/>
        <w:gridCol w:w="109"/>
        <w:gridCol w:w="109"/>
        <w:gridCol w:w="109"/>
        <w:gridCol w:w="109"/>
        <w:gridCol w:w="211"/>
        <w:gridCol w:w="782"/>
        <w:gridCol w:w="314"/>
      </w:tblGrid>
      <w:tr>
        <w:trPr/>
        <w:tc>
          <w:tcPr>
            <w:tcW w:w="2152" w:type="dxa"/>
            <w:tcBorders/>
            <w:shd w:fill="auto" w:val="clear"/>
            <w:vAlign w:val="center"/>
          </w:tcPr>
          <w:p>
            <w:pPr>
              <w:pStyle w:val="TableContents"/>
              <w:spacing w:before="0" w:after="283"/>
              <w:rPr>
                <w:sz w:val="4"/>
                <w:szCs w:val="4"/>
              </w:rPr>
            </w:pPr>
            <w:r>
              <w:rPr>
                <w:sz w:val="4"/>
                <w:szCs w:val="4"/>
              </w:rPr>
            </w:r>
          </w:p>
        </w:tc>
        <w:tc>
          <w:tcPr>
            <w:tcW w:w="1832"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r>
      <w:tr>
        <w:trPr/>
        <w:tc>
          <w:tcPr>
            <w:tcW w:w="5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5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830"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(50,928)</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2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property and equipment</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contract acquisition costs</w:t>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accretion of discount of marketable securities</w:t>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value of redeemable convertible preferred stock warrant liability </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discount on convertible notes and term loan issuance costs</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15,089 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(30,180)</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(103,205)</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marketable securities</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marketable securities</w:t>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61,950 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w:t>
            </w:r>
          </w:p>
        </w:tc>
        <w:tc>
          <w:tcPr>
            <w:tcW w:w="314" w:type="dxa"/>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property and equipment</w:t>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internal-use software </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(44,662)</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redeemable convertible preferred stock, net of issuance costs</w:t>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51,006 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term loan, net of issuance costs</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convertible notes — related party</w:t>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4,301 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168" w:type="dxa"/>
            <w:gridSpan w:val="12"/>
            <w:tcBorders/>
            <w:shd w:fill="auto" w:val="clear"/>
          </w:tcPr>
          <w:p>
            <w:pPr>
              <w:pStyle w:val="TableContents"/>
              <w:spacing w:before="0" w:after="283"/>
              <w:rPr>
                <w:sz w:val="4"/>
                <w:szCs w:val="4"/>
              </w:rPr>
            </w:pPr>
            <w:r>
              <w:rPr>
                <w:sz w:val="4"/>
                <w:szCs w:val="4"/>
              </w:rPr>
            </w:r>
          </w:p>
        </w:tc>
      </w:tr>
      <w:tr>
        <w:trPr/>
        <w:tc>
          <w:tcPr>
            <w:tcW w:w="5830"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55,293 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rates on cash and cash equivalents and restricted cash</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09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(50,799)</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284,097 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(19,545)</w:t>
            </w:r>
          </w:p>
        </w:tc>
        <w:tc>
          <w:tcPr>
            <w:tcW w:w="3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r>
      <w:tr>
        <w:trPr/>
        <w:tc>
          <w:tcPr>
            <w:tcW w:w="5830"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r>
      <w:tr>
        <w:trPr/>
        <w:tc>
          <w:tcPr>
            <w:tcW w:w="5830"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r>
      <w:tr>
        <w:trPr/>
        <w:tc>
          <w:tcPr>
            <w:tcW w:w="5830" w:type="dxa"/>
            <w:gridSpan w:val="3"/>
            <w:tcBorders/>
            <w:shd w:fill="auto" w:val="clear"/>
            <w:vAlign w:val="center"/>
          </w:tcPr>
          <w:p>
            <w:pPr>
              <w:pStyle w:val="TableContents"/>
              <w:spacing w:before="0" w:after="283"/>
              <w:rPr>
                <w:sz w:val="4"/>
                <w:szCs w:val="4"/>
              </w:rPr>
            </w:pPr>
            <w:r>
              <w:rPr>
                <w:sz w:val="4"/>
                <w:szCs w:val="4"/>
              </w:rPr>
            </w:r>
          </w:p>
        </w:tc>
        <w:tc>
          <w:tcPr>
            <w:tcW w:w="4375" w:type="dxa"/>
            <w:gridSpan w:val="15"/>
            <w:tcBorders/>
            <w:shd w:fill="auto" w:val="clear"/>
          </w:tcPr>
          <w:p>
            <w:pPr>
              <w:pStyle w:val="TableContents"/>
              <w:spacing w:before="0" w:after="283"/>
              <w:rPr>
                <w:sz w:val="4"/>
                <w:szCs w:val="4"/>
              </w:rPr>
            </w:pPr>
            <w:r>
              <w:rPr>
                <w:sz w:val="4"/>
                <w:szCs w:val="4"/>
              </w:rPr>
            </w:r>
          </w:p>
        </w:tc>
      </w:tr>
      <w:tr>
        <w:trPr/>
        <w:tc>
          <w:tcPr>
            <w:tcW w:w="5830"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r>
      <w:tr>
        <w:trPr/>
        <w:tc>
          <w:tcPr>
            <w:tcW w:w="5830"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r>
      <w:tr>
        <w:trPr/>
        <w:tc>
          <w:tcPr>
            <w:tcW w:w="5830"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r>
      <w:tr>
        <w:trPr/>
        <w:tc>
          <w:tcPr>
            <w:tcW w:w="5830"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r>
      <w:tr>
        <w:trPr/>
        <w:tc>
          <w:tcPr>
            <w:tcW w:w="5830"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r>
      <w:tr>
        <w:trPr/>
        <w:tc>
          <w:tcPr>
            <w:tcW w:w="5830"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r>
      <w:tr>
        <w:trPr/>
        <w:tc>
          <w:tcPr>
            <w:tcW w:w="5830"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r>
      <w:tr>
        <w:trPr/>
        <w:tc>
          <w:tcPr>
            <w:tcW w:w="5830"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HorizontalLine"/>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84"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CellMar>
          <w:top w:w="28" w:type="dxa"/>
          <w:left w:w="28" w:type="dxa"/>
          <w:bottom w:w="28" w:type="dxa"/>
          <w:right w:w="28" w:type="dxa"/>
        </w:tblCellMar>
      </w:tblPr>
      <w:tblGrid>
        <w:gridCol w:w="2261"/>
        <w:gridCol w:w="1912"/>
        <w:gridCol w:w="1925"/>
        <w:gridCol w:w="214"/>
        <w:gridCol w:w="841"/>
        <w:gridCol w:w="110"/>
        <w:gridCol w:w="110"/>
        <w:gridCol w:w="110"/>
        <w:gridCol w:w="110"/>
        <w:gridCol w:w="214"/>
        <w:gridCol w:w="841"/>
        <w:gridCol w:w="110"/>
        <w:gridCol w:w="110"/>
        <w:gridCol w:w="110"/>
        <w:gridCol w:w="110"/>
        <w:gridCol w:w="214"/>
        <w:gridCol w:w="734"/>
        <w:gridCol w:w="169"/>
      </w:tblGrid>
      <w:tr>
        <w:trPr/>
        <w:tc>
          <w:tcPr>
            <w:tcW w:w="2261"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6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6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310,677 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26,580 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46,125 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259,878 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310,677 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26,580 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cash, cash equivalents, and restricted cash to the consolidated balance sheets</w:t>
            </w:r>
          </w:p>
        </w:tc>
      </w:tr>
      <w:tr>
        <w:trPr/>
        <w:tc>
          <w:tcPr>
            <w:tcW w:w="6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w:t>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259,878 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306,020 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23,778 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cash, cash equivalents, and restricted cash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259,878 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310,677 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data</w:t>
            </w:r>
          </w:p>
        </w:tc>
        <w:tc>
          <w:tcPr>
            <w:tcW w:w="11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 in accounts payable and accrued liabilities</w:t>
            </w:r>
          </w:p>
        </w:tc>
        <w:tc>
          <w:tcPr>
            <w:tcW w:w="2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early exercised stock options</w:t>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redeemable convertible preferred stock warrant liability to redeemable convertible preferred stock as a result of warrant exercise</w:t>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85"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ind w:left="0" w:right="0" w:hanging="900"/>
        <w:rPr>
          <w:rFonts w:ascii="Times New Roman;sans-serif" w:hAnsi="Times New Roman;sans-serif"/>
          <w:b/>
          <w:color w:val="000000"/>
          <w:sz w:val="20"/>
        </w:rPr>
      </w:pPr>
      <w:r>
        <w:rPr>
          <w:rFonts w:ascii="Times New Roman;sans-serif" w:hAnsi="Times New Roman;sans-serif"/>
          <w:b/>
          <w:color w:val="000000"/>
          <w:sz w:val="20"/>
        </w:rPr>
        <w:t xml:space="preserve">Note 1.    Organization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Organization and Description of Business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Asana, Inc. (“Asana” or the “Company”) was incorporated in the state of Delaware on December 16, 2008. Asana is a work management platform that helps teams orchestrate work, from daily tasks to cross-functional strategic initiatives. The Company is headquartered in San Francisco, California.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ind w:left="0" w:right="0" w:hanging="900"/>
        <w:rPr>
          <w:rFonts w:ascii="Times New Roman;sans-serif" w:hAnsi="Times New Roman;sans-serif"/>
          <w:b/>
          <w:color w:val="000000"/>
          <w:sz w:val="20"/>
        </w:rPr>
      </w:pPr>
      <w:r>
        <w:rPr>
          <w:rFonts w:ascii="Times New Roman;sans-serif" w:hAnsi="Times New Roman;sans-serif"/>
          <w:b/>
          <w:color w:val="000000"/>
          <w:sz w:val="20"/>
        </w:rPr>
        <w:t>Note 2.    Basis of Presentation and Summary of Significant Accounting Policies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in conformity with generally accepted accounting principles in the United States of America (“U.S. GAAP”) and include the accounts of the Company’s wholly-owned subsidiaries. All intercompany transactions and balances have been eliminated on consolidation.</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Fiscal Year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fiscal year ends on January 31. For example, references to fiscal 2021, 2020 and 2019 refer to the fiscal year ended January 31, 2021, January 31, 2020 and January 31, 2019, respectively.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Reclassification of Class A and Class B Common Stock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23, 2020, the Company amended and restated its certificate of incorporation to effect a reclassification of the Company’s Class A common stock to Class B common stock, and vice versa. There were no changes to the rights, preferences, and privileges of each class of common stock at this time. All references to Class A common stock have been recast to Class B common stock, and all references to Class B common stock have been recast to Class A common stock, in these consolidated financial statements to give retrospective effect to the reclassification for all periods presented.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Direct Listing</w:t>
      </w:r>
    </w:p>
    <w:p>
      <w:pPr>
        <w:pStyle w:val="TextBody"/>
        <w:spacing w:lineRule="auto" w:line="288" w:before="0" w:after="180"/>
        <w:ind w:left="0" w:right="0" w:firstLine="360"/>
        <w:jc w:val="both"/>
        <w:rPr/>
      </w:pPr>
      <w:r>
        <w:rPr>
          <w:rFonts w:ascii="Times New Roman;sans-serif" w:hAnsi="Times New Roman;sans-serif"/>
          <w:b w:val="false"/>
          <w:color w:val="000000"/>
          <w:sz w:val="20"/>
        </w:rPr>
        <w:t>On September 30, 2020, the Company completed a direct listing of its Class A common stock (the “Direct Listing”) on the NYSE. The Company incurred fees related to financial advisory service, audit, and legal expenses in connection with the Direct Listing and recorded general and administrative expenses of</w:t>
      </w:r>
      <w:r>
        <w:rPr>
          <w:color w:val="000000"/>
          <w:highlight w:val="white"/>
        </w:rPr>
        <w:t xml:space="preserve"> </w:t>
      </w:r>
      <w:r>
        <w:rPr>
          <w:rFonts w:ascii="Times New Roman;sans-serif" w:hAnsi="Times New Roman;sans-serif"/>
          <w:b w:val="false"/>
          <w:color w:val="000000"/>
          <w:sz w:val="20"/>
          <w:highlight w:val="white"/>
        </w:rPr>
        <w:t xml:space="preserve">$18.0 million </w:t>
      </w:r>
      <w:r>
        <w:rPr>
          <w:rFonts w:ascii="Times New Roman;sans-serif" w:hAnsi="Times New Roman;sans-serif"/>
          <w:b w:val="false"/>
          <w:color w:val="000000"/>
          <w:sz w:val="20"/>
        </w:rPr>
        <w:t>for the year ended January 31, 2021. Prior to the Direct Listing, all 73,577,455 outstanding shares of redeemable convertible preferred stock were converted into an equivalent number of shares of Class B common stock.</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GAAP requires management to make estimates and assumptions that affect the amounts reported and disclosed in the consolidated financial statements and accompanying notes. Estimates and assumptions reflected in the consolidated financial statements include, but are not limited to, revenue recognition, the useful lives and carrying values of long-lived assets, the fair value of the Convertible Notes (as defined below), the fair value of common stock, stock-based compensation expense, the period of benefit for deferred contract acquisition costs, and income taxes. Actual results could differ from those estimates.</w:t>
      </w: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Risks and Uncertainties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COVID-19 pandemic, the Company has temporarily closed its headquarters and other physical offices, required its employees and contractors to work remotely, and implemented travel restrictions, all of which represent a significant disruption in how the Company operates its business. The operations of its partners and customers have likewise been disrupted. While the duration and extent of the COVID-19 pandemic depends on future developments that cannot be accurately predicted at this time, such as the extent and effectiveness of containment actions and the development of a vaccine, it has already had an adverse effect on the global economy and the ultimate societal and economic impact of the COVID-19 pandemic remains unknown. In particular, the </w:t>
      </w:r>
    </w:p>
    <w:p>
      <w:pPr>
        <w:pStyle w:val="HorizontalLine"/>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86"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conditions caused by this pandemic could affect the rate of global IT spending and could adversely affect demand for the Company’s platform, lengthen the Company’s sales cycles, reduce the value or duration of subscriptions, negatively impact collections of accounts receivable, reduce expected spending from new customers, cause some of  the Company’s paying customers to go out of business, limit the ability of the Company’s direct sales force to travel to customers and potential customers, and affect contraction or attrition rates of the Company’s customers, all of which could adversely affect the Company’s business, results of operations, and financial condition. As of the date of issuance of the financial statements, the Company is not aware of any specific event or circumstance related to COVID-19 that would require it to update its estimates or judgments or adjust the carrying value of its assets or liabilities. Actual results could differ from those estimates and any such differences may be material to the consolidated financial statements.   </w:t>
      </w: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The Company derives its revenues from monthly and annual subscription fees earned from customers accessing the platform. The Company’s policy is to exclude sales and other indirect taxes when measuring the transaction price of its subscription agreements. The Company accounts for revenue contracts with customers by applying the requirements of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which includes the following steps: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identification of the contract, or contracts, with the customer;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identification of the performance obligations in the contract;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determination of the transaction price;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allocation of the transaction price to the performance obligations in the contract; and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recognition of the revenues when, or as, the Company satisfies a performance obligation.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subscription agreements generally have monthly or annual contractual terms and are billed in advance. Revenues are recognized ratably over the related contractual term beginning on the date that the platform is made available to a customer. The Company recognizes revenues ratably because the customer receives and consumes the benefits of the platform throughout the contractual period. Access to the platform represents a series of distinct services that comprise a single performance obligation that is satisfied over time. The Company’s contracts are generally non-cancelable and do not provide for refunds to customers in the event of cancellations.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majority of the Company’s contracts give a right to bill for additional usage, which is deemed variable consideration. The variable consideration is allocated as the services are completed. An estimate of variable consideration is included in the transaction price if it is probable that a significant reversal of cumulative revenue recognized will not occur.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personnel-related expenses such as salaries and related benefits for the Company’s product development employees. Also included are non-personnel costs such as product design costs, third-party services and consulting expenses, depreciation expense related to equipment used in research and development activities, and allocation of the Company’s general overhead expenses.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Advertising Expenses</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Advertising expenses are charged to sales and marketing expense in the consolidated statements of operations as incurred. Advertising expenses were </w:t>
      </w:r>
      <w:r>
        <w:rPr>
          <w:rFonts w:ascii="Times New Roman;sans-serif" w:hAnsi="Times New Roman;sans-serif"/>
          <w:b w:val="false"/>
          <w:color w:val="000000"/>
          <w:sz w:val="20"/>
          <w:highlight w:val="white"/>
        </w:rPr>
        <w:t xml:space="preserve">$68.0 million, </w:t>
      </w:r>
      <w:r>
        <w:rPr>
          <w:rFonts w:ascii="Times New Roman;sans-serif" w:hAnsi="Times New Roman;sans-serif"/>
          <w:b w:val="false"/>
          <w:color w:val="000000"/>
          <w:sz w:val="20"/>
        </w:rPr>
        <w:t>$39.0 million, and $19.9 million for the years ended January 31, 2021, 2020, and 2019, respectively.</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Stock</w:t>
        <w:noBreakHyphen/>
        <w:t>Based Compensation Expense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stock-based compensation expense for all stock-based awards, including stock options, purchase rights issued under the 2019 Employee Stock Purchase Plan (“ESPP”), and restricted stock units (“RSUs”), </w:t>
      </w:r>
    </w:p>
    <w:p>
      <w:pPr>
        <w:pStyle w:val="HorizontalLine"/>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87"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made to employees, non-employees, and directors based on estimated fair values recognized over the requisite service period. The fair value of stock options granted and purchase rights issued under the ESPP for purposes of calculating stock-based compensation expense is estimated on the grant date using the Black-Scholes pricing model. The Black-Scholes pricing model requires the Company to make assumptions and judgments about the inputs used in the calculation, including the expected term (weighted-average period of time that the options granted are expected to be outstanding), the volatility of the Company’s common stock, risk-free interest rate, and expected dividend yield. The expected term represents the period that the Company’s stock-based awards are expected to be outstanding. The expected term assumptions are determined based on the vesting terms, exercise terms, and contractual lives of the options. The volatility is based on an average of the historical volatilities of the common stock of comparable public companies with characteristics similar to those of the Company. The risk-free rate is based on the U.S. Treasury yield curve in effect at the time of grant for periods corresponding with the expected life of the option. The Company’s expected dividend yield input is zero as it has not historically paid, nor does it expect in the future to pay, cash dividends on its common stock. Stock-based compensation expense for RSUs is measured based on the fair value of the underlying shares on the date of grant.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is recognized as expense over the requisite service period, which is generally the vesting period of the respective award. The Company uses the straight-line method for expense attribution. The Company accounts for forfeitures as they occur.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Foreign Currency Translation and Transactions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each of the Company’s wholly owned subsidiaries is the applicable local currency or the U.S. dollar. The translation of foreign currencies into U.S. dollars is performed for assets and liabilities using current foreign currency exchange rates in effect at the balance sheet date and for revenues and expense accounts using average foreign currency exchange rates during the period. Capital accounts are translated at historical foreign currency exchange rates. Translation gains and losses are included in stockholders’ deficit as a component of accumulated other comprehensive income (loss). Adjustments that arise from foreign currency exchange rate changes on transactions denominated in a currency other than the functional currency are included in other income (expense), net on the consolidated statements of operations and were not material for the years ended January 31, 2021, 2020, and 2019.</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decision-maker is its Chief Executive Officer (“CEO”), who reviews financial information presented on a consolidated basis for purposes of making operating decisions, assessing financial performance, and allocating resources. The Company manages its operations and allocates resources as a single operating segment. For information regarding the Company’s revenues and long-lived assets by geographic area, see Note 15, “Geographic Information.”</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 liquid investments with original maturities at the date of purchase of three months or less to be cash equivalents. Cash and cash equivalents are stated at cost, which approximates fair value.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various facilities operating lease agreements, the Company was required to maintain a restricted cash deposit as collateral. The Company had no restricted cash as of January 31, 2021 and $4.7 million of restricted cash for use as security deposits for standby letters of credit issued to landlords as of January 31, 2020.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cash equivalents, and restricted cash as reported in the Company’s consolidated statements of cash flows includes the aggregate amounts of cash, cash equivalents, and restricted cash as shown on the consolidated balance </w:t>
      </w:r>
    </w:p>
    <w:p>
      <w:pPr>
        <w:pStyle w:val="HorizontalLine"/>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88"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sheets. Cash, cash equivalents, and restricted cash as reported in the Company’s consolidated statements of cash flows consist of the following (in thousands):</w:t>
      </w:r>
    </w:p>
    <w:tbl>
      <w:tblPr>
        <w:tblW w:w="7804" w:type="dxa"/>
        <w:jc w:val="left"/>
        <w:tblInd w:w="0" w:type="dxa"/>
        <w:tblCellMar>
          <w:top w:w="28" w:type="dxa"/>
          <w:left w:w="28" w:type="dxa"/>
          <w:bottom w:w="28" w:type="dxa"/>
          <w:right w:w="28" w:type="dxa"/>
        </w:tblCellMar>
      </w:tblPr>
      <w:tblGrid>
        <w:gridCol w:w="1287"/>
        <w:gridCol w:w="1130"/>
        <w:gridCol w:w="1137"/>
        <w:gridCol w:w="211"/>
        <w:gridCol w:w="826"/>
        <w:gridCol w:w="109"/>
        <w:gridCol w:w="109"/>
        <w:gridCol w:w="109"/>
        <w:gridCol w:w="109"/>
        <w:gridCol w:w="211"/>
        <w:gridCol w:w="826"/>
        <w:gridCol w:w="109"/>
        <w:gridCol w:w="109"/>
        <w:gridCol w:w="109"/>
        <w:gridCol w:w="109"/>
        <w:gridCol w:w="211"/>
        <w:gridCol w:w="721"/>
        <w:gridCol w:w="109"/>
        <w:gridCol w:w="109"/>
        <w:gridCol w:w="154"/>
      </w:tblGrid>
      <w:tr>
        <w:trPr/>
        <w:tc>
          <w:tcPr>
            <w:tcW w:w="1287"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7"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Marketable Securities and Investments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Marketable securities are partially comprised of U.S. government securities, commercial paper, and corporate bonds with an original contractual maturity or a remaining maturity at the time of purchase of greater than three months and no more than 37 months. Marketable securities with a remaining maturity at the time of purchase in excess of 12 months are presented as investments, non-current on the consolidated balance sheets. These marketable securities are classified as available-for-sale securities and are carried at fair value with unrealized gains and losses reported in accumulated other comprehensive income (loss) as a separate component of stockholders’ deficit. Interest receivable on these securities is presented in prepaid expenses and other current assets on the consolidated balance sheets. Realized gains and losses and other-than-temporary impairments, if any, on available-for-sale securities are recognized upon sale and are included in other income (expense), net in the consolidated statements of operations. The cost of securities sold is based on the specific identification method. Marketable securities are reviewed periodically to identify possible other-than-temporary impairments. No impairment loss has been recorded on the Company’s marketable securities during the years ended January 31, 2021, 2020, or 2019.</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Accounts Receivable </w:t>
      </w:r>
    </w:p>
    <w:p>
      <w:pPr>
        <w:pStyle w:val="TextBody"/>
        <w:spacing w:lineRule="auto" w:line="288" w:before="0" w:after="180"/>
        <w:ind w:left="0" w:right="0" w:firstLine="360"/>
        <w:jc w:val="both"/>
        <w:rPr/>
      </w:pPr>
      <w:r>
        <w:rPr>
          <w:rFonts w:ascii="Times New Roman;sans-serif" w:hAnsi="Times New Roman;sans-serif"/>
          <w:b w:val="false"/>
          <w:color w:val="000000"/>
          <w:sz w:val="20"/>
        </w:rPr>
        <w:t>Accounts receivable are stated at realizable value, net of allowance for doubtful accounts. The Company’s estimate is based on historical collection experience and a review of the current status of accounts receivable. The Company’s allowance for doubtful accounts was</w:t>
      </w:r>
      <w:r>
        <w:rPr>
          <w:color w:val="000000"/>
          <w:highlight w:val="white"/>
        </w:rPr>
        <w:t xml:space="preserve"> </w:t>
      </w:r>
      <w:r>
        <w:rPr>
          <w:rFonts w:ascii="Times New Roman;sans-serif" w:hAnsi="Times New Roman;sans-serif"/>
          <w:b w:val="false"/>
          <w:color w:val="000000"/>
          <w:sz w:val="20"/>
          <w:highlight w:val="white"/>
        </w:rPr>
        <w:t>$0.6 million</w:t>
      </w:r>
      <w:r>
        <w:rPr>
          <w:color w:val="000000"/>
        </w:rPr>
        <w:t xml:space="preserve"> </w:t>
      </w:r>
      <w:r>
        <w:rPr>
          <w:rFonts w:ascii="Times New Roman;sans-serif" w:hAnsi="Times New Roman;sans-serif"/>
          <w:b w:val="false"/>
          <w:color w:val="000000"/>
          <w:sz w:val="20"/>
        </w:rPr>
        <w:t>and $0.1 million as of January 31, 2021 and 2020, respectively.</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the Company to a concentration of credit risk consist of cash, cash equivalents, and marketable securities. Substantially all the Company’s cash and cash equivalents are held by four financial institutions that management believes are of high credit quality. Such deposits may, at times, exceed federally insured limits. Cash equivalents are invested in highly rated money market funds.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large portion of the Company’s customers authorize the Company to bill their credit card accounts through the Company’s third-party payment processing partners, presenting additional credit risk. For the years ended January 31, 2021, 2020, and 2019, there were no individual customers that accounted for 10% or more of the Company’s revenues. The Company had one customer that accounted for approximately 13% of accounts receivable at January 31, 2021. The Company had no customers that accounted for more than 10% of accounts receivable as of January 31, 2020.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reflected in the consolidated balance sheets for cash equivalents, accounts receivable, and accounts payable approximate their respective fair values due to the short maturities of those instruments. Available-for-sale marketable securities are recorded at fair value on the consolidated balance sheets.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certain of its financial assets at fair value. In determining and disclosing fair value, the Company uses a fair value hierarchy established by U.S. GAAP. The guidance defines fair value as an exit price, representing the amount that would be received upon the sale of an asset or paid to transfer a liability in an orderly </w:t>
      </w:r>
    </w:p>
    <w:p>
      <w:pPr>
        <w:pStyle w:val="HorizontalLine"/>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89"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between market participants. As such, fair value is a market-based measurement that should be determined based on assumptions that market participants would use in pricing an asset or liability. As a basis for considering such assumptions, the Company utilizes a three-tier fair value hierarchy, which prioritizes the inputs used in measuring fair value as follows: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Level 1    Observable inputs such as quoted prices in active markets.</w:t>
      </w:r>
    </w:p>
    <w:p>
      <w:pPr>
        <w:pStyle w:val="TextBody"/>
        <w:spacing w:lineRule="auto" w:line="288" w:before="0" w:after="180"/>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Level 2    Inputs other than the quoted prices in active markets that are observable either directly or indirectly.</w:t>
      </w:r>
    </w:p>
    <w:p>
      <w:pPr>
        <w:pStyle w:val="TextBody"/>
        <w:spacing w:lineRule="auto" w:line="288" w:before="0" w:after="180"/>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Level 3    Unobservable inputs in which there is little or no market data and that are significant to the fair value of the assets or liabilities.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Lease Obligations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if an arrangement is a lease at inception by determining if the contract conveys the right to control the issue of an identified asset for a period of time in exchange for consideration and other facts and circumstances. Right-of-use (“ROU”) assets and lease liabilities are recognized at commencement date based on the present value of remaining lease payments over the lease term. For this purpose, the Company considers only payments that are fixed and determinable at the time of commencement. As the Company’s leases do not provide an implicit rate, the Company uses the incremental borrowing rate based on the information available at commencement date in determining the present value of lease payments. The incremental borrowing rate is a hypothetical rate based on the Company’s understanding of what its credit rating would be. The ROU assets also include any lease payments made prior to commencement and are recorded net of any lease incentives received. The lease terms may include options to extend or terminate the lease when it is reasonably certain that the Company will exercise such options. The lease agreements may contain variable costs such as common area maintenance, insurance, real estate taxes or other costs. Variable lease costs are expensed as incurred on the consolidated statements of operations. The Company’s lease agreements generally do not contain any residual value guarantees, restrictions, or covenants.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lease agreements with lease and non-lease components. The Company elects to combine lease and non-lease components as a single lease component for all classes of underlying assets. The Company elects to not record leases with an initial term of 12 months on the balance sheet and the associated lease payments are recognized in the consolidated statements of operations on a straight-line basis over the lease term.</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leases are included in operating lease ROU assets, operating lease liabilities, current, and operating lease liabilities, noncurrent on the consolidated balance sheets.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its property and equipment at cost. Depreciation is computed on the straight-line method over the estimated useful lives of two to three years. Leasehold improvements are amortized over the remaining period of the lease, or the estimated useful life of the improvement, whichever is shorter. Repair and maintenance expenditures, which are not considered improvements and do not extend the useful life of an asset, are expensed as incurred.</w:t>
      </w:r>
    </w:p>
    <w:tbl>
      <w:tblPr>
        <w:tblW w:w="7345" w:type="dxa"/>
        <w:jc w:val="left"/>
        <w:tblInd w:w="0" w:type="dxa"/>
        <w:tblCellMar>
          <w:top w:w="28" w:type="dxa"/>
          <w:left w:w="28" w:type="dxa"/>
          <w:bottom w:w="28" w:type="dxa"/>
          <w:right w:w="28" w:type="dxa"/>
        </w:tblCellMar>
      </w:tblPr>
      <w:tblGrid>
        <w:gridCol w:w="1199"/>
        <w:gridCol w:w="1058"/>
        <w:gridCol w:w="1072"/>
        <w:gridCol w:w="109"/>
        <w:gridCol w:w="109"/>
        <w:gridCol w:w="109"/>
        <w:gridCol w:w="1075"/>
        <w:gridCol w:w="1075"/>
        <w:gridCol w:w="1539"/>
      </w:tblGrid>
      <w:tr>
        <w:trPr/>
        <w:tc>
          <w:tcPr>
            <w:tcW w:w="1199"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539"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 Type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 (Years)</w:t>
            </w:r>
          </w:p>
        </w:tc>
      </w:tr>
      <w:tr>
        <w:trPr/>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Desktop and other computer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Shorter of lease term or estimated useful life</w:t>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internal-use software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HorizontalLine"/>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90"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Capitalized Internal-Use Software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capitalizes certain internal software development costs, consisting primarily of direct labor associated with creating the internally developed software. Capitalized costs are amortized using the straight-line method over the estimated useful life of the software once it is ready for its intended use. The Company believes the straight-line recognition method best approximates the manner in which the expected benefit will be derived.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long-lived assets for impairment whenever events or changes in circumstances indicate that the carrying amount of such asset groups may not be recoverable. Recoverability of assets to be held and used is measured by a comparison of the carrying amount of an asset group to future undiscounted net cash flows expected to be generated by the asset group.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losses were recorded during the years ended January 31, 2021, 2020 and 2019.</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income taxes under the asset and liability method, which requires that deferred income taxes be provided for temporary differences between the tax basis of the Company’s assets and liabilities and their financial statement reported amounts. In addition, deferred tax assets are recorded for the future benefit of utilizing net operating loss carryforwards and research and development credit carryforwards.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provided against deferred tax assets unless it is more likely than not that they will be realized. If there is significant negative evidence that the near-term realization of certain assets are deemed unlikely, the Company would record a valuation allowance against the deferred tax assets. The Company regularly assesses the continuing need for a valuation allowance against its deferred tax assets. Significant judgment is required to determine whether a valuation allowance continues to be necessary and the amount of such valuation allowance, if appropriate. The Company considers all available evidence, both positive and negative, to determine, based on the weight of available evidence, whether it is more likely than not that some or all of the deferred tax assets will not be realized. In evaluating the continued need for a valuation allowance, the Company considers, among other things, the nature, frequency, and severity of current and cumulative losses, forecasts of future profitability, and the duration of statutory carryforward periods.</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The Company performs a comprehensive review of potential uncertain tax positions in each jurisdiction in which the Company operates. The Company accounts for uncertain tax positions in accordance with ASC 740,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xml:space="preserve">. ASC 740 prescribes a recognition threshold and measurement attribute for the financial statement recognition and measurement of a tax provision that an entity takes or expects to take in a tax return.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policy is to include penalties and interest related to income tax matters within the Company’s benefit from (provision for) income taxes.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Redeemable Convertible Preferred Stock Warrants</w:t>
      </w:r>
    </w:p>
    <w:p>
      <w:pPr>
        <w:pStyle w:val="TextBody"/>
        <w:spacing w:lineRule="auto" w:line="288" w:before="0" w:after="180"/>
        <w:ind w:left="0" w:right="0" w:firstLine="360"/>
        <w:jc w:val="both"/>
        <w:rPr/>
      </w:pPr>
      <w:r>
        <w:rPr>
          <w:rFonts w:ascii="Times New Roman;sans-serif" w:hAnsi="Times New Roman;sans-serif"/>
          <w:b w:val="false"/>
          <w:color w:val="000000"/>
          <w:sz w:val="20"/>
        </w:rPr>
        <w:t>The Company had redeemable convertible preferred stock warrants exercisable for its Series B redeemable convertible preferred stock, which were classified as liabilities on the Company’s balance sheets. The redeemable convertible preferred stock warrants were subject to remeasurement at each balance sheet date, and any change in fair value was recognized as a component of other income (expense), net. In November 2019, all of the Company’s outstanding redeemable convertible preferred stock warrants were net exercised for 30,606 shares of Series B redeemable convertible preferred stock. See Note 11. “Stockholders’ Deficit”</w:t>
      </w:r>
      <w:r>
        <w:rPr>
          <w:color w:val="000000"/>
        </w:rPr>
        <w:t xml:space="preserve"> </w:t>
      </w:r>
      <w:r>
        <w:rPr>
          <w:rFonts w:ascii="Times New Roman;sans-serif" w:hAnsi="Times New Roman;sans-serif"/>
          <w:b w:val="false"/>
          <w:color w:val="000000"/>
          <w:sz w:val="20"/>
        </w:rPr>
        <w:t>for further discussion.</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Net Loss Per Share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and diluted net loss per share attributable to common stockholders is presented in conformity with the two-class method required for participating securities. All series of the Company’s redeemable convertible preferred stock and early exercised stock options are considered to be participating securities because all holders are </w:t>
      </w:r>
    </w:p>
    <w:p>
      <w:pPr>
        <w:pStyle w:val="HorizontalLine"/>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91"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entitled to receive a non-cumulative dividend on a pari passu basis in the event that a dividend is paid on the common stock. The holders of the redeemable convertible preferred stock do not have a contractual obligation to share in the Company’s losses. As such, the Company’s net losses for the years ended January 31, 2021, 2020 and 2019 were not allocated to these participating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rights, including the liquidation and dividend rights, of the holders of Class A and Class B common stock are identical, except with respect to voting. As the liquidation and dividend rights are identical, the undistributed earnings are allocated on a proportionate basis and the resulting net loss per share attributed to common stockholders will, therefore, be the same for both Class A and Class B common stock on an individual or combined basis.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two-class method, basic net loss per share attributable to common stockholders is computed by dividing the net loss attributable to common stockholders by the weighted-average number of shares of common stock outstanding during the period.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 attributable to common stockholders adjusts basic earnings per share for the potentially dilutive impact of redeemable convertible preferred stock warrants, stock options, RSUs, and redeemable convertible preferred stock. As the Company has reported losses for all periods presented, all potentially dilutive securities are anti-dilutive, and accordingly, basic net loss per share equaled diluted net loss per share.</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spacing w:lineRule="auto" w:line="288" w:before="0" w:after="180"/>
        <w:ind w:left="0" w:right="0" w:firstLine="360"/>
        <w:jc w:val="both"/>
        <w:rPr/>
      </w:pPr>
      <w:r>
        <w:rPr>
          <w:rFonts w:ascii="Times New Roman;sans-serif" w:hAnsi="Times New Roman;sans-serif"/>
          <w:b w:val="false"/>
          <w:color w:val="000000"/>
          <w:sz w:val="20"/>
        </w:rPr>
        <w:t>In June 2016, the FASB issued Accounting Standards Update (“ASU”) No. 2016-13, </w:t>
      </w:r>
      <w:r>
        <w:rPr>
          <w:rFonts w:ascii="Times New Roman;sans-serif" w:hAnsi="Times New Roman;sans-serif"/>
          <w:b w:val="false"/>
          <w:i/>
          <w:color w:val="000000"/>
          <w:sz w:val="20"/>
        </w:rPr>
        <w:t>Financial Instruments-Credit Losses (Topic 326): Measurement of Credit Losses on Financial Instruments</w:t>
      </w:r>
      <w:r>
        <w:rPr>
          <w:rFonts w:ascii="Times New Roman;sans-serif" w:hAnsi="Times New Roman;sans-serif"/>
          <w:b w:val="false"/>
          <w:color w:val="000000"/>
          <w:sz w:val="20"/>
        </w:rPr>
        <w:t>, which requires the measurement and recognition of expected credit losses for financial assets held at amortized cost.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Company expects to adopt ASU 2016-13 as of February 1, 2021 and is currently evaluating the impact of adoption.</w:t>
      </w:r>
    </w:p>
    <w:p>
      <w:pPr>
        <w:pStyle w:val="TextBody"/>
        <w:spacing w:lineRule="auto" w:line="288" w:before="0" w:after="180"/>
        <w:ind w:left="0" w:right="0" w:firstLine="360"/>
        <w:jc w:val="both"/>
        <w:rPr/>
      </w:pPr>
      <w:r>
        <w:rPr>
          <w:rFonts w:ascii="Times New Roman;sans-serif" w:hAnsi="Times New Roman;sans-serif"/>
          <w:b w:val="false"/>
          <w:color w:val="000000"/>
          <w:sz w:val="20"/>
        </w:rPr>
        <w:t>In August 2018, the FASB issued ASU No. 2018-15</w:t>
      </w:r>
      <w:r>
        <w:rPr>
          <w:rFonts w:ascii="Times New Roman;sans-serif" w:hAnsi="Times New Roman;sans-serif"/>
          <w:b w:val="false"/>
          <w:i/>
          <w:color w:val="000000"/>
          <w:sz w:val="20"/>
        </w:rPr>
        <w:t>, Intangibles-Goodwill and Other-Internal-Use Software (Subtopic 350-40), Customer’s Accounting for Implementation Costs Incurred in a Cloud Computing Arrangement That Is a Service Contract.</w:t>
      </w:r>
      <w:r>
        <w:rPr>
          <w:color w:val="000000"/>
        </w:rPr>
        <w:t xml:space="preserve"> </w:t>
      </w:r>
      <w:r>
        <w:rPr>
          <w:rFonts w:ascii="Times New Roman;sans-serif" w:hAnsi="Times New Roman;sans-serif"/>
          <w:b w:val="false"/>
          <w:color w:val="000000"/>
          <w:sz w:val="20"/>
        </w:rPr>
        <w:t>Under existing GAAP, there is diversity in practice in accounting for the costs of implementing cloud computing arrangements that are service contracts. The amendments in ASU No. 2018-15 amend the definition of a hosting arrangement and requires a customer in a hosting arrangement that is a service contract to capitalize certain costs as if the arrangement were an internal-use software project. The Company expects to adopt ASU 2018-15 as of February 1, 2021 and is currently evaluating the impact of adoption.</w:t>
      </w:r>
    </w:p>
    <w:p>
      <w:pPr>
        <w:pStyle w:val="TextBody"/>
        <w:spacing w:lineRule="auto" w:line="288" w:before="0" w:after="180"/>
        <w:ind w:left="0" w:right="0" w:firstLine="360"/>
        <w:jc w:val="both"/>
        <w:rPr/>
      </w:pPr>
      <w:r>
        <w:rPr>
          <w:rFonts w:ascii="Times New Roman;sans-serif" w:hAnsi="Times New Roman;sans-serif"/>
          <w:b w:val="false"/>
          <w:color w:val="000000"/>
          <w:sz w:val="20"/>
        </w:rPr>
        <w:t>In August 2020, the FASB issued ASU No. 2020-06,</w:t>
      </w:r>
      <w:r>
        <w:rPr>
          <w:color w:val="000000"/>
        </w:rPr>
        <w:t xml:space="preserve"> </w:t>
      </w:r>
      <w:r>
        <w:rPr>
          <w:rFonts w:ascii="Times New Roman;sans-serif" w:hAnsi="Times New Roman;sans-serif"/>
          <w:b w:val="false"/>
          <w:i/>
          <w:color w:val="000000"/>
          <w:sz w:val="20"/>
        </w:rPr>
        <w:t>Accounting for Convertible Instruments and Contracts in an Entity's Own Equity</w:t>
      </w:r>
      <w:r>
        <w:rPr>
          <w:rFonts w:ascii="Times New Roman;sans-serif" w:hAnsi="Times New Roman;sans-serif"/>
          <w:b w:val="false"/>
          <w:color w:val="000000"/>
          <w:sz w:val="20"/>
        </w:rPr>
        <w:t>, which simplifies the accounting for certain convertible instruments, amends the guidance on derivative scope exceptions for contracts in an entity's own equity, and modifies the guidance on diluted earnings per share calculations as a result of these changes. The guidance is effective for the Company’s fiscal years beginning after February 1, 2022, and earlier adoption is permitted. The Company is currently evaluating the impact and timing of adopting ASU 2020-06.</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In December 2019, the FASB issued ASU No. 2019-12, </w:t>
      </w:r>
      <w:r>
        <w:rPr>
          <w:rFonts w:ascii="Times New Roman;sans-serif" w:hAnsi="Times New Roman;sans-serif"/>
          <w:b w:val="false"/>
          <w:i/>
          <w:color w:val="000000"/>
          <w:sz w:val="20"/>
        </w:rPr>
        <w:t>Simplifying the Accounting for Income Taxes (Topic 740)</w:t>
      </w:r>
      <w:r>
        <w:rPr>
          <w:rFonts w:ascii="Times New Roman;sans-serif" w:hAnsi="Times New Roman;sans-serif"/>
          <w:b w:val="false"/>
          <w:color w:val="000000"/>
          <w:sz w:val="20"/>
        </w:rPr>
        <w:t>. The amendments in the updated guidance simplify the accounting for income taxes by removing certain exceptions and improving consistent application of other areas of the topic by clarifying the guidance. The Company has adopted this standard as of February 1, 2020. The adoption of the standard did not have a material impact on the Company’s consolidated financial statements for the year ended January 31, 2021 or for any of the interim periods therein.</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On February 1, 2019, the Company adopted Accounting Standards Update No. 2016-02,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(“Topic 842” or “ASC 842”) (ASU 2016-02) on a modified basis using the optional transition method, and accordingly, has not </w:t>
      </w:r>
    </w:p>
    <w:p>
      <w:pPr>
        <w:pStyle w:val="HorizontalLine"/>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92"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180"/>
        <w:jc w:val="both"/>
        <w:rPr/>
      </w:pPr>
      <w:r>
        <w:rPr>
          <w:rFonts w:ascii="Times New Roman;sans-serif" w:hAnsi="Times New Roman;sans-serif"/>
          <w:b w:val="false"/>
          <w:color w:val="000000"/>
          <w:sz w:val="20"/>
        </w:rPr>
        <w:t xml:space="preserve">restated comparative periods. Balances and related disclosures for fiscal 2019 continue to be presented in accordance with ASC 840, </w:t>
      </w:r>
      <w:r>
        <w:rPr>
          <w:rFonts w:ascii="Times New Roman;sans-serif" w:hAnsi="Times New Roman;sans-serif"/>
          <w:b w:val="false"/>
          <w:i/>
          <w:color w:val="000000"/>
          <w:sz w:val="20"/>
        </w:rPr>
        <w:t>Leases</w:t>
      </w:r>
      <w:r>
        <w:rPr>
          <w:rFonts w:ascii="Times New Roman;sans-serif" w:hAnsi="Times New Roman;sans-serif"/>
          <w:b w:val="false"/>
          <w:color w:val="000000"/>
          <w:sz w:val="20"/>
        </w:rPr>
        <w:t>. Results and disclosures for fiscal 2020 are presented under ASC 842.</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the package of practical expedients permitted under the transition guidance, which allowed the Company to carryforward its historical lease classification, the assessment on whether a contract was or contains a lease, and the initial direct costs for any leases that existed prior to February 1, 2019, the adoption date. The Company elected the use of the hindsight practical expedient in determining the lease term and assessing the likelihood that the lease renewal or termination option will be exercised. The Company also elected to combine lease and non-lease components and to keep leases with an initial term of 12 months or less off the balance sheets and recognize the associated lease payments in the consolidated statements of operations on a straight-line basis over the lease term.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adoption, the Company recognized total ROU assets of $16.5 million, with corresponding operating lease liabilities of $18.3 million on the consolidated balance sheet. The ROU assets include adjustments for prepayments and accrued lease incentive liabilities. The adoption did not impact beginning accumulated deficit or the prior year consolidated statement of operations and statement of cash flows. </w:t>
      </w:r>
    </w:p>
    <w:p>
      <w:pPr>
        <w:pStyle w:val="TextBody"/>
        <w:spacing w:lineRule="auto" w:line="288" w:before="0" w:after="180"/>
        <w:ind w:left="0" w:right="0" w:firstLine="360"/>
        <w:jc w:val="both"/>
        <w:rPr/>
      </w:pPr>
      <w:r>
        <w:rPr>
          <w:rFonts w:ascii="Times New Roman;sans-serif" w:hAnsi="Times New Roman;sans-serif"/>
          <w:b w:val="false"/>
          <w:color w:val="000000"/>
          <w:sz w:val="20"/>
        </w:rPr>
        <w:t>In August 2018, the FASB issued ASU No. 2018-13</w:t>
      </w:r>
      <w:r>
        <w:rPr>
          <w:rFonts w:ascii="Times New Roman;sans-serif" w:hAnsi="Times New Roman;sans-serif"/>
          <w:b w:val="false"/>
          <w:i/>
          <w:color w:val="000000"/>
          <w:sz w:val="20"/>
        </w:rPr>
        <w:t>, Fair Value Measurement (Topic 820)</w:t>
      </w:r>
      <w:r>
        <w:rPr>
          <w:rFonts w:ascii="Times New Roman;sans-serif" w:hAnsi="Times New Roman;sans-serif"/>
          <w:b w:val="false"/>
          <w:color w:val="000000"/>
          <w:sz w:val="20"/>
        </w:rPr>
        <w:t>, which amends disclosure requirements for fair value measurements by requiring new disclosures, modifying existing requirements, and eliminating others. On February 1, 2020, the Company adopted ASU 2018-13. The adoption of the standard did not have a material impact on the Company’s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ind w:left="0" w:right="0" w:hanging="900"/>
        <w:rPr>
          <w:rFonts w:ascii="Times New Roman;sans-serif" w:hAnsi="Times New Roman;sans-serif"/>
          <w:b/>
          <w:color w:val="000000"/>
          <w:sz w:val="20"/>
        </w:rPr>
      </w:pPr>
      <w:r>
        <w:rPr>
          <w:rFonts w:ascii="Times New Roman;sans-serif" w:hAnsi="Times New Roman;sans-serif"/>
          <w:b/>
          <w:color w:val="000000"/>
          <w:sz w:val="20"/>
        </w:rPr>
        <w:t>Note 3.    Revenue</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Deferred Revenue and Remaining Performance Obligations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deferred revenue was $105.9 million and $64.1 million as of January 31, 2021 and January 31, 2020, respectively, of which $2.0 million and $1.4 million, respectively, is presented within other liabilities, as a noncurrent liability, in the consolidated balance sheets as of January 31, 2021 and January 31, 2020, respectively.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$62.7 million and $31.8 million of revenues during the years ended January 31, 2021 and 2020, respectively, that were included in the deferred revenue balance at the beginning of the respective period.</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of January 31, 2021, the Company's remaining performance obligations from subscription contracts were $122.3 million, of which the Company expects to recognize approximately 89% as revenue over the next 12 months and the remainder thereafter.</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Deferred Contract Acquisition Costs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contract acquisition costs represent gross deferred contract acquisition costs less accumulated amortization. Sales commissions earned by the Company’s sales force, as well as related payroll taxes, are considered to be incremental and recoverable costs of obtaining a contract with a customer. As a result, these amounts have been capitalized as deferred contract acquisition costs within prepaid and other current assets and other assets on the consolidated balance sheets.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contract acquisition costs are amortized over a period of benefit of three years. The period of benefit was estimated by considering factors such as historical customer attrition rates, the useful life of the Company’s technology, and the impact of competition in the software-as-a-service industry. </w:t>
      </w:r>
    </w:p>
    <w:p>
      <w:pPr>
        <w:pStyle w:val="HorizontalLine"/>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93"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of deferred contract acquisition costs (in thousands):</w:t>
      </w:r>
    </w:p>
    <w:tbl>
      <w:tblPr>
        <w:tblW w:w="6796" w:type="dxa"/>
        <w:jc w:val="left"/>
        <w:tblInd w:w="0" w:type="dxa"/>
        <w:tblCellMar>
          <w:top w:w="28" w:type="dxa"/>
          <w:left w:w="28" w:type="dxa"/>
          <w:bottom w:w="28" w:type="dxa"/>
          <w:right w:w="28" w:type="dxa"/>
        </w:tblCellMar>
      </w:tblPr>
      <w:tblGrid>
        <w:gridCol w:w="1533"/>
        <w:gridCol w:w="1344"/>
        <w:gridCol w:w="1352"/>
        <w:gridCol w:w="211"/>
        <w:gridCol w:w="721"/>
        <w:gridCol w:w="109"/>
        <w:gridCol w:w="109"/>
        <w:gridCol w:w="109"/>
        <w:gridCol w:w="109"/>
        <w:gridCol w:w="211"/>
        <w:gridCol w:w="616"/>
        <w:gridCol w:w="109"/>
        <w:gridCol w:w="109"/>
        <w:gridCol w:w="154"/>
      </w:tblGrid>
      <w:tr>
        <w:trPr/>
        <w:tc>
          <w:tcPr>
            <w:tcW w:w="1533"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c>
          <w:tcPr>
            <w:tcW w:w="263" w:type="dxa"/>
            <w:gridSpan w:val="2"/>
            <w:tcBorders/>
            <w:shd w:fill="auto" w:val="clear"/>
          </w:tcPr>
          <w:p>
            <w:pPr>
              <w:pStyle w:val="TableContents"/>
              <w:spacing w:before="0" w:after="283"/>
              <w:rPr>
                <w:sz w:val="4"/>
                <w:szCs w:val="4"/>
              </w:rPr>
            </w:pPr>
            <w:r>
              <w:rPr>
                <w:sz w:val="4"/>
                <w:szCs w:val="4"/>
              </w:rPr>
            </w:r>
          </w:p>
        </w:tc>
      </w:tr>
      <w:tr>
        <w:trPr/>
        <w:tc>
          <w:tcPr>
            <w:tcW w:w="4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 of contract acquisition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contract acquisition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costs, current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costs, noncurrent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contract acquisition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ind w:left="0" w:right="0" w:hanging="900"/>
        <w:rPr>
          <w:rFonts w:ascii="Times New Roman;sans-serif" w:hAnsi="Times New Roman;sans-serif"/>
          <w:b/>
          <w:color w:val="000000"/>
          <w:sz w:val="20"/>
        </w:rPr>
      </w:pPr>
      <w:r>
        <w:rPr>
          <w:rFonts w:ascii="Times New Roman;sans-serif" w:hAnsi="Times New Roman;sans-serif"/>
          <w:b/>
          <w:color w:val="000000"/>
          <w:sz w:val="20"/>
        </w:rPr>
        <w:t>Note 4.    Fair Value Measurements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for assets and liabilities measured at fair value, the respective fair value and classification by level of input within the fair value hierarchy (in thousands):</w:t>
      </w:r>
    </w:p>
    <w:tbl>
      <w:tblPr>
        <w:tblW w:w="7499" w:type="dxa"/>
        <w:jc w:val="left"/>
        <w:tblInd w:w="0" w:type="dxa"/>
        <w:tblCellMar>
          <w:top w:w="28" w:type="dxa"/>
          <w:left w:w="28" w:type="dxa"/>
          <w:bottom w:w="28" w:type="dxa"/>
          <w:right w:w="28" w:type="dxa"/>
        </w:tblCellMar>
      </w:tblPr>
      <w:tblGrid>
        <w:gridCol w:w="835"/>
        <w:gridCol w:w="735"/>
        <w:gridCol w:w="73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835"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2021</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equivalents </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bonds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deposit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Assets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94"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7185" w:type="dxa"/>
        <w:jc w:val="left"/>
        <w:tblInd w:w="0" w:type="dxa"/>
        <w:tblCellMar>
          <w:top w:w="28" w:type="dxa"/>
          <w:left w:w="28" w:type="dxa"/>
          <w:bottom w:w="28" w:type="dxa"/>
          <w:right w:w="28" w:type="dxa"/>
        </w:tblCellMar>
      </w:tblPr>
      <w:tblGrid>
        <w:gridCol w:w="834"/>
        <w:gridCol w:w="735"/>
        <w:gridCol w:w="741"/>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54"/>
      </w:tblGrid>
      <w:tr>
        <w:trPr/>
        <w:tc>
          <w:tcPr>
            <w:tcW w:w="834"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2020</w:t>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equivalents </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bonds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of financial assets or liabilities into or out of Level 3 during the years ended January 31, 2021 and 2020.</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 in the redeemable convertible preferred stock warrant liability (in thousands):</w:t>
      </w:r>
    </w:p>
    <w:tbl>
      <w:tblPr>
        <w:tblW w:w="9264" w:type="dxa"/>
        <w:jc w:val="left"/>
        <w:tblInd w:w="0" w:type="dxa"/>
        <w:tblCellMar>
          <w:top w:w="28" w:type="dxa"/>
          <w:left w:w="28" w:type="dxa"/>
          <w:bottom w:w="28" w:type="dxa"/>
          <w:right w:w="28" w:type="dxa"/>
        </w:tblCellMar>
      </w:tblPr>
      <w:tblGrid>
        <w:gridCol w:w="3037"/>
        <w:gridCol w:w="2662"/>
        <w:gridCol w:w="2685"/>
        <w:gridCol w:w="211"/>
        <w:gridCol w:w="406"/>
        <w:gridCol w:w="109"/>
        <w:gridCol w:w="154"/>
      </w:tblGrid>
      <w:tr>
        <w:trPr/>
        <w:tc>
          <w:tcPr>
            <w:tcW w:w="3037" w:type="dxa"/>
            <w:tcBorders/>
            <w:shd w:fill="auto" w:val="clear"/>
            <w:vAlign w:val="center"/>
          </w:tcPr>
          <w:p>
            <w:pPr>
              <w:pStyle w:val="TableContents"/>
              <w:spacing w:before="0" w:after="283"/>
              <w:rPr>
                <w:sz w:val="4"/>
                <w:szCs w:val="4"/>
              </w:rPr>
            </w:pPr>
            <w:r>
              <w:rPr>
                <w:sz w:val="4"/>
                <w:szCs w:val="4"/>
              </w:rPr>
            </w:r>
          </w:p>
        </w:tc>
        <w:tc>
          <w:tcPr>
            <w:tcW w:w="2662"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384"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384"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 2019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38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 resulting from change in fair value recognized in the consolidated statement of operations</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redeemable convertible preferred stock warrants</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 2020</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384"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384"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investments in marketable securities on the consolidated balance sheets (in thousands):</w:t>
      </w:r>
    </w:p>
    <w:tbl>
      <w:tblPr>
        <w:tblW w:w="7400" w:type="dxa"/>
        <w:jc w:val="left"/>
        <w:tblInd w:w="0" w:type="dxa"/>
        <w:tblCellMar>
          <w:top w:w="28" w:type="dxa"/>
          <w:left w:w="28" w:type="dxa"/>
          <w:bottom w:w="28" w:type="dxa"/>
          <w:right w:w="28" w:type="dxa"/>
        </w:tblCellMar>
      </w:tblPr>
      <w:tblGrid>
        <w:gridCol w:w="835"/>
        <w:gridCol w:w="735"/>
        <w:gridCol w:w="740"/>
        <w:gridCol w:w="211"/>
        <w:gridCol w:w="826"/>
        <w:gridCol w:w="109"/>
        <w:gridCol w:w="109"/>
        <w:gridCol w:w="109"/>
        <w:gridCol w:w="109"/>
        <w:gridCol w:w="274"/>
        <w:gridCol w:w="469"/>
        <w:gridCol w:w="143"/>
        <w:gridCol w:w="109"/>
        <w:gridCol w:w="109"/>
        <w:gridCol w:w="109"/>
        <w:gridCol w:w="316"/>
        <w:gridCol w:w="406"/>
        <w:gridCol w:w="164"/>
        <w:gridCol w:w="109"/>
        <w:gridCol w:w="109"/>
        <w:gridCol w:w="109"/>
        <w:gridCol w:w="211"/>
        <w:gridCol w:w="826"/>
        <w:gridCol w:w="154"/>
      </w:tblGrid>
      <w:tr>
        <w:trPr/>
        <w:tc>
          <w:tcPr>
            <w:tcW w:w="835"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0"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2021</w:t>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treasury bonds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Assets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95"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7189" w:type="dxa"/>
        <w:jc w:val="left"/>
        <w:tblInd w:w="0" w:type="dxa"/>
        <w:tblCellMar>
          <w:top w:w="28" w:type="dxa"/>
          <w:left w:w="28" w:type="dxa"/>
          <w:bottom w:w="28" w:type="dxa"/>
          <w:right w:w="28" w:type="dxa"/>
        </w:tblCellMar>
      </w:tblPr>
      <w:tblGrid>
        <w:gridCol w:w="836"/>
        <w:gridCol w:w="735"/>
        <w:gridCol w:w="738"/>
        <w:gridCol w:w="211"/>
        <w:gridCol w:w="721"/>
        <w:gridCol w:w="109"/>
        <w:gridCol w:w="109"/>
        <w:gridCol w:w="109"/>
        <w:gridCol w:w="109"/>
        <w:gridCol w:w="257"/>
        <w:gridCol w:w="495"/>
        <w:gridCol w:w="134"/>
        <w:gridCol w:w="109"/>
        <w:gridCol w:w="109"/>
        <w:gridCol w:w="109"/>
        <w:gridCol w:w="257"/>
        <w:gridCol w:w="495"/>
        <w:gridCol w:w="134"/>
        <w:gridCol w:w="109"/>
        <w:gridCol w:w="109"/>
        <w:gridCol w:w="109"/>
        <w:gridCol w:w="211"/>
        <w:gridCol w:w="721"/>
        <w:gridCol w:w="154"/>
      </w:tblGrid>
      <w:tr>
        <w:trPr/>
        <w:tc>
          <w:tcPr>
            <w:tcW w:w="836"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0"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2020</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treasury bonds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In January 2020 and June 2020, the Company issued convertible notes to a trust affiliated with the Company’s CEO. The fair values of the convertible notes at issuance on January 30, 2020 and June 26, 2020 were $203.0 million and $112.0 million, respectively. There were no significant changes in fair value between January 30, 2020 and January 31, 2020. At January 31, 2021, the fair value of the convertible notes issued in January 2020 and in June 2020 </w:t>
      </w:r>
      <w:r>
        <w:rPr>
          <w:rFonts w:ascii="Times New Roman;sans-serif" w:hAnsi="Times New Roman;sans-serif"/>
          <w:b w:val="false"/>
          <w:color w:val="000000"/>
          <w:sz w:val="20"/>
          <w:highlight w:val="white"/>
        </w:rPr>
        <w:t>were $399.1 million and $202.7 million, re</w:t>
      </w:r>
      <w:r>
        <w:rPr>
          <w:rFonts w:ascii="Times New Roman;sans-serif" w:hAnsi="Times New Roman;sans-serif"/>
          <w:b w:val="false"/>
          <w:color w:val="000000"/>
          <w:sz w:val="20"/>
        </w:rPr>
        <w:t>spectively. The Company considers the fair values of the convertible notes to be Level 3 measurements as the fair value is estimated using significant unobservable inputs. The fair values of the convertible notes were measured using a binomial lattice model. Inputs used to determine the estimated fair values of the convertible notes include equity volatility of comparable companies, risk-free interest rate, and estimated fair value of the Company’s common stock. Certain unobservable inputs used in the fair value measurements of the convertible notes include assumptions related to future liquidity events. See Note 6, “Convertible Notes—Related Party,” for further discussion.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Note 5. Balance Sheet Components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tbl>
      <w:tblPr>
        <w:tblW w:w="6608" w:type="dxa"/>
        <w:jc w:val="left"/>
        <w:tblInd w:w="0" w:type="dxa"/>
        <w:tblCellMar>
          <w:top w:w="28" w:type="dxa"/>
          <w:left w:w="28" w:type="dxa"/>
          <w:bottom w:w="28" w:type="dxa"/>
          <w:right w:w="28" w:type="dxa"/>
        </w:tblCellMar>
      </w:tblPr>
      <w:tblGrid>
        <w:gridCol w:w="1505"/>
        <w:gridCol w:w="1320"/>
        <w:gridCol w:w="1329"/>
        <w:gridCol w:w="211"/>
        <w:gridCol w:w="721"/>
        <w:gridCol w:w="109"/>
        <w:gridCol w:w="109"/>
        <w:gridCol w:w="109"/>
        <w:gridCol w:w="109"/>
        <w:gridCol w:w="211"/>
        <w:gridCol w:w="721"/>
        <w:gridCol w:w="154"/>
      </w:tblGrid>
      <w:tr>
        <w:trPr/>
        <w:tc>
          <w:tcPr>
            <w:tcW w:w="1505"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Desktop and other computer equipment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internal-use software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property and equipment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for the years ended January 31, 2021, 2020, and 2019 was $3.5 million, $2.2 million, and $4.2 million, respectively.</w:t>
      </w:r>
    </w:p>
    <w:p>
      <w:pPr>
        <w:pStyle w:val="HorizontalLine"/>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96"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value of capitalized internal-use software costs for the periods presented below are as follows (in thousands):</w:t>
      </w:r>
    </w:p>
    <w:tbl>
      <w:tblPr>
        <w:tblW w:w="4656" w:type="dxa"/>
        <w:jc w:val="left"/>
        <w:tblInd w:w="0" w:type="dxa"/>
        <w:tblCellMar>
          <w:top w:w="28" w:type="dxa"/>
          <w:left w:w="28" w:type="dxa"/>
          <w:bottom w:w="28" w:type="dxa"/>
          <w:right w:w="28" w:type="dxa"/>
        </w:tblCellMar>
      </w:tblPr>
      <w:tblGrid>
        <w:gridCol w:w="1329"/>
        <w:gridCol w:w="1171"/>
        <w:gridCol w:w="1175"/>
        <w:gridCol w:w="211"/>
        <w:gridCol w:w="616"/>
        <w:gridCol w:w="154"/>
      </w:tblGrid>
      <w:tr>
        <w:trPr/>
        <w:tc>
          <w:tcPr>
            <w:tcW w:w="1329"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3675"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675"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675"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February 1, 2019</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 of internal-use software costs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internal-use software costs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 2020</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 of internal-use software costs</w:t>
            </w:r>
          </w:p>
        </w:tc>
        <w:tc>
          <w:tcPr>
            <w:tcW w:w="9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w:t>
            </w:r>
          </w:p>
        </w:tc>
      </w:tr>
      <w:tr>
        <w:trPr/>
        <w:tc>
          <w:tcPr>
            <w:tcW w:w="3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internal-use software costs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 2021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675"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675"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Prepaid Expenses and Other Current Assets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 (in thousands):</w:t>
      </w:r>
    </w:p>
    <w:tbl>
      <w:tblPr>
        <w:tblW w:w="6384" w:type="dxa"/>
        <w:jc w:val="left"/>
        <w:tblInd w:w="0" w:type="dxa"/>
        <w:tblCellMar>
          <w:top w:w="28" w:type="dxa"/>
          <w:left w:w="28" w:type="dxa"/>
          <w:bottom w:w="28" w:type="dxa"/>
          <w:right w:w="28" w:type="dxa"/>
        </w:tblCellMar>
      </w:tblPr>
      <w:tblGrid>
        <w:gridCol w:w="1424"/>
        <w:gridCol w:w="1248"/>
        <w:gridCol w:w="1258"/>
        <w:gridCol w:w="211"/>
        <w:gridCol w:w="721"/>
        <w:gridCol w:w="109"/>
        <w:gridCol w:w="109"/>
        <w:gridCol w:w="109"/>
        <w:gridCol w:w="109"/>
        <w:gridCol w:w="211"/>
        <w:gridCol w:w="721"/>
        <w:gridCol w:w="154"/>
      </w:tblGrid>
      <w:tr>
        <w:trPr/>
        <w:tc>
          <w:tcPr>
            <w:tcW w:w="1424"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3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costs, current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Accrued Expenses and Other Current Liabilities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consisted of the following (in thousands):</w:t>
      </w:r>
    </w:p>
    <w:tbl>
      <w:tblPr>
        <w:tblW w:w="6714" w:type="dxa"/>
        <w:jc w:val="left"/>
        <w:tblInd w:w="0" w:type="dxa"/>
        <w:tblCellMar>
          <w:top w:w="28" w:type="dxa"/>
          <w:left w:w="28" w:type="dxa"/>
          <w:bottom w:w="28" w:type="dxa"/>
          <w:right w:w="28" w:type="dxa"/>
        </w:tblCellMar>
      </w:tblPr>
      <w:tblGrid>
        <w:gridCol w:w="1541"/>
        <w:gridCol w:w="1358"/>
        <w:gridCol w:w="1361"/>
        <w:gridCol w:w="211"/>
        <w:gridCol w:w="721"/>
        <w:gridCol w:w="109"/>
        <w:gridCol w:w="109"/>
        <w:gridCol w:w="109"/>
        <w:gridCol w:w="109"/>
        <w:gridCol w:w="211"/>
        <w:gridCol w:w="721"/>
        <w:gridCol w:w="154"/>
      </w:tblGrid>
      <w:tr>
        <w:trPr/>
        <w:tc>
          <w:tcPr>
            <w:tcW w:w="1541"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 for fringe benefits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advertising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property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consulting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 xml:space="preserve">Note 6.    Convertible Notes—Related Party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2020 and June 2020, the Company issued convertible promissory notes (collectively, “Convertible Notes”), as discussed below.</w:t>
      </w: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January 2020 Note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2020, the Company issued a 3.5% unsecured senior mandatory convertible promissory note due in 2025 (“January 2020 Convertible Note”) in a private placement to an entity affiliated with the Company’s CEO. The January 2020 Convertible Note with a principal amount of $300 million is a senior, unsecured obligation of the Company. The January 2020 Convertible Note does not contain any financial covenants or place any dividend restrictions on the Company. The January 2020 Convertible Note matures, and would be converted, on January 30, 2025 (“January 2020 Convertible Note Maturity Date”) unless earlier converted as discussed below or redeemed in </w:t>
      </w:r>
    </w:p>
    <w:p>
      <w:pPr>
        <w:pStyle w:val="HorizontalLine"/>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97"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connection with the Company’s bankruptcy, insolvency, or other similar events. The January 2020 Convertible Note bears interest at a fixed rate of 3.5% per annum that will be compounded annually and payable in-kind, resulting in an aggregate $356.3 million being due on settlement (the “January 2020 Convertible Note Settlement Amount”).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conversion rate is 31.6649 shares of the Company’s Class B common stock per $1,000 of the January 2020 Convertible Note Settlement Amount, which equates to a conversion price of $31.58 of the January 2020 Convertible Note Settlement Amount per share. The initial conversion rate is subject to standard anti-dilution adjustments. The holder of the January 2020 Convertible Note is not entitled to convert the January 2020 Convertible Note at any time. The January 2020 Convertible Note is convertible at the option of the Company at any time until the close of business on the second scheduled trading day prior to the January 2020 Convertible Note Maturity Date during any calendar quarter beginning after the date of a public listing of the Company’s Class A common stock on any national securities exchange under the following circumstances: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the closing price of the Company’s Class A common stock for at least 20 trading days in the 30 consecutive trading days ending on the last trading day of the immediately preceding calendar quarter equals or exceeds the conversion price (initially $31.58);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upon the occurrence of specified corporate events as described in the January 2020 Convertible Note.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January 2020 Convertible Note is outstanding as of the January 2020 Convertible Note Maturity Date, it will automatically convert into an number of shares of Class A common stock of the Company at a conversion rate equal to the greater of (i) the initial conversion rate per $1,000 of the January 2020 Convertible Note Settlement Amount, subject to standard anti-dilution adjustments, and (ii) the lesser of (a) $1,000 divided by the volume-weighted average price of the Company’s Class A common stock for the 20 trading days ending on the last trading day immediately preceding the January 2020 Convertible Note Maturity Date and (b) 50.6638 shares per each $1,000 of the January 2020 Convertible Note Settlement Amount, subject to standard anti-dilution adjustments. In the event that a public listing of the Company’s common stock has not occurred by the close of business on the second day prior to the January 2020 Convertible Note Maturity Date, the January 2020 Convertible Note shall convert into shares of the capital stock of the Company’s most recent equity financing, at the lesser of (i) 50.6638 shares per each $1,000 of the January 2020 Convertible Note Settlement Amount, subject to standard anti-dilution adjustments, and (ii) $1,000 divided by the price per share at which such capital stock was sold in the most recent equity financing per each $1,000 of the January 2020 Convertible Note Settlement Amount of the January 2020 Convertible Note.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January 2020 Convertible Note was initially measured and recorded at fair value based on a binomial lattice model, including assumptions associated with the probability of future liquidity events. The excess $97.0 million of the proceeds received from the issuance of the January 2020 Convertible Note over the fair value of the January 2020 Convertible Note was recorded as a capital contribution in additional paid-in capital. The difference between the par value of the January 2020 Convertible Note and the carrying amount represents the debt discount that is amortized to interest expense at an effective interest rate over the term of the January 2020 Convertible Note. Debt issuance costs for the January 2020 Convertible Note were not material.</w:t>
      </w: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June 2020 Note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the Company issued a 3.5% unsecured senior mandatory convertible promissory note due in 2025 (“June 2020 Convertible Note”) in a private placement to an entity affiliated with the Company’s CEO. The June 2020 Convertible Note with a principal amount of $150 million is a senior, unsecured obligation of the Company. The June 2020 Convertible Note does not contain any financial covenants or place any dividend restrictions on the Company. The June 2020 Convertible Note matures, and would be converted, on June 26, 2025 (“June 2020 Convertible Note Maturity Date”) unless earlier converted as discussed below or redeemed in connection with the Company’s bankruptcy, insolvency, or other similar events. The June 2020 Convertible Note bears interest at a fixed rate of 3.5% per annum that will be compounded annually and payable in-kind, resulting in an aggregate $178.2 million being due on settlement (the “June 2020 Convertible Note Settlement Amount”).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initial conversion rate is 32.1658 shares of the Company’s Class B common stock per $1,000 of the June 2020 Convertible Note Settlement Amount, which equates to a conversion price of $31.09 of the June 2020 </w:t>
      </w:r>
    </w:p>
    <w:p>
      <w:pPr>
        <w:pStyle w:val="HorizontalLine"/>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98"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Convertible Note Settlement Amount per share. The initial conversion rate is subject to standard anti-dilution adjustments. The holder of the June 2020 Convertible Note is not entitled to convert the June 2020 Convertible Note at any time. The June 2020 Convertible Note is convertible at the option of the Company at any time until the close of business on the second scheduled trading day prior to the June 2020 Convertible Note Maturity Date during any calendar quarter beginning after the date of a public listing of the Company’s Class A common stock on any national securities exchange under the following circumstances: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the closing price of the Company’s Class A common stock for at least 20 trading days in the 30 consecutive trading days ending on the last trading day of the immediately preceding calendar quarter equals or exceeds the conversion price (initially $31.09);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upon the occurrence of specified corporate events as described in the June 2020 Convertible Note.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June 2020 Convertible Note is outstanding as of the June 2020 Convertible Note Maturity Date, it will automatically convert into an number of shares of Class A common stock of the Company at a conversion rate equal to the greater of (i) the initial conversion rate per $1,000 of the June 2020 Convertible Note Settlement Amount, subject to standard anti-dilution adjustments, and (ii) the lesser of (a) $1,000 divided by the volume-weighted average price of the Company’s Class A common stock for the 20 trading days ending on the last trading day immediately preceding the June 2020 Convertible Note Maturity Date and (b) 51.4653 shares per each $1,000 of the June 2020 Convertible Note Settlement Amount, subject to standard anti-dilution adjustments. In the event that a public listing of the Company’s common stock has not occurred by the close of business on the second day prior to the June 2020 Convertible Note Maturity Date, the June 2020 Convertible Note shall convert into shares of the capital stock of the Company’s most recent equity financing, at the lesser of (i) 51.4653 shares per each $1,000 of the June 2020 Convertible Note Settlement Amount, subject to standard anti-dilution adjustments, and (ii) $1,000 divided by the price per share at which such capital stock was sold in the most recent equity financing per each $1,000 of the June 2020 Convertible Note Settlement Amount of the June 2020 Convertible Note.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June 2020 Convertible Note was initially measured and recorded at fair value based on a binomial lattice model, including assumptions associated with the probability of future liquidity events. The excess $38.0 million of the proceeds received from the issuance of the June 2020 Convertible Note over the fair value of the June 2020 Convertible Note was recorded as a capital contribution in additional paid-in capital. The difference between the par value of the June 2020 Convertible Note and the carrying amount represents the debt discount that is amortized to interest expense at an effective interest rate over the term of the June 2020 Convertible Note. Debt issuance costs for the June 2020 Convertible Note were not material.</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net carrying amount of the Convertible Notes was as follows (in thousands):</w:t>
      </w:r>
    </w:p>
    <w:tbl>
      <w:tblPr>
        <w:tblW w:w="6253" w:type="dxa"/>
        <w:jc w:val="left"/>
        <w:tblInd w:w="0" w:type="dxa"/>
        <w:tblCellMar>
          <w:top w:w="28" w:type="dxa"/>
          <w:left w:w="28" w:type="dxa"/>
          <w:bottom w:w="28" w:type="dxa"/>
          <w:right w:w="28" w:type="dxa"/>
        </w:tblCellMar>
      </w:tblPr>
      <w:tblGrid>
        <w:gridCol w:w="776"/>
        <w:gridCol w:w="681"/>
        <w:gridCol w:w="687"/>
        <w:gridCol w:w="334"/>
        <w:gridCol w:w="1308"/>
        <w:gridCol w:w="172"/>
        <w:gridCol w:w="109"/>
        <w:gridCol w:w="109"/>
        <w:gridCol w:w="109"/>
        <w:gridCol w:w="334"/>
        <w:gridCol w:w="1308"/>
        <w:gridCol w:w="172"/>
        <w:gridCol w:w="154"/>
      </w:tblGrid>
      <w:tr>
        <w:trPr/>
        <w:tc>
          <w:tcPr>
            <w:tcW w:w="776"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2020</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16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w:t>
            </w:r>
          </w:p>
        </w:tc>
        <w:tc>
          <w:tcPr>
            <w:tcW w:w="1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(112,548)</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(96,932)</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expense</w:t>
            </w:r>
          </w:p>
        </w:tc>
        <w:tc>
          <w:tcPr>
            <w:tcW w:w="1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13,709 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351,161 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203,097 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1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4"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1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4"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1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4"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1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4"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99"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amounts, maturity dates, range of shares potentially issuable at maturity, initial conversion price, and shares issuable at maturity for each of the 2020 Notes are presented below (in thousands, except share price):</w:t>
      </w:r>
    </w:p>
    <w:tbl>
      <w:tblPr>
        <w:tblW w:w="10205" w:type="dxa"/>
        <w:jc w:val="left"/>
        <w:tblInd w:w="0" w:type="dxa"/>
        <w:tblCellMar>
          <w:top w:w="28" w:type="dxa"/>
          <w:left w:w="28" w:type="dxa"/>
          <w:bottom w:w="28" w:type="dxa"/>
          <w:right w:w="28" w:type="dxa"/>
        </w:tblCellMar>
      </w:tblPr>
      <w:tblGrid>
        <w:gridCol w:w="755"/>
        <w:gridCol w:w="663"/>
        <w:gridCol w:w="665"/>
        <w:gridCol w:w="333"/>
        <w:gridCol w:w="1306"/>
        <w:gridCol w:w="171"/>
        <w:gridCol w:w="109"/>
        <w:gridCol w:w="109"/>
        <w:gridCol w:w="109"/>
        <w:gridCol w:w="336"/>
        <w:gridCol w:w="336"/>
        <w:gridCol w:w="337"/>
        <w:gridCol w:w="109"/>
        <w:gridCol w:w="109"/>
        <w:gridCol w:w="109"/>
        <w:gridCol w:w="898"/>
        <w:gridCol w:w="898"/>
        <w:gridCol w:w="902"/>
        <w:gridCol w:w="109"/>
        <w:gridCol w:w="109"/>
        <w:gridCol w:w="109"/>
        <w:gridCol w:w="347"/>
        <w:gridCol w:w="1016"/>
        <w:gridCol w:w="261"/>
      </w:tblGrid>
      <w:tr>
        <w:trPr/>
        <w:tc>
          <w:tcPr>
            <w:tcW w:w="755"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r>
      <w:tr>
        <w:trPr/>
        <w:tc>
          <w:tcPr>
            <w:tcW w:w="2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Principal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Range of Shares Potentially Issuable at Maturity</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Initial Conversion Price</w:t>
            </w:r>
            <w:r>
              <w:rPr>
                <w:rFonts w:ascii="Times New Roman;sans-serif" w:hAnsi="Times New Roman;sans-serif"/>
                <w:b/>
                <w:color w:val="000000"/>
                <w:sz w:val="10"/>
              </w:rPr>
              <w:t>(1)</w:t>
            </w:r>
          </w:p>
        </w:tc>
      </w:tr>
      <w:tr>
        <w:trPr/>
        <w:tc>
          <w:tcPr>
            <w:tcW w:w="20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2020 Convertible Note</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11,282 - 18,052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2020 Convertible Note</w:t>
            </w:r>
          </w:p>
        </w:tc>
        <w:tc>
          <w:tcPr>
            <w:tcW w:w="16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8"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5,731 - 9,169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17,013 - 27,221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w:t>
      </w:r>
    </w:p>
    <w:p>
      <w:pPr>
        <w:pStyle w:val="TextBody"/>
        <w:spacing w:lineRule="auto" w:line="288" w:before="0" w:after="0"/>
        <w:ind w:left="0" w:right="0" w:hanging="360"/>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Subject to customary anti-dilution and other adjustments.</w:t>
      </w:r>
    </w:p>
    <w:p>
      <w:pPr>
        <w:pStyle w:val="TextBody"/>
        <w:spacing w:before="0" w:after="180"/>
        <w:ind w:left="0" w:right="0" w:firstLine="360"/>
        <w:jc w:val="both"/>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Convertible Notes was as follows (in thousands):</w:t>
      </w:r>
    </w:p>
    <w:tbl>
      <w:tblPr>
        <w:tblW w:w="5712" w:type="dxa"/>
        <w:jc w:val="left"/>
        <w:tblInd w:w="0" w:type="dxa"/>
        <w:tblCellMar>
          <w:top w:w="28" w:type="dxa"/>
          <w:left w:w="28" w:type="dxa"/>
          <w:bottom w:w="28" w:type="dxa"/>
          <w:right w:w="28" w:type="dxa"/>
        </w:tblCellMar>
      </w:tblPr>
      <w:tblGrid>
        <w:gridCol w:w="929"/>
        <w:gridCol w:w="816"/>
        <w:gridCol w:w="820"/>
        <w:gridCol w:w="211"/>
        <w:gridCol w:w="721"/>
        <w:gridCol w:w="109"/>
        <w:gridCol w:w="109"/>
        <w:gridCol w:w="109"/>
        <w:gridCol w:w="109"/>
        <w:gridCol w:w="211"/>
        <w:gridCol w:w="361"/>
        <w:gridCol w:w="109"/>
        <w:gridCol w:w="109"/>
        <w:gridCol w:w="109"/>
        <w:gridCol w:w="109"/>
        <w:gridCol w:w="211"/>
        <w:gridCol w:w="406"/>
        <w:gridCol w:w="154"/>
      </w:tblGrid>
      <w:tr>
        <w:trPr/>
        <w:tc>
          <w:tcPr>
            <w:tcW w:w="929"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ind w:left="0" w:right="0" w:hanging="900"/>
        <w:rPr>
          <w:rFonts w:ascii="Times New Roman;sans-serif" w:hAnsi="Times New Roman;sans-serif"/>
          <w:b/>
          <w:color w:val="000000"/>
          <w:sz w:val="20"/>
        </w:rPr>
      </w:pPr>
      <w:r>
        <w:rPr>
          <w:rFonts w:ascii="Times New Roman;sans-serif" w:hAnsi="Times New Roman;sans-serif"/>
          <w:b/>
          <w:color w:val="000000"/>
          <w:sz w:val="20"/>
        </w:rPr>
        <w:t xml:space="preserve">Note 7. Debt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2020, the Company entered into a five-year $40.0 million term loan agreement with Silicon Valley Bank. The agreement provides for a senior secured term loan facility, in an aggregate principal amount of up to $40.0 million to be used for the construction of the Company’s new corporate headquarters. Interest will accrue on any outstanding balance at a floating rate per annum equal to the prime rate (per the Wall Street Journal) plus an applicable margin equal to either (a) 0% if the Company’s unrestricted cash at the lender is equal to or less than $80.0 million, or (b) (0.5)% if the Company’s unrestricted cash at the lender is between $80.0 million and $100.0 million, or (c) (1.0)% if the Company’s unrestricted cash balance at the lender is equal to or greater than $100.0 million. Interest shall be payable monthly.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certain customary affirmative and negative covenants, including maintaining Remaining Month Liquidity (“RML”) of at least six at all times, with an unrestricted cash bank of $60 million. RML is defined as the ratio of (i) unrestricted cash at Silicon Valley Bank, plus (ii) the aggregate amount of unrestricted cash held by the Company in deposit accounts in which Silicon Valley Bank obtains control, divided by (iii) the average monthly burn on a trailing six-month basis. Other negative covenants include a limit on the Company's ability to incur additional indebtedness, dispose of assets, engage in certain merger or acquisition transactions, pay dividends or make distributions, and certain other restrictions on the Company's activities each defined specifically in the agreement.</w:t>
      </w:r>
    </w:p>
    <w:p>
      <w:pPr>
        <w:pStyle w:val="TextBody"/>
        <w:spacing w:lineRule="auto" w:line="288" w:before="0" w:after="180"/>
        <w:ind w:left="0" w:right="0" w:firstLine="360"/>
        <w:jc w:val="both"/>
        <w:rPr/>
      </w:pPr>
      <w:r>
        <w:rPr>
          <w:rFonts w:ascii="Times New Roman;sans-serif" w:hAnsi="Times New Roman;sans-serif"/>
          <w:b w:val="false"/>
          <w:color w:val="000000"/>
          <w:sz w:val="20"/>
        </w:rPr>
        <w:t>As of January 31, 2021</w:t>
      </w:r>
      <w:r>
        <w:rPr>
          <w:rFonts w:ascii="Times New Roman;sans-serif" w:hAnsi="Times New Roman;sans-serif"/>
          <w:b w:val="false"/>
          <w:color w:val="000000"/>
          <w:sz w:val="20"/>
          <w:highlight w:val="white"/>
        </w:rPr>
        <w:t>, $31.0 million</w:t>
      </w:r>
      <w:r>
        <w:rPr>
          <w:color w:val="000000"/>
        </w:rPr>
        <w:t xml:space="preserve"> </w:t>
      </w:r>
      <w:r>
        <w:rPr>
          <w:rFonts w:ascii="Times New Roman;sans-serif" w:hAnsi="Times New Roman;sans-serif"/>
          <w:b w:val="false"/>
          <w:color w:val="000000"/>
          <w:sz w:val="20"/>
        </w:rPr>
        <w:t>was drawn and outstanding under this term loan. As of January 31, 2021, the Company was in compliance with all financial covenants related to the term loan.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net carrying amount of the term loan was as follows (in thousands):</w:t>
      </w:r>
    </w:p>
    <w:tbl>
      <w:tblPr>
        <w:tblW w:w="3845" w:type="dxa"/>
        <w:jc w:val="left"/>
        <w:tblInd w:w="0" w:type="dxa"/>
        <w:tblCellMar>
          <w:top w:w="28" w:type="dxa"/>
          <w:left w:w="28" w:type="dxa"/>
          <w:bottom w:w="28" w:type="dxa"/>
          <w:right w:w="28" w:type="dxa"/>
        </w:tblCellMar>
      </w:tblPr>
      <w:tblGrid>
        <w:gridCol w:w="999"/>
        <w:gridCol w:w="876"/>
        <w:gridCol w:w="884"/>
        <w:gridCol w:w="211"/>
        <w:gridCol w:w="721"/>
        <w:gridCol w:w="154"/>
      </w:tblGrid>
      <w:tr>
        <w:trPr/>
        <w:tc>
          <w:tcPr>
            <w:tcW w:w="999"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loan issuance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100"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3005" w:type="dxa"/>
        <w:jc w:val="left"/>
        <w:tblInd w:w="0" w:type="dxa"/>
        <w:tblCellMar>
          <w:top w:w="28" w:type="dxa"/>
          <w:left w:w="28" w:type="dxa"/>
          <w:bottom w:w="28" w:type="dxa"/>
          <w:right w:w="28" w:type="dxa"/>
        </w:tblCellMar>
      </w:tblPr>
      <w:tblGrid>
        <w:gridCol w:w="696"/>
        <w:gridCol w:w="610"/>
        <w:gridCol w:w="613"/>
        <w:gridCol w:w="211"/>
        <w:gridCol w:w="721"/>
        <w:gridCol w:w="154"/>
      </w:tblGrid>
      <w:tr>
        <w:trPr/>
        <w:tc>
          <w:tcPr>
            <w:tcW w:w="696"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Term loan, current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noncurrent</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ind w:left="0" w:right="0" w:hanging="900"/>
        <w:rPr>
          <w:rFonts w:ascii="Times New Roman;sans-serif" w:hAnsi="Times New Roman;sans-serif"/>
          <w:b/>
          <w:color w:val="000000"/>
          <w:sz w:val="20"/>
        </w:rPr>
      </w:pPr>
      <w:r>
        <w:rPr>
          <w:rFonts w:ascii="Times New Roman;sans-serif" w:hAnsi="Times New Roman;sans-serif"/>
          <w:b/>
          <w:color w:val="000000"/>
          <w:sz w:val="20"/>
        </w:rPr>
        <w:t>Note 8.    Commitments and Contingencies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Standby Letters of Credit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2021 and 2020, the Company had several letters of credit outstanding related to its operating leases totaling $21.7 million and $4.7 million, respectively. The letters of credit expire at various dates between 2021 and 2034 as of January 31, 2021 and between 2021 to 2023 as of January 31, 2020. None and $4.7 million of the standby letters of credit are included in restricted cash, noncurrent as of January 31, 2021 and 2020, respectively.</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spacing w:lineRule="auto" w:line="288" w:before="0" w:after="180"/>
        <w:ind w:left="0" w:right="0" w:firstLine="360"/>
        <w:jc w:val="both"/>
        <w:rPr/>
      </w:pPr>
      <w:r>
        <w:rPr>
          <w:rFonts w:ascii="Times New Roman;sans-serif" w:hAnsi="Times New Roman;sans-serif"/>
          <w:b w:val="false"/>
          <w:color w:val="000000"/>
          <w:sz w:val="20"/>
        </w:rPr>
        <w:t>In January 2021, the Company entered into a 60-month contract with Amazon Web Services for hosting-related services. Pursuant to the terms of the contract, the Company is required to spend a minimum of $103.5 million over the term of the agreement, including $18.0 million within the first year. As of January 31, 2021, the Company ha</w:t>
      </w:r>
      <w:r>
        <w:rPr>
          <w:rFonts w:ascii="Times New Roman;sans-serif" w:hAnsi="Times New Roman;sans-serif"/>
          <w:b w:val="false"/>
          <w:color w:val="000000"/>
          <w:sz w:val="20"/>
          <w:highlight w:val="white"/>
        </w:rPr>
        <w:t>d $103.5 million</w:t>
      </w:r>
      <w:r>
        <w:rPr>
          <w:color w:val="000000"/>
        </w:rPr>
        <w:t xml:space="preserve"> </w:t>
      </w:r>
      <w:r>
        <w:rPr>
          <w:rFonts w:ascii="Times New Roman;sans-serif" w:hAnsi="Times New Roman;sans-serif"/>
          <w:b w:val="false"/>
          <w:color w:val="000000"/>
          <w:sz w:val="20"/>
        </w:rPr>
        <w:t xml:space="preserve">remaining on the commitment.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Capital Commitments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January 31, 2021, the Company entered into multiple agreements with a construction company related to the build-out of the Company’s new corporate headquarters (see Note 9, “Leases”). The cumulative contract value is $71.1 million, and as of January 31, 2021, $32.3 million remains unpaid under these agreements, of which $9.5 million has been recorded on the Company’s consolidated balance sheet within accounts payable or accrued expenses and other liabilities.</w:t>
      </w: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Indemnification Agreements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indemnification agreements with its directors and officers that may require the Company to indemnify its directors and officers against any liabilities that may arise by reason of their status or service as directors or officers, other than liabilities arising from willful misconduct of the individual.</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in the ordinary course of business, the Company enters into agreements of varying scope and terms pursuant to which it agrees to indemnify customers,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For the years ended January 31, 2021 and 2020, no demands have been made upon the Company to provide indemnification under such agreements, and there are no claims that the Company is aware of that could have a material adverse effect on its financial position, results of operations, or cash flows.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in the normal course of business, the Company may be subject to various claims and other legal matters arising in the ordinary course of business. As of January 31, 2021 and 2020, the Company believes that none of its current legal proceedings would have a material adverse effect on its financial position, results of operations,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ind w:left="0" w:right="0" w:hanging="900"/>
        <w:rPr>
          <w:rFonts w:ascii="Times New Roman;sans-serif" w:hAnsi="Times New Roman;sans-serif"/>
          <w:b/>
          <w:color w:val="000000"/>
          <w:sz w:val="20"/>
        </w:rPr>
      </w:pPr>
      <w:r>
        <w:rPr>
          <w:rFonts w:ascii="Times New Roman;sans-serif" w:hAnsi="Times New Roman;sans-serif"/>
          <w:b/>
          <w:color w:val="000000"/>
          <w:sz w:val="20"/>
        </w:rPr>
        <w:t>Note 9.    Leases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real estate facilities under non-cancelable operating leases with various expiration dates through fiscal 2034. The Company has no lease agreements that are classified as finance leases.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Rent expense, net of sublease income under ASC 840 was $5.8 million for the year ended January 31, 2019.</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lease term, and discount rate for operating leases are as follows:</w:t>
      </w:r>
    </w:p>
    <w:p>
      <w:pPr>
        <w:pStyle w:val="HorizontalLine"/>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101"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7121" w:type="dxa"/>
        <w:jc w:val="left"/>
        <w:tblInd w:w="0" w:type="dxa"/>
        <w:tblCellMar>
          <w:top w:w="28" w:type="dxa"/>
          <w:left w:w="28" w:type="dxa"/>
          <w:bottom w:w="28" w:type="dxa"/>
          <w:right w:w="28" w:type="dxa"/>
        </w:tblCellMar>
      </w:tblPr>
      <w:tblGrid>
        <w:gridCol w:w="1491"/>
        <w:gridCol w:w="1312"/>
        <w:gridCol w:w="1322"/>
        <w:gridCol w:w="211"/>
        <w:gridCol w:w="721"/>
        <w:gridCol w:w="271"/>
        <w:gridCol w:w="109"/>
        <w:gridCol w:w="109"/>
        <w:gridCol w:w="109"/>
        <w:gridCol w:w="211"/>
        <w:gridCol w:w="721"/>
        <w:gridCol w:w="271"/>
        <w:gridCol w:w="109"/>
        <w:gridCol w:w="154"/>
      </w:tblGrid>
      <w:tr>
        <w:trPr/>
        <w:tc>
          <w:tcPr>
            <w:tcW w:w="1491"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c>
          <w:tcPr>
            <w:tcW w:w="263" w:type="dxa"/>
            <w:gridSpan w:val="2"/>
            <w:tcBorders/>
            <w:shd w:fill="auto" w:val="clear"/>
          </w:tcPr>
          <w:p>
            <w:pPr>
              <w:pStyle w:val="TableContents"/>
              <w:spacing w:before="0" w:after="283"/>
              <w:rPr>
                <w:sz w:val="4"/>
                <w:szCs w:val="4"/>
              </w:rPr>
            </w:pPr>
            <w:r>
              <w:rPr>
                <w:sz w:val="4"/>
                <w:szCs w:val="4"/>
              </w:rPr>
            </w:r>
          </w:p>
        </w:tc>
      </w:tr>
      <w:tr>
        <w:trPr/>
        <w:tc>
          <w:tcPr>
            <w:tcW w:w="4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 (in thousands)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costs (in thousands)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 (in thousands)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12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operating leases are as follows (in thousands):</w:t>
      </w:r>
    </w:p>
    <w:tbl>
      <w:tblPr>
        <w:tblW w:w="9407" w:type="dxa"/>
        <w:jc w:val="left"/>
        <w:tblInd w:w="0" w:type="dxa"/>
        <w:tblCellMar>
          <w:top w:w="28" w:type="dxa"/>
          <w:left w:w="28" w:type="dxa"/>
          <w:bottom w:w="28" w:type="dxa"/>
          <w:right w:w="28" w:type="dxa"/>
        </w:tblCellMar>
      </w:tblPr>
      <w:tblGrid>
        <w:gridCol w:w="2404"/>
        <w:gridCol w:w="2107"/>
        <w:gridCol w:w="2119"/>
        <w:gridCol w:w="211"/>
        <w:gridCol w:w="826"/>
        <w:gridCol w:w="109"/>
        <w:gridCol w:w="109"/>
        <w:gridCol w:w="109"/>
        <w:gridCol w:w="109"/>
        <w:gridCol w:w="211"/>
        <w:gridCol w:w="721"/>
        <w:gridCol w:w="109"/>
        <w:gridCol w:w="109"/>
        <w:gridCol w:w="154"/>
      </w:tblGrid>
      <w:tr>
        <w:trPr/>
        <w:tc>
          <w:tcPr>
            <w:tcW w:w="2404" w:type="dxa"/>
            <w:tcBorders/>
            <w:shd w:fill="auto" w:val="clear"/>
            <w:vAlign w:val="center"/>
          </w:tcPr>
          <w:p>
            <w:pPr>
              <w:pStyle w:val="TableContents"/>
              <w:spacing w:before="0" w:after="283"/>
              <w:rPr>
                <w:sz w:val="4"/>
                <w:szCs w:val="4"/>
              </w:rPr>
            </w:pPr>
            <w:r>
              <w:rPr>
                <w:sz w:val="4"/>
                <w:szCs w:val="4"/>
              </w:rPr>
            </w:r>
          </w:p>
        </w:tc>
        <w:tc>
          <w:tcPr>
            <w:tcW w:w="2107" w:type="dxa"/>
            <w:tcBorders/>
            <w:shd w:fill="auto" w:val="clear"/>
            <w:vAlign w:val="center"/>
          </w:tcPr>
          <w:p>
            <w:pPr>
              <w:pStyle w:val="TableContents"/>
              <w:spacing w:before="0" w:after="283"/>
              <w:rPr>
                <w:sz w:val="4"/>
                <w:szCs w:val="4"/>
              </w:rPr>
            </w:pPr>
            <w:r>
              <w:rPr>
                <w:sz w:val="4"/>
                <w:szCs w:val="4"/>
              </w:rPr>
            </w:r>
          </w:p>
        </w:tc>
        <w:tc>
          <w:tcPr>
            <w:tcW w:w="21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c>
          <w:tcPr>
            <w:tcW w:w="263" w:type="dxa"/>
            <w:gridSpan w:val="2"/>
            <w:tcBorders/>
            <w:shd w:fill="auto" w:val="clear"/>
          </w:tcPr>
          <w:p>
            <w:pPr>
              <w:pStyle w:val="TableContents"/>
              <w:spacing w:before="0" w:after="283"/>
              <w:rPr>
                <w:sz w:val="4"/>
                <w:szCs w:val="4"/>
              </w:rPr>
            </w:pPr>
            <w:r>
              <w:rPr>
                <w:sz w:val="4"/>
                <w:szCs w:val="4"/>
              </w:rPr>
            </w:r>
          </w:p>
        </w:tc>
      </w:tr>
      <w:tr>
        <w:trPr/>
        <w:tc>
          <w:tcPr>
            <w:tcW w:w="6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3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3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3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3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3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3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(net of tenant improvement receivables) under non-cancelable operating leases with initial lease terms in excess of one year included in the Company’s lease liabilities as of January 31, 2021, are as follows (in thousands):</w:t>
      </w:r>
    </w:p>
    <w:tbl>
      <w:tblPr>
        <w:tblW w:w="5909" w:type="dxa"/>
        <w:jc w:val="left"/>
        <w:tblInd w:w="0" w:type="dxa"/>
        <w:tblCellMar>
          <w:top w:w="28" w:type="dxa"/>
          <w:left w:w="28" w:type="dxa"/>
          <w:bottom w:w="28" w:type="dxa"/>
          <w:right w:w="28" w:type="dxa"/>
        </w:tblCellMar>
      </w:tblPr>
      <w:tblGrid>
        <w:gridCol w:w="1376"/>
        <w:gridCol w:w="1211"/>
        <w:gridCol w:w="1222"/>
        <w:gridCol w:w="372"/>
        <w:gridCol w:w="1457"/>
        <w:gridCol w:w="271"/>
      </w:tblGrid>
      <w:tr>
        <w:trPr/>
        <w:tc>
          <w:tcPr>
            <w:tcW w:w="1376"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45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r>
      <w:tr>
        <w:trPr/>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Ending January 31:</w:t>
            </w:r>
          </w:p>
        </w:tc>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 Payments</w:t>
            </w:r>
          </w:p>
        </w:tc>
      </w:tr>
      <w:tr>
        <w:trPr/>
        <w:tc>
          <w:tcPr>
            <w:tcW w:w="38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8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8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8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and thereafter</w:t>
            </w:r>
          </w:p>
        </w:tc>
        <w:tc>
          <w:tcPr>
            <w:tcW w:w="18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281,347 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operating lease payments</w:t>
            </w:r>
          </w:p>
        </w:tc>
        <w:tc>
          <w:tcPr>
            <w:tcW w:w="18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376,316 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8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(171,128)</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205,188 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auto" w:val="clear"/>
            <w:vAlign w:val="center"/>
          </w:tcPr>
          <w:p>
            <w:pPr>
              <w:pStyle w:val="TableContents"/>
              <w:spacing w:before="0" w:after="283"/>
              <w:rPr>
                <w:sz w:val="4"/>
                <w:szCs w:val="4"/>
              </w:rPr>
            </w:pPr>
            <w:r>
              <w:rPr>
                <w:sz w:val="4"/>
                <w:szCs w:val="4"/>
              </w:rPr>
            </w:r>
          </w:p>
        </w:tc>
        <w:tc>
          <w:tcPr>
            <w:tcW w:w="210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The Company has an operating lease arrangement for office space in San Francisco, which commenced in May 2020 and expires in October 2033. As part of the agreement, the Company was required to issue a $17.0 million letter of credit upon access to the office space, which occurred in the year ended January 31, 2021. The Company participated in the construction of the office space and has incurred construction costs to prepare the office space for its use, which will be partially reimbursed by the landlord. </w:t>
      </w:r>
      <w:r>
        <w:rPr>
          <w:rFonts w:ascii="Times New Roman;sans-serif" w:hAnsi="Times New Roman;sans-serif"/>
          <w:b w:val="false"/>
          <w:color w:val="000000"/>
          <w:sz w:val="20"/>
          <w:highlight w:val="white"/>
        </w:rPr>
        <w:t xml:space="preserve">During the </w:t>
      </w:r>
      <w:r>
        <w:rPr>
          <w:rFonts w:ascii="Times New Roman;sans-serif" w:hAnsi="Times New Roman;sans-serif"/>
          <w:b w:val="false"/>
          <w:color w:val="000000"/>
          <w:sz w:val="20"/>
        </w:rPr>
        <w:t>year ended January 31, 2021</w:t>
      </w:r>
      <w:r>
        <w:rPr>
          <w:rFonts w:ascii="Times New Roman;sans-serif" w:hAnsi="Times New Roman;sans-serif"/>
          <w:b w:val="false"/>
          <w:color w:val="000000"/>
          <w:sz w:val="20"/>
          <w:highlight w:val="white"/>
        </w:rPr>
        <w:t xml:space="preserve">, all three phases of this lease commenced, and as a result, the Company recognized total ROU assets of $175.5 million, with corresponding operating lease liabilities of $173.4 million, on the consolidated balance sheet as of the respective commencement dates of the three phases. The Company expects to incur a total of approximately $404.1 million of future minimum payments and capital commitments, net of tenant improvement receivables as of January 31, 2021, inclusive of $363.7 million of net lease payments included in the future minimum lease payments table above and the remaining capital commitments </w:t>
      </w:r>
      <w:r>
        <w:rPr>
          <w:rFonts w:ascii="Times New Roman;sans-serif" w:hAnsi="Times New Roman;sans-serif"/>
          <w:b w:val="false"/>
          <w:color w:val="000000"/>
          <w:sz w:val="20"/>
        </w:rPr>
        <w:t xml:space="preserve">related to the build-out of the Company’s new corporate headquarters </w:t>
      </w:r>
      <w:r>
        <w:rPr>
          <w:rFonts w:ascii="Times New Roman;sans-serif" w:hAnsi="Times New Roman;sans-serif"/>
          <w:b w:val="false"/>
          <w:color w:val="000000"/>
          <w:sz w:val="20"/>
          <w:highlight w:val="white"/>
        </w:rPr>
        <w:t>referenced in Note 8. “Commitments and Contingencies”.</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Additionally, in April 2020, the Company amended the lease arrangement to include a fee for access to additional shared space, for which future payments total $3.9 million.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102"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Note 10. Net Loss per Share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basic and diluted net loss per share (in thousands, except per share data):</w:t>
      </w:r>
    </w:p>
    <w:tbl>
      <w:tblPr>
        <w:tblW w:w="10205" w:type="dxa"/>
        <w:jc w:val="left"/>
        <w:tblInd w:w="0" w:type="dxa"/>
        <w:tblCellMar>
          <w:top w:w="28" w:type="dxa"/>
          <w:left w:w="28" w:type="dxa"/>
          <w:bottom w:w="28" w:type="dxa"/>
          <w:right w:w="28" w:type="dxa"/>
        </w:tblCellMar>
      </w:tblPr>
      <w:tblGrid>
        <w:gridCol w:w="2153"/>
        <w:gridCol w:w="1896"/>
        <w:gridCol w:w="1922"/>
        <w:gridCol w:w="211"/>
        <w:gridCol w:w="892"/>
        <w:gridCol w:w="109"/>
        <w:gridCol w:w="109"/>
        <w:gridCol w:w="109"/>
        <w:gridCol w:w="109"/>
        <w:gridCol w:w="211"/>
        <w:gridCol w:w="892"/>
        <w:gridCol w:w="109"/>
        <w:gridCol w:w="109"/>
        <w:gridCol w:w="109"/>
        <w:gridCol w:w="109"/>
        <w:gridCol w:w="211"/>
        <w:gridCol w:w="787"/>
        <w:gridCol w:w="158"/>
      </w:tblGrid>
      <w:tr>
        <w:trPr/>
        <w:tc>
          <w:tcPr>
            <w:tcW w:w="2153" w:type="dxa"/>
            <w:tcBorders/>
            <w:shd w:fill="auto" w:val="clear"/>
            <w:vAlign w:val="center"/>
          </w:tcPr>
          <w:p>
            <w:pPr>
              <w:pStyle w:val="TableContents"/>
              <w:spacing w:before="0" w:after="283"/>
              <w:rPr>
                <w:sz w:val="4"/>
                <w:szCs w:val="4"/>
              </w:rPr>
            </w:pPr>
            <w:r>
              <w:rPr>
                <w:sz w:val="4"/>
                <w:szCs w:val="4"/>
              </w:rPr>
            </w:r>
          </w:p>
        </w:tc>
        <w:tc>
          <w:tcPr>
            <w:tcW w:w="1896" w:type="dxa"/>
            <w:tcBorders/>
            <w:shd w:fill="auto" w:val="clear"/>
            <w:vAlign w:val="center"/>
          </w:tcPr>
          <w:p>
            <w:pPr>
              <w:pStyle w:val="TableContents"/>
              <w:spacing w:before="0" w:after="283"/>
              <w:rPr>
                <w:sz w:val="4"/>
                <w:szCs w:val="4"/>
              </w:rPr>
            </w:pPr>
            <w:r>
              <w:rPr>
                <w:sz w:val="4"/>
                <w:szCs w:val="4"/>
              </w:rPr>
            </w:r>
          </w:p>
        </w:tc>
        <w:tc>
          <w:tcPr>
            <w:tcW w:w="19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59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9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(50,928)</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calculating net loss per share, basic and diluted</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w:t>
            </w:r>
          </w:p>
        </w:tc>
        <w:tc>
          <w:tcPr>
            <w:tcW w:w="1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potential shares of common stock that were excluded from the computation of diluted net loss per share for the period presented because including them would have been anti-dilutive are as follows (in thousands):</w:t>
      </w:r>
    </w:p>
    <w:tbl>
      <w:tblPr>
        <w:tblW w:w="9273" w:type="dxa"/>
        <w:jc w:val="left"/>
        <w:tblInd w:w="0" w:type="dxa"/>
        <w:tblCellMar>
          <w:top w:w="28" w:type="dxa"/>
          <w:left w:w="28" w:type="dxa"/>
          <w:bottom w:w="28" w:type="dxa"/>
          <w:right w:w="28" w:type="dxa"/>
        </w:tblCellMar>
      </w:tblPr>
      <w:tblGrid>
        <w:gridCol w:w="2039"/>
        <w:gridCol w:w="1788"/>
        <w:gridCol w:w="1798"/>
        <w:gridCol w:w="360"/>
        <w:gridCol w:w="361"/>
        <w:gridCol w:w="156"/>
        <w:gridCol w:w="125"/>
        <w:gridCol w:w="125"/>
        <w:gridCol w:w="125"/>
        <w:gridCol w:w="412"/>
        <w:gridCol w:w="414"/>
        <w:gridCol w:w="156"/>
        <w:gridCol w:w="125"/>
        <w:gridCol w:w="125"/>
        <w:gridCol w:w="125"/>
        <w:gridCol w:w="412"/>
        <w:gridCol w:w="414"/>
        <w:gridCol w:w="213"/>
      </w:tblGrid>
      <w:tr>
        <w:trPr/>
        <w:tc>
          <w:tcPr>
            <w:tcW w:w="2039" w:type="dxa"/>
            <w:tcBorders/>
            <w:shd w:fill="auto" w:val="clear"/>
            <w:vAlign w:val="center"/>
          </w:tcPr>
          <w:p>
            <w:pPr>
              <w:pStyle w:val="TableContents"/>
              <w:spacing w:before="0" w:after="283"/>
              <w:rPr>
                <w:sz w:val="4"/>
                <w:szCs w:val="4"/>
              </w:rPr>
            </w:pPr>
            <w:r>
              <w:rPr>
                <w:sz w:val="4"/>
                <w:szCs w:val="4"/>
              </w:rPr>
            </w:r>
          </w:p>
        </w:tc>
        <w:tc>
          <w:tcPr>
            <w:tcW w:w="1788" w:type="dxa"/>
            <w:tcBorders/>
            <w:shd w:fill="auto" w:val="clear"/>
            <w:vAlign w:val="center"/>
          </w:tcPr>
          <w:p>
            <w:pPr>
              <w:pStyle w:val="TableContents"/>
              <w:spacing w:before="0" w:after="283"/>
              <w:rPr>
                <w:sz w:val="4"/>
                <w:szCs w:val="4"/>
              </w:rPr>
            </w:pPr>
            <w:r>
              <w:rPr>
                <w:sz w:val="4"/>
                <w:szCs w:val="4"/>
              </w:rPr>
            </w:r>
          </w:p>
        </w:tc>
        <w:tc>
          <w:tcPr>
            <w:tcW w:w="179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5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5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73,547 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33,878 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Early exercised stock options</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pursuant to the 2020 Employee Stock Purchase Plan</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 warrants</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109,578 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108,243 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17,012,822, 18,051,810, and zero shares of the Company’s Class B common stock underlying the conversion option in the Convertible Notes are not considered in the calculation of diluted net loss per share as the effect would be anti-dilutive for the years ended January 31, 2021, 2020 and 2019.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Note 11. Stockholders’ Deficit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two classes of common stock that total 1,500,000,000 authorized shares: 1,000,000,000 authorized shares of Class A common stock and 500,000,000 authorized shares of Class B common stock. The rights of the holders of Class A common stock and Class B common stock are identical, except with respect to voting and conversion. Each share of Class A common stock is entitled to one vote per share. Each share of Class B common stock is entitled to 10 votes per share and is convertible into one share of Class A common stock. There are 82,688,655 shares of Class A common stock and 78,791,452 shares of class B common stock issued and outstanding as of January 31, 2021. There are 15,498,109 shares of Class A common stock and 61,189,400 shares of Class B common stock issued and outstanding as of January 31, 2020. </w:t>
      </w:r>
    </w:p>
    <w:p>
      <w:pPr>
        <w:pStyle w:val="HorizontalLine"/>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103"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Redeemable Convertible Preferred Stock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completion of the Direct Listing in September 2020, all shares of redeemable convertible preferred stock then outstanding were converted into 73,577,455 shares of Class B common stock.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redeemable convertible preferred stock as of January 31, 2020 (in thousands, except per share amounts):</w:t>
      </w:r>
    </w:p>
    <w:tbl>
      <w:tblPr>
        <w:tblW w:w="10205" w:type="dxa"/>
        <w:jc w:val="left"/>
        <w:tblInd w:w="0" w:type="dxa"/>
        <w:tblCellMar>
          <w:top w:w="28" w:type="dxa"/>
          <w:left w:w="28" w:type="dxa"/>
          <w:bottom w:w="28" w:type="dxa"/>
          <w:right w:w="28" w:type="dxa"/>
        </w:tblCellMar>
      </w:tblPr>
      <w:tblGrid>
        <w:gridCol w:w="285"/>
        <w:gridCol w:w="249"/>
        <w:gridCol w:w="252"/>
        <w:gridCol w:w="518"/>
        <w:gridCol w:w="461"/>
        <w:gridCol w:w="462"/>
        <w:gridCol w:w="109"/>
        <w:gridCol w:w="109"/>
        <w:gridCol w:w="109"/>
        <w:gridCol w:w="657"/>
        <w:gridCol w:w="657"/>
        <w:gridCol w:w="659"/>
        <w:gridCol w:w="109"/>
        <w:gridCol w:w="109"/>
        <w:gridCol w:w="109"/>
        <w:gridCol w:w="491"/>
        <w:gridCol w:w="944"/>
        <w:gridCol w:w="255"/>
        <w:gridCol w:w="109"/>
        <w:gridCol w:w="109"/>
        <w:gridCol w:w="109"/>
        <w:gridCol w:w="240"/>
        <w:gridCol w:w="941"/>
        <w:gridCol w:w="124"/>
        <w:gridCol w:w="109"/>
        <w:gridCol w:w="109"/>
        <w:gridCol w:w="109"/>
        <w:gridCol w:w="299"/>
        <w:gridCol w:w="1175"/>
        <w:gridCol w:w="228"/>
      </w:tblGrid>
      <w:tr>
        <w:trPr/>
        <w:tc>
          <w:tcPr>
            <w:tcW w:w="285"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Authorized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issued and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 Share Price at Issuance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Liquidation Preference</w:t>
            </w:r>
          </w:p>
        </w:tc>
      </w:tr>
      <w:tr>
        <w:trPr/>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1</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w:t>
            </w:r>
          </w:p>
        </w:tc>
        <w:tc>
          <w:tcPr>
            <w:tcW w:w="9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20,771 </w:t>
            </w:r>
          </w:p>
        </w:tc>
        <w:tc>
          <w:tcPr>
            <w:tcW w:w="4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20,771 </w:t>
            </w:r>
          </w:p>
        </w:tc>
        <w:tc>
          <w:tcPr>
            <w:tcW w:w="6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10,416 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10,512 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A-1</w:t>
            </w:r>
          </w:p>
        </w:tc>
        <w:tc>
          <w:tcPr>
            <w:tcW w:w="9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20,771 </w:t>
            </w:r>
          </w:p>
        </w:tc>
        <w:tc>
          <w:tcPr>
            <w:tcW w:w="4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w:t>
            </w:r>
          </w:p>
        </w:tc>
        <w:tc>
          <w:tcPr>
            <w:tcW w:w="9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4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10,478 </w:t>
            </w:r>
          </w:p>
        </w:tc>
        <w:tc>
          <w:tcPr>
            <w:tcW w:w="6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28,375 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B-1</w:t>
            </w:r>
          </w:p>
        </w:tc>
        <w:tc>
          <w:tcPr>
            <w:tcW w:w="9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4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C</w:t>
            </w:r>
          </w:p>
        </w:tc>
        <w:tc>
          <w:tcPr>
            <w:tcW w:w="9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21,000 </w:t>
            </w:r>
          </w:p>
        </w:tc>
        <w:tc>
          <w:tcPr>
            <w:tcW w:w="4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20,186 </w:t>
            </w:r>
          </w:p>
        </w:tc>
        <w:tc>
          <w:tcPr>
            <w:tcW w:w="6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85,980 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86,112 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C-1</w:t>
            </w:r>
          </w:p>
        </w:tc>
        <w:tc>
          <w:tcPr>
            <w:tcW w:w="9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21,000 </w:t>
            </w:r>
          </w:p>
        </w:tc>
        <w:tc>
          <w:tcPr>
            <w:tcW w:w="4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w:t>
            </w:r>
          </w:p>
        </w:tc>
        <w:tc>
          <w:tcPr>
            <w:tcW w:w="9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4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14,353 </w:t>
            </w:r>
          </w:p>
        </w:tc>
        <w:tc>
          <w:tcPr>
            <w:tcW w:w="6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74,845 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D-1</w:t>
            </w:r>
          </w:p>
        </w:tc>
        <w:tc>
          <w:tcPr>
            <w:tcW w:w="9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4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E</w:t>
            </w:r>
          </w:p>
        </w:tc>
        <w:tc>
          <w:tcPr>
            <w:tcW w:w="9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4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6,230 </w:t>
            </w:r>
          </w:p>
        </w:tc>
        <w:tc>
          <w:tcPr>
            <w:tcW w:w="6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50,931 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E-1</w:t>
            </w:r>
          </w:p>
        </w:tc>
        <w:tc>
          <w:tcPr>
            <w:tcW w:w="9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4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151,101 </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73,577 </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250,581 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250,999 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w:t>
      </w:r>
    </w:p>
    <w:p>
      <w:pPr>
        <w:pStyle w:val="TextBody"/>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Note: Certain figures may not sum due to rounding.</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Series B Redeemable Convertible Preferred Stock Warrants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revision and extension of the Company’s corporate headquarters office lease agreement in November 2012, the Company issued fully exercisable redeemable convertible preferred stock warrants to purchase 36,928 shares of the Company’s Series B redeemable convertible preferred stock at a price of $2.71. The change in fair value of the redeemable convertible preferred stock warrant liability was less than $0.1 million for both years ended January 31, 2020 and 2019.</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2019, the redeemable convertible preferred stock warrants were net exercised, under which the number of issuable shares was reduced by the number of shares with an aggregate fair value equal to the exercise price of the warrant, resulting in 6,322 shares surrendered and 30,606 shares of Series B redeemable convertible preferred stock issued. There were no redeemable convertible preferred stock warrants outstanding as of January 31, 2021 or 2020.</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Stock Plans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2009 Stock Plan (the “2009 Plan”), a 2012 Stock Plan (the “2012 Plan”), and a 2020 Equity Incentive Plan (“the 2020 Plan”). Each plan was initially established to grant equity awards to employees and consultants of the Company to assist in attracting, retaining, and motivating employees and consultants and to provide incentives to promote the success of the Company’s business.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granted under each of the plans may be either incentive stock options (“ISOs”) or nonqualified stock options (“NSOs”). ISOs may be granted only to Company employees (including officers and directors who are also employees). NSOs may be granted to Company employees and consultants. Options under the 2012 Plan and 2020 Plan may be granted for periods of up to 10 years. The exercise price of an ISO and NSO shall not be less than </w:t>
      </w:r>
    </w:p>
    <w:p>
      <w:pPr>
        <w:pStyle w:val="HorizontalLine"/>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104"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100% of the estimated fair value of the shares on the date of grant as determined by the Board of Directors. Options granted generally vest over four years and vest at a rate of 25% upon the first anniversary of the vesting commencement date and 1/48 per month thereafter.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also issued RSUs pursuant to the 2012 Plan and 2020 Plan. RSUs granted vest over four years, and generally vest at either at a predefined rate of 25% upon the first anniversary of the vesting commencement date and continued vesting quarterly thereafter, or even on a quarterly basis over the service period.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common stock purchased under each of the plans are subject to certain restrictions and repurchase rights, including the right of first refusal by the Company for sale or transfer of shares to outside parties.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Option activity under the Company’s combined stock plans is set forth below (in thousands, except years and per share data):</w:t>
      </w:r>
    </w:p>
    <w:tbl>
      <w:tblPr>
        <w:tblW w:w="9153" w:type="dxa"/>
        <w:jc w:val="left"/>
        <w:tblInd w:w="0" w:type="dxa"/>
        <w:tblCellMar>
          <w:top w:w="28" w:type="dxa"/>
          <w:left w:w="28" w:type="dxa"/>
          <w:bottom w:w="28" w:type="dxa"/>
          <w:right w:w="28" w:type="dxa"/>
        </w:tblCellMar>
      </w:tblPr>
      <w:tblGrid>
        <w:gridCol w:w="1456"/>
        <w:gridCol w:w="1277"/>
        <w:gridCol w:w="1287"/>
        <w:gridCol w:w="396"/>
        <w:gridCol w:w="399"/>
        <w:gridCol w:w="296"/>
        <w:gridCol w:w="109"/>
        <w:gridCol w:w="109"/>
        <w:gridCol w:w="109"/>
        <w:gridCol w:w="217"/>
        <w:gridCol w:w="526"/>
        <w:gridCol w:w="112"/>
        <w:gridCol w:w="109"/>
        <w:gridCol w:w="109"/>
        <w:gridCol w:w="109"/>
        <w:gridCol w:w="330"/>
        <w:gridCol w:w="330"/>
        <w:gridCol w:w="331"/>
        <w:gridCol w:w="109"/>
        <w:gridCol w:w="109"/>
        <w:gridCol w:w="109"/>
        <w:gridCol w:w="215"/>
        <w:gridCol w:w="843"/>
        <w:gridCol w:w="157"/>
      </w:tblGrid>
      <w:tr>
        <w:trPr/>
        <w:tc>
          <w:tcPr>
            <w:tcW w:w="1456"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Exercise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Remaining</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Contractual</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Intrinsic Value</w:t>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January 31, 2020</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362,046 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(11,012)</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cancelled</w:t>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 2021</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726,455 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January 31, 2021</w:t>
            </w:r>
          </w:p>
        </w:tc>
        <w:tc>
          <w:tcPr>
            <w:tcW w:w="795"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12,235 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407,889 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January 31, 2021</w:t>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23,054 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748,786 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options granted and the total intrinsic value of options exercised during the periods presented were as follows:</w:t>
      </w:r>
    </w:p>
    <w:tbl>
      <w:tblPr>
        <w:tblW w:w="8986" w:type="dxa"/>
        <w:jc w:val="left"/>
        <w:tblInd w:w="0" w:type="dxa"/>
        <w:tblCellMar>
          <w:top w:w="28" w:type="dxa"/>
          <w:left w:w="28" w:type="dxa"/>
          <w:bottom w:w="28" w:type="dxa"/>
          <w:right w:w="28" w:type="dxa"/>
        </w:tblCellMar>
      </w:tblPr>
      <w:tblGrid>
        <w:gridCol w:w="1833"/>
        <w:gridCol w:w="1608"/>
        <w:gridCol w:w="1614"/>
        <w:gridCol w:w="211"/>
        <w:gridCol w:w="826"/>
        <w:gridCol w:w="109"/>
        <w:gridCol w:w="109"/>
        <w:gridCol w:w="109"/>
        <w:gridCol w:w="109"/>
        <w:gridCol w:w="211"/>
        <w:gridCol w:w="721"/>
        <w:gridCol w:w="109"/>
        <w:gridCol w:w="109"/>
        <w:gridCol w:w="109"/>
        <w:gridCol w:w="109"/>
        <w:gridCol w:w="211"/>
        <w:gridCol w:w="616"/>
        <w:gridCol w:w="109"/>
        <w:gridCol w:w="154"/>
      </w:tblGrid>
      <w:tr>
        <w:trPr/>
        <w:tc>
          <w:tcPr>
            <w:tcW w:w="1833"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16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grant-date fair value per share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intrinsic value of options exercised (in thousands)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Early Exercise of Employee Options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2009 Plan and 2012 Plan allow for the early exercise of stock options. The consideration received for an early exercise of an option is considered to be a deposit of the exercise price, and the related dollar amount is recorded as a liability and reflected in accrued expenses and other current liabilities and other liabilities in the consolidated balance sheets. This liability is reclassified to additional paid-in capital as the awards vest. If a stock option is early exercised, the unvested shares may be repurchased by the Company in case of employment termination at the price paid by the purchaser for such shares. Shares that were subject to repurchase totaled 714,355 and 1,393,024 as of January 31, 2021 and 2020, respectively. </w:t>
      </w:r>
    </w:p>
    <w:p>
      <w:pPr>
        <w:pStyle w:val="HorizontalLine"/>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105"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Determination of Fair Values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assumptions used in the Black-Scholes pricing model for stock-based compensation for options granted in the periods below were as follows:</w:t>
      </w:r>
    </w:p>
    <w:tbl>
      <w:tblPr>
        <w:tblW w:w="5934" w:type="dxa"/>
        <w:jc w:val="left"/>
        <w:tblInd w:w="0" w:type="dxa"/>
        <w:tblCellMar>
          <w:top w:w="28" w:type="dxa"/>
          <w:left w:w="28" w:type="dxa"/>
          <w:bottom w:w="28" w:type="dxa"/>
          <w:right w:w="28" w:type="dxa"/>
        </w:tblCellMar>
      </w:tblPr>
      <w:tblGrid>
        <w:gridCol w:w="668"/>
        <w:gridCol w:w="586"/>
        <w:gridCol w:w="590"/>
        <w:gridCol w:w="255"/>
        <w:gridCol w:w="256"/>
        <w:gridCol w:w="271"/>
        <w:gridCol w:w="109"/>
        <w:gridCol w:w="109"/>
        <w:gridCol w:w="109"/>
        <w:gridCol w:w="290"/>
        <w:gridCol w:w="290"/>
        <w:gridCol w:w="725"/>
        <w:gridCol w:w="109"/>
        <w:gridCol w:w="109"/>
        <w:gridCol w:w="109"/>
        <w:gridCol w:w="273"/>
        <w:gridCol w:w="273"/>
        <w:gridCol w:w="803"/>
      </w:tblGrid>
      <w:tr>
        <w:trPr/>
        <w:tc>
          <w:tcPr>
            <w:tcW w:w="668"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 -2.6%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2.8% - 3.1%</w:t>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w:t>
            </w:r>
          </w:p>
        </w:tc>
        <w:tc>
          <w:tcPr>
            <w:tcW w:w="78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years</w:t>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44.8% - 46.3%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41.6% - 46.6%</w:t>
            </w:r>
          </w:p>
        </w:tc>
      </w:tr>
    </w:tbl>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RSU activity is set forth below (in thousands, except per share data):</w:t>
      </w:r>
    </w:p>
    <w:tbl>
      <w:tblPr>
        <w:tblW w:w="7610" w:type="dxa"/>
        <w:jc w:val="center"/>
        <w:tblInd w:w="0" w:type="dxa"/>
        <w:tblCellMar>
          <w:top w:w="28" w:type="dxa"/>
          <w:left w:w="28" w:type="dxa"/>
          <w:bottom w:w="28" w:type="dxa"/>
          <w:right w:w="28" w:type="dxa"/>
        </w:tblCellMar>
      </w:tblPr>
      <w:tblGrid>
        <w:gridCol w:w="1092"/>
        <w:gridCol w:w="959"/>
        <w:gridCol w:w="963"/>
        <w:gridCol w:w="308"/>
        <w:gridCol w:w="308"/>
        <w:gridCol w:w="296"/>
        <w:gridCol w:w="109"/>
        <w:gridCol w:w="109"/>
        <w:gridCol w:w="109"/>
        <w:gridCol w:w="409"/>
        <w:gridCol w:w="1195"/>
        <w:gridCol w:w="211"/>
        <w:gridCol w:w="109"/>
        <w:gridCol w:w="109"/>
        <w:gridCol w:w="109"/>
        <w:gridCol w:w="215"/>
        <w:gridCol w:w="843"/>
        <w:gridCol w:w="157"/>
      </w:tblGrid>
      <w:tr>
        <w:trPr/>
        <w:tc>
          <w:tcPr>
            <w:tcW w:w="1092"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Grant Date Fair Value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Intrinsic Value</w:t>
            </w:r>
          </w:p>
        </w:tc>
      </w:tr>
      <w:tr>
        <w:trPr/>
        <w:tc>
          <w:tcPr>
            <w:tcW w:w="3014"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 at January 31, 2020</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vested</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cancelled/forfeited</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 at January 31, 2021</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289,987 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vested, not yet released</w:t>
            </w:r>
          </w:p>
        </w:tc>
        <w:tc>
          <w:tcPr>
            <w:tcW w:w="912"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for stock-based awards to employees and non-employees in the Company’s consolidated statements of operations for the periods below were as follows (in thousands):</w:t>
      </w:r>
    </w:p>
    <w:tbl>
      <w:tblPr>
        <w:tblW w:w="7167" w:type="dxa"/>
        <w:jc w:val="left"/>
        <w:tblInd w:w="0" w:type="dxa"/>
        <w:tblCellMar>
          <w:top w:w="28" w:type="dxa"/>
          <w:left w:w="28" w:type="dxa"/>
          <w:bottom w:w="28" w:type="dxa"/>
          <w:right w:w="28" w:type="dxa"/>
        </w:tblCellMar>
      </w:tblPr>
      <w:tblGrid>
        <w:gridCol w:w="1247"/>
        <w:gridCol w:w="1099"/>
        <w:gridCol w:w="1104"/>
        <w:gridCol w:w="211"/>
        <w:gridCol w:w="721"/>
        <w:gridCol w:w="109"/>
        <w:gridCol w:w="109"/>
        <w:gridCol w:w="109"/>
        <w:gridCol w:w="109"/>
        <w:gridCol w:w="211"/>
        <w:gridCol w:w="721"/>
        <w:gridCol w:w="109"/>
        <w:gridCol w:w="109"/>
        <w:gridCol w:w="109"/>
        <w:gridCol w:w="109"/>
        <w:gridCol w:w="211"/>
        <w:gridCol w:w="616"/>
        <w:gridCol w:w="154"/>
      </w:tblGrid>
      <w:tr>
        <w:trPr/>
        <w:tc>
          <w:tcPr>
            <w:tcW w:w="1247"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stock-based compensation expense related to options granted to non-employees for the years ended January 31, 2021 and 2020 was not material.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unrecognized compensation costs related to unvested awards not yet recognized under all equity compensation plans was as follows:</w:t>
      </w:r>
    </w:p>
    <w:p>
      <w:pPr>
        <w:pStyle w:val="HorizontalLine"/>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106"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205" w:type="dxa"/>
        <w:jc w:val="left"/>
        <w:tblInd w:w="0" w:type="dxa"/>
        <w:tblCellMar>
          <w:top w:w="28" w:type="dxa"/>
          <w:left w:w="28" w:type="dxa"/>
          <w:bottom w:w="28" w:type="dxa"/>
          <w:right w:w="28" w:type="dxa"/>
        </w:tblCellMar>
      </w:tblPr>
      <w:tblGrid>
        <w:gridCol w:w="1621"/>
        <w:gridCol w:w="1426"/>
        <w:gridCol w:w="1446"/>
        <w:gridCol w:w="321"/>
        <w:gridCol w:w="1263"/>
        <w:gridCol w:w="165"/>
        <w:gridCol w:w="109"/>
        <w:gridCol w:w="109"/>
        <w:gridCol w:w="109"/>
        <w:gridCol w:w="1064"/>
        <w:gridCol w:w="1064"/>
        <w:gridCol w:w="1508"/>
      </w:tblGrid>
      <w:tr>
        <w:trPr/>
        <w:tc>
          <w:tcPr>
            <w:tcW w:w="1621"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26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508" w:type="dxa"/>
            <w:tcBorders/>
            <w:shd w:fill="auto" w:val="clear"/>
            <w:vAlign w:val="center"/>
          </w:tcPr>
          <w:p>
            <w:pPr>
              <w:pStyle w:val="TableContents"/>
              <w:spacing w:before="0" w:after="283"/>
              <w:rPr>
                <w:sz w:val="4"/>
                <w:szCs w:val="4"/>
              </w:rPr>
            </w:pPr>
            <w:r>
              <w:rPr>
                <w:sz w:val="4"/>
                <w:szCs w:val="4"/>
              </w:rPr>
            </w:r>
          </w:p>
        </w:tc>
      </w:tr>
      <w:tr>
        <w:trPr/>
        <w:tc>
          <w:tcPr>
            <w:tcW w:w="44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2021</w:t>
            </w:r>
          </w:p>
        </w:tc>
      </w:tr>
      <w:tr>
        <w:trPr/>
        <w:tc>
          <w:tcPr>
            <w:tcW w:w="44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Unrecognized Expense </w:t>
              <w:br/>
              <w:t>(in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Expected Recognition Period </w:t>
              <w:br/>
              <w:t>(in years)</w:t>
            </w:r>
          </w:p>
        </w:tc>
      </w:tr>
      <w:tr>
        <w:trPr/>
        <w:tc>
          <w:tcPr>
            <w:tcW w:w="44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44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15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144,622 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44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unrecognized stock-based compensation expense</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169,503 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r>
    </w:tbl>
    <w:tbl>
      <w:tblPr>
        <w:tblW w:w="10205" w:type="dxa"/>
        <w:jc w:val="left"/>
        <w:tblInd w:w="0" w:type="dxa"/>
        <w:tblCellMar>
          <w:top w:w="28" w:type="dxa"/>
          <w:left w:w="28" w:type="dxa"/>
          <w:bottom w:w="28" w:type="dxa"/>
          <w:right w:w="28" w:type="dxa"/>
        </w:tblCellMar>
      </w:tblPr>
      <w:tblGrid>
        <w:gridCol w:w="1597"/>
        <w:gridCol w:w="1404"/>
        <w:gridCol w:w="1424"/>
        <w:gridCol w:w="351"/>
        <w:gridCol w:w="1202"/>
        <w:gridCol w:w="180"/>
        <w:gridCol w:w="115"/>
        <w:gridCol w:w="115"/>
        <w:gridCol w:w="115"/>
        <w:gridCol w:w="1180"/>
        <w:gridCol w:w="1180"/>
        <w:gridCol w:w="1182"/>
        <w:gridCol w:w="160"/>
      </w:tblGrid>
      <w:tr>
        <w:trPr/>
        <w:tc>
          <w:tcPr>
            <w:tcW w:w="1597"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1424"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2020</w:t>
            </w:r>
          </w:p>
        </w:tc>
        <w:tc>
          <w:tcPr>
            <w:tcW w:w="160"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Unrecognized Expense </w:t>
              <w:br/>
              <w:t>(in thousands)</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Expected Recognition Period </w:t>
              <w:br/>
              <w:t>(in years)</w:t>
            </w:r>
          </w:p>
        </w:tc>
        <w:tc>
          <w:tcPr>
            <w:tcW w:w="160"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60"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1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60"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unrecognized stock-based compensation expense</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60"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733"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3542" w:type="dxa"/>
            <w:gridSpan w:val="3"/>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733"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3542" w:type="dxa"/>
            <w:gridSpan w:val="3"/>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733"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3542" w:type="dxa"/>
            <w:gridSpan w:val="3"/>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733"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3542" w:type="dxa"/>
            <w:gridSpan w:val="3"/>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733"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3542" w:type="dxa"/>
            <w:gridSpan w:val="3"/>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8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Fiscal 2019 Tender Offer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2018, the Board of Directors approved a plan for a private trust, whose sole trustee and grantor is the Company’s founder and CEO, to purchase shares of the Company’s Class A and Class B common stock from certain current and former employees of the Company. The tender offer closed in May 2018, at which time the Company recorded $3.8 million as compensation expense related to the excess of the selling price per share of common stock paid to the Company’s employees and former employees over the fair value of the tendered shares. This amount is included in the total stock-based compensation expense shown in the table above for the year ended January 31, 2019. A total of 1,500,814 shares were tendered in the offer for an aggregate purchase price of $7.1 million.</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 xml:space="preserve">Fiscal 2020 Tender Offer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2019, certain of the Company’s stockholders conducted a tender offer for shares of the Company’s outstanding Class A and Class B common stock and purchased an aggregate of 4,647,127 shares of the Company’s outstanding Class A and Class B common stock from certain other stockholders at a purchase price of $15.82 per share, for an aggregate purchase price of $73.5 million, resulting in stock-based compensation expense of $38.7 million for the excess of the selling price per share of common stock over the fair value of the tendered shares. This amount is included in the total stock-based compensation expense shown in the table above for the year ended January 31, 2020.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2020 Employee Stock Purchase Plan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2020, the Board of Directors adopted and approved the ESPP, which became effective on the effective date of the Company's registration statement on Form S-1 filed with the SEC in connection with the Direct Listing. The ESPP initially reserved and authorized the issuance of up to a total of 2,000,000 shares of Class A common stock to participating employees.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initial offering period began September 30, 2020 and will end on September 15, 2022, with purchase dates of March 15, 2021, September 15, 2021, March 15, 2022, and September 15, 2022. The ESPP provides for 24-month offering periods beginning September 16 and March 16 of each year, with each offering period consisting of four six-month purchase periods, except for the initial offering period which began on September 30, 2020 and will end on September 15, 2022. The purchase price of shares of Class A common stock under an offering will be the lesser of: (i) 85% of the fair market value of such shares of Class A common stock on the offering date, and (ii) 85% of the fair market value of such shares of Class A common stock on the applicable purchase date. </w:t>
      </w:r>
    </w:p>
    <w:p>
      <w:pPr>
        <w:pStyle w:val="HorizontalLine"/>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107"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Current employees who purchase shares under the ESPP may not sell such shares prior to the first anniversary of such purchase date and such shares will be designated with an applicable resale restriction. As of January 31, 2021, no shares have been purchased under the ESPP.</w:t>
      </w:r>
    </w:p>
    <w:p>
      <w:pPr>
        <w:pStyle w:val="TextBody"/>
        <w:spacing w:lineRule="auto" w:line="288" w:before="0" w:after="180"/>
        <w:ind w:left="0" w:right="0" w:firstLine="360"/>
        <w:jc w:val="both"/>
        <w:rPr/>
      </w:pPr>
      <w:r>
        <w:rPr>
          <w:rFonts w:ascii="Times New Roman;sans-serif" w:hAnsi="Times New Roman;sans-serif"/>
          <w:b w:val="false"/>
          <w:color w:val="000000"/>
          <w:sz w:val="20"/>
        </w:rPr>
        <w:t>During the year ended January 31, 2021, the Company recog</w:t>
      </w:r>
      <w:r>
        <w:rPr>
          <w:rFonts w:ascii="Times New Roman;sans-serif" w:hAnsi="Times New Roman;sans-serif"/>
          <w:b w:val="false"/>
          <w:color w:val="000000"/>
          <w:sz w:val="20"/>
          <w:highlight w:val="white"/>
        </w:rPr>
        <w:t>nized $4.2 million of sto</w:t>
      </w:r>
      <w:r>
        <w:rPr>
          <w:rFonts w:ascii="Times New Roman;sans-serif" w:hAnsi="Times New Roman;sans-serif"/>
          <w:b w:val="false"/>
          <w:color w:val="000000"/>
          <w:sz w:val="20"/>
        </w:rPr>
        <w:t>ck-based compensation expense related to ESPP and withheld $4.5 million in contributions from employees. As of January 31, 2021, total unrecognized compensation costs related to the 2020 ESPP was $7.0 million, which will be amortized over a weighted average period of 1.06 years.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assumptions were used to calculate the fair value of shares to be granted under the ESPP during the period:</w:t>
      </w:r>
    </w:p>
    <w:tbl>
      <w:tblPr>
        <w:tblW w:w="3779" w:type="dxa"/>
        <w:jc w:val="left"/>
        <w:tblInd w:w="0" w:type="dxa"/>
        <w:tblCellMar>
          <w:top w:w="28" w:type="dxa"/>
          <w:left w:w="28" w:type="dxa"/>
          <w:bottom w:w="28" w:type="dxa"/>
          <w:right w:w="28" w:type="dxa"/>
        </w:tblCellMar>
      </w:tblPr>
      <w:tblGrid>
        <w:gridCol w:w="668"/>
        <w:gridCol w:w="586"/>
        <w:gridCol w:w="590"/>
        <w:gridCol w:w="394"/>
        <w:gridCol w:w="394"/>
        <w:gridCol w:w="1147"/>
      </w:tblGrid>
      <w:tr>
        <w:trPr/>
        <w:tc>
          <w:tcPr>
            <w:tcW w:w="668"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w:t>
            </w:r>
          </w:p>
        </w:tc>
        <w:tc>
          <w:tcPr>
            <w:tcW w:w="1935"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0.5 - 2.0 years</w:t>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7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935"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50.8% - 55.3%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ind w:left="0" w:right="0" w:hanging="900"/>
        <w:rPr>
          <w:rFonts w:ascii="Times New Roman;sans-serif" w:hAnsi="Times New Roman;sans-serif"/>
          <w:b/>
          <w:color w:val="000000"/>
          <w:sz w:val="20"/>
        </w:rPr>
      </w:pPr>
      <w:r>
        <w:rPr>
          <w:rFonts w:ascii="Times New Roman;sans-serif" w:hAnsi="Times New Roman;sans-serif"/>
          <w:b/>
          <w:color w:val="000000"/>
          <w:sz w:val="20"/>
        </w:rPr>
        <w:t>Note 12.    Employee Benefit Plans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2011, the Company adopted a defined contribution retirement savings plan under Section 401(k) of the Internal Revenue Code. This plan covers all employees within the United States who meet minimum age and service requirements and allows participants to defer a portion of their annual compensation on a pre-tax basis. The Company’s contributions to the plan may be made at the discretion of the Board of Directors. There have been no contributions to the plan by the Company since the inception of the plan as of January 31, 2021. Additionally, the Company engages in required pension plans of respective countries in which operations exist.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ind w:left="0" w:right="0" w:hanging="900"/>
        <w:rPr>
          <w:rFonts w:ascii="Times New Roman;sans-serif" w:hAnsi="Times New Roman;sans-serif"/>
          <w:b/>
          <w:color w:val="000000"/>
          <w:sz w:val="20"/>
        </w:rPr>
      </w:pPr>
      <w:r>
        <w:rPr>
          <w:rFonts w:ascii="Times New Roman;sans-serif" w:hAnsi="Times New Roman;sans-serif"/>
          <w:b/>
          <w:color w:val="000000"/>
          <w:sz w:val="20"/>
        </w:rPr>
        <w:t>Note 13.    Interest Income and Other Income (Expense), Net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(expense), net consist of the following (in thousands):</w:t>
      </w:r>
    </w:p>
    <w:tbl>
      <w:tblPr>
        <w:tblW w:w="8292" w:type="dxa"/>
        <w:jc w:val="center"/>
        <w:tblInd w:w="0" w:type="dxa"/>
        <w:tblCellMar>
          <w:top w:w="28" w:type="dxa"/>
          <w:left w:w="28" w:type="dxa"/>
          <w:bottom w:w="28" w:type="dxa"/>
          <w:right w:w="28" w:type="dxa"/>
        </w:tblCellMar>
      </w:tblPr>
      <w:tblGrid>
        <w:gridCol w:w="1733"/>
        <w:gridCol w:w="1519"/>
        <w:gridCol w:w="1533"/>
        <w:gridCol w:w="211"/>
        <w:gridCol w:w="616"/>
        <w:gridCol w:w="109"/>
        <w:gridCol w:w="109"/>
        <w:gridCol w:w="109"/>
        <w:gridCol w:w="109"/>
        <w:gridCol w:w="211"/>
        <w:gridCol w:w="616"/>
        <w:gridCol w:w="109"/>
        <w:gridCol w:w="109"/>
        <w:gridCol w:w="109"/>
        <w:gridCol w:w="109"/>
        <w:gridCol w:w="211"/>
        <w:gridCol w:w="616"/>
        <w:gridCol w:w="154"/>
      </w:tblGrid>
      <w:tr>
        <w:trPr/>
        <w:tc>
          <w:tcPr>
            <w:tcW w:w="1733" w:type="dxa"/>
            <w:tcBorders/>
            <w:shd w:fill="auto" w:val="clear"/>
            <w:vAlign w:val="center"/>
          </w:tcPr>
          <w:p>
            <w:pPr>
              <w:pStyle w:val="TableContents"/>
              <w:spacing w:before="0" w:after="283"/>
              <w:rPr>
                <w:sz w:val="4"/>
                <w:szCs w:val="4"/>
              </w:rPr>
            </w:pPr>
            <w:r>
              <w:rPr>
                <w:sz w:val="4"/>
                <w:szCs w:val="4"/>
              </w:rPr>
            </w:r>
          </w:p>
        </w:tc>
        <w:tc>
          <w:tcPr>
            <w:tcW w:w="1519" w:type="dxa"/>
            <w:tcBorders/>
            <w:shd w:fill="auto" w:val="clear"/>
            <w:vAlign w:val="center"/>
          </w:tcPr>
          <w:p>
            <w:pPr>
              <w:pStyle w:val="TableContents"/>
              <w:spacing w:before="0" w:after="283"/>
              <w:rPr>
                <w:sz w:val="4"/>
                <w:szCs w:val="4"/>
              </w:rPr>
            </w:pPr>
            <w:r>
              <w:rPr>
                <w:sz w:val="4"/>
                <w:szCs w:val="4"/>
              </w:rPr>
            </w:r>
          </w:p>
        </w:tc>
        <w:tc>
          <w:tcPr>
            <w:tcW w:w="15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4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on foreign currency transactions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expense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108"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120" w:after="180"/>
        <w:ind w:left="0" w:right="0" w:hanging="900"/>
        <w:rPr>
          <w:rFonts w:ascii="Times New Roman;sans-serif" w:hAnsi="Times New Roman;sans-serif"/>
          <w:b/>
          <w:color w:val="000000"/>
          <w:sz w:val="20"/>
        </w:rPr>
      </w:pPr>
      <w:r>
        <w:rPr>
          <w:rFonts w:ascii="Times New Roman;sans-serif" w:hAnsi="Times New Roman;sans-serif"/>
          <w:b/>
          <w:color w:val="000000"/>
          <w:sz w:val="20"/>
        </w:rPr>
        <w:t>Note 14.    Income Taxes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provision for income taxes were as follows (in thousands):</w:t>
      </w:r>
    </w:p>
    <w:tbl>
      <w:tblPr>
        <w:tblW w:w="6244" w:type="dxa"/>
        <w:jc w:val="left"/>
        <w:tblInd w:w="0" w:type="dxa"/>
        <w:tblCellMar>
          <w:top w:w="28" w:type="dxa"/>
          <w:left w:w="28" w:type="dxa"/>
          <w:bottom w:w="28" w:type="dxa"/>
          <w:right w:w="28" w:type="dxa"/>
        </w:tblCellMar>
      </w:tblPr>
      <w:tblGrid>
        <w:gridCol w:w="996"/>
        <w:gridCol w:w="879"/>
        <w:gridCol w:w="885"/>
        <w:gridCol w:w="211"/>
        <w:gridCol w:w="616"/>
        <w:gridCol w:w="109"/>
        <w:gridCol w:w="109"/>
        <w:gridCol w:w="109"/>
        <w:gridCol w:w="109"/>
        <w:gridCol w:w="211"/>
        <w:gridCol w:w="466"/>
        <w:gridCol w:w="109"/>
        <w:gridCol w:w="109"/>
        <w:gridCol w:w="109"/>
        <w:gridCol w:w="109"/>
        <w:gridCol w:w="211"/>
        <w:gridCol w:w="406"/>
        <w:gridCol w:w="491"/>
      </w:tblGrid>
      <w:tr>
        <w:trPr/>
        <w:tc>
          <w:tcPr>
            <w:tcW w:w="996"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91" w:type="dxa"/>
            <w:tcBorders/>
            <w:shd w:fill="FFFFFF" w:val="clear"/>
            <w:tcMar>
              <w:top w:w="0" w:type="dxa"/>
              <w:left w:w="0" w:type="dxa"/>
              <w:bottom w:w="0" w:type="dxa"/>
              <w:right w:w="0" w:type="dxa"/>
            </w:tcMar>
            <w:vAlign w:val="center"/>
          </w:tcPr>
          <w:p>
            <w:pPr>
              <w:pStyle w:val="TableContents"/>
              <w:spacing w:before="0" w:after="283"/>
              <w:ind w:left="0" w:right="0" w:firstLine="360"/>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current: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spacing w:before="0" w:after="283"/>
              <w:ind w:left="0" w:right="0" w:firstLine="360"/>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income/(loss) before income taxes were as follows (in thousands):</w:t>
      </w:r>
    </w:p>
    <w:tbl>
      <w:tblPr>
        <w:tblW w:w="5456" w:type="dxa"/>
        <w:jc w:val="left"/>
        <w:tblInd w:w="0" w:type="dxa"/>
        <w:tblCellMar>
          <w:top w:w="28" w:type="dxa"/>
          <w:left w:w="28" w:type="dxa"/>
          <w:bottom w:w="28" w:type="dxa"/>
          <w:right w:w="28" w:type="dxa"/>
        </w:tblCellMar>
      </w:tblPr>
      <w:tblGrid>
        <w:gridCol w:w="435"/>
        <w:gridCol w:w="381"/>
        <w:gridCol w:w="383"/>
        <w:gridCol w:w="211"/>
        <w:gridCol w:w="901"/>
        <w:gridCol w:w="109"/>
        <w:gridCol w:w="109"/>
        <w:gridCol w:w="109"/>
        <w:gridCol w:w="109"/>
        <w:gridCol w:w="211"/>
        <w:gridCol w:w="901"/>
        <w:gridCol w:w="109"/>
        <w:gridCol w:w="109"/>
        <w:gridCol w:w="109"/>
        <w:gridCol w:w="109"/>
        <w:gridCol w:w="211"/>
        <w:gridCol w:w="796"/>
        <w:gridCol w:w="154"/>
      </w:tblGrid>
      <w:tr>
        <w:trPr/>
        <w:tc>
          <w:tcPr>
            <w:tcW w:w="43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between the statutory federal income tax and the Company’s effective tax rates as a percentage of loss before income taxes were as follows:</w:t>
      </w:r>
    </w:p>
    <w:tbl>
      <w:tblPr>
        <w:tblW w:w="6266" w:type="dxa"/>
        <w:jc w:val="left"/>
        <w:tblInd w:w="0" w:type="dxa"/>
        <w:tblCellMar>
          <w:top w:w="28" w:type="dxa"/>
          <w:left w:w="28" w:type="dxa"/>
          <w:bottom w:w="28" w:type="dxa"/>
          <w:right w:w="28" w:type="dxa"/>
        </w:tblCellMar>
      </w:tblPr>
      <w:tblGrid>
        <w:gridCol w:w="1086"/>
        <w:gridCol w:w="952"/>
        <w:gridCol w:w="961"/>
        <w:gridCol w:w="291"/>
        <w:gridCol w:w="294"/>
        <w:gridCol w:w="271"/>
        <w:gridCol w:w="109"/>
        <w:gridCol w:w="109"/>
        <w:gridCol w:w="109"/>
        <w:gridCol w:w="291"/>
        <w:gridCol w:w="294"/>
        <w:gridCol w:w="271"/>
        <w:gridCol w:w="109"/>
        <w:gridCol w:w="109"/>
        <w:gridCol w:w="109"/>
        <w:gridCol w:w="291"/>
        <w:gridCol w:w="294"/>
        <w:gridCol w:w="316"/>
      </w:tblGrid>
      <w:tr>
        <w:trPr/>
        <w:tc>
          <w:tcPr>
            <w:tcW w:w="1086"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tax rate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credits</w:t>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 interest</w:t>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109"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major components of deferred tax assets (liabilities) were as follows (in thousands):</w:t>
      </w:r>
    </w:p>
    <w:tbl>
      <w:tblPr>
        <w:tblW w:w="5814" w:type="dxa"/>
        <w:jc w:val="left"/>
        <w:tblInd w:w="0" w:type="dxa"/>
        <w:tblCellMar>
          <w:top w:w="28" w:type="dxa"/>
          <w:left w:w="28" w:type="dxa"/>
          <w:bottom w:w="28" w:type="dxa"/>
          <w:right w:w="28" w:type="dxa"/>
        </w:tblCellMar>
      </w:tblPr>
      <w:tblGrid>
        <w:gridCol w:w="1181"/>
        <w:gridCol w:w="1035"/>
        <w:gridCol w:w="1039"/>
        <w:gridCol w:w="211"/>
        <w:gridCol w:w="826"/>
        <w:gridCol w:w="109"/>
        <w:gridCol w:w="109"/>
        <w:gridCol w:w="109"/>
        <w:gridCol w:w="109"/>
        <w:gridCol w:w="211"/>
        <w:gridCol w:w="721"/>
        <w:gridCol w:w="154"/>
      </w:tblGrid>
      <w:tr>
        <w:trPr/>
        <w:tc>
          <w:tcPr>
            <w:tcW w:w="1181"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Research and development tax credits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Reserves and accrued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liabilities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deferred tax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Valuation allowance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(96,149)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commissions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Net deferred tax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pPr>
      <w:r>
        <w:rPr>
          <w:rFonts w:ascii="Times New Roman;sans-serif" w:hAnsi="Times New Roman;sans-serif"/>
          <w:b w:val="false"/>
          <w:color w:val="000000"/>
          <w:sz w:val="20"/>
        </w:rPr>
        <w:t>The valuation allowance increased by $86.4 million</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$39.0 million, and $13.7 million during the years ended January 31, 2021, 2020, and 2019, respectively. The increase in the valuation allowance during the years ended January 31, 2021, 2020, and 2019 was primarily driven by losses and tax credits generated in the United States. As of January 31, 2021, 2020, and 2019, the Company believes it is not more likely than not that the deferred tax assets will be fully realizable and continues to maintain a full valuation allowance against its net deferred tax assets.</w:t>
      </w:r>
    </w:p>
    <w:p>
      <w:pPr>
        <w:pStyle w:val="TextBody"/>
        <w:spacing w:lineRule="auto" w:line="288" w:before="0" w:after="180"/>
        <w:ind w:left="0" w:right="0" w:firstLine="360"/>
        <w:jc w:val="both"/>
        <w:rPr/>
      </w:pPr>
      <w:r>
        <w:rPr>
          <w:rFonts w:ascii="Times New Roman;sans-serif" w:hAnsi="Times New Roman;sans-serif"/>
          <w:b w:val="false"/>
          <w:color w:val="000000"/>
          <w:sz w:val="20"/>
        </w:rPr>
        <w:t>As of January 31, 2021</w:t>
      </w:r>
      <w:r>
        <w:rPr>
          <w:rFonts w:ascii="Times New Roman;sans-serif" w:hAnsi="Times New Roman;sans-serif"/>
          <w:b w:val="false"/>
          <w:color w:val="000000"/>
          <w:sz w:val="20"/>
          <w:highlight w:val="white"/>
        </w:rPr>
        <w:t>, the Company had federal and state net operating loss carryforwards of $622.7 million and $328.8 million</w:t>
      </w:r>
      <w:r>
        <w:rPr>
          <w:rFonts w:ascii="Times New Roman;sans-serif" w:hAnsi="Times New Roman;sans-serif"/>
          <w:b w:val="false"/>
          <w:color w:val="000000"/>
          <w:sz w:val="20"/>
        </w:rPr>
        <w:t xml:space="preserve">, respectively. The federal and state net operating losses, if not used, will begin to expire in </w:t>
      </w:r>
      <w:r>
        <w:rPr>
          <w:rFonts w:ascii="Times New Roman;sans-serif" w:hAnsi="Times New Roman;sans-serif"/>
          <w:b w:val="false"/>
          <w:color w:val="000000"/>
          <w:sz w:val="20"/>
          <w:highlight w:val="white"/>
        </w:rPr>
        <w:t>2029</w:t>
      </w:r>
      <w:r>
        <w:rPr>
          <w:rFonts w:ascii="Times New Roman;sans-serif" w:hAnsi="Times New Roman;sans-serif"/>
          <w:b w:val="false"/>
          <w:color w:val="000000"/>
          <w:sz w:val="20"/>
        </w:rPr>
        <w:t>. Federal net operating losses generated after January 31, 2018 will carry forward indefinitely.</w:t>
      </w:r>
    </w:p>
    <w:p>
      <w:pPr>
        <w:pStyle w:val="TextBody"/>
        <w:spacing w:lineRule="auto" w:line="288" w:before="0" w:after="180"/>
        <w:ind w:left="0" w:right="0" w:firstLine="360"/>
        <w:jc w:val="both"/>
        <w:rPr/>
      </w:pPr>
      <w:r>
        <w:rPr>
          <w:rFonts w:ascii="Times New Roman;sans-serif" w:hAnsi="Times New Roman;sans-serif"/>
          <w:b w:val="false"/>
          <w:color w:val="000000"/>
          <w:sz w:val="20"/>
        </w:rPr>
        <w:t>As of January 31, 2021, the Company has federal and California research and development tax credit carryforwards of $17.5 million and $14.0 million, respectively, to offset future taxable income. The federal research and development tax credits, if not used, will begin to expire</w:t>
      </w:r>
      <w:r>
        <w:rPr>
          <w:color w:val="000000"/>
          <w:highlight w:val="white"/>
        </w:rPr>
        <w:t xml:space="preserve"> </w:t>
      </w:r>
      <w:r>
        <w:rPr>
          <w:rFonts w:ascii="Times New Roman;sans-serif" w:hAnsi="Times New Roman;sans-serif"/>
          <w:b w:val="false"/>
          <w:color w:val="000000"/>
          <w:sz w:val="20"/>
          <w:highlight w:val="white"/>
        </w:rPr>
        <w:t xml:space="preserve">in 2030, </w:t>
      </w:r>
      <w:r>
        <w:rPr>
          <w:rFonts w:ascii="Times New Roman;sans-serif" w:hAnsi="Times New Roman;sans-serif"/>
          <w:b w:val="false"/>
          <w:color w:val="000000"/>
          <w:sz w:val="20"/>
        </w:rPr>
        <w:t>while the state tax credit carryforwards may be carried forward indefinitely.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Tax Reform Act of 1986 limits the use of net operating loss and tax credit carryforwards in certain situations where changes occur in the stock ownership of a company. Under Section 382 of the Internal Revenue Code of 1986, as amended, the Company’s ability to utilize net operating loss carryforwards or other tax attributes in any taxable year may be limited if the Company has experienced an “ownership change.” Generally, a Section 382 “ownership change” occurs if one or more stockholders or groups of stockholders who owns at least 5% of a corporation’s stock increases its ownership by more than 50 percentage points over its lowest ownership percentage within a specified testing period. Similar rules may apply under state tax laws. The Company has completed a Section 382 study of transactions in its stock. The study concluded that the Company has experienced ownership changes since inception and that its utilization of net operating loss carryforwards will be subject to annual limitations. However, it is not expected that the annual limitations will result in the expiration of tax attribute carryforwards prior to utilization.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withholding taxes have not been provided for the cumulative undistributed earnings of the Company’s foreign subsidiaries as of January 31, 2021 due to the Company’s intention to permanently reinvest such earnings. </w:t>
      </w:r>
    </w:p>
    <w:p>
      <w:pPr>
        <w:pStyle w:val="HorizontalLine"/>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110"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liability related to uncertain tax positions is recorded in the financial statements due to the fact the liabilities have been netted against deferred attribute carryovers.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amounts of gross unrecognized tax benefits was as follows (in thousands):</w:t>
      </w:r>
    </w:p>
    <w:tbl>
      <w:tblPr>
        <w:tblW w:w="5483" w:type="dxa"/>
        <w:jc w:val="left"/>
        <w:tblInd w:w="0" w:type="dxa"/>
        <w:tblCellMar>
          <w:top w:w="28" w:type="dxa"/>
          <w:left w:w="28" w:type="dxa"/>
          <w:bottom w:w="28" w:type="dxa"/>
          <w:right w:w="28" w:type="dxa"/>
        </w:tblCellMar>
      </w:tblPr>
      <w:tblGrid>
        <w:gridCol w:w="1173"/>
        <w:gridCol w:w="1031"/>
        <w:gridCol w:w="1035"/>
        <w:gridCol w:w="211"/>
        <w:gridCol w:w="616"/>
        <w:gridCol w:w="109"/>
        <w:gridCol w:w="109"/>
        <w:gridCol w:w="109"/>
        <w:gridCol w:w="109"/>
        <w:gridCol w:w="211"/>
        <w:gridCol w:w="616"/>
        <w:gridCol w:w="154"/>
      </w:tblGrid>
      <w:tr>
        <w:trPr/>
        <w:tc>
          <w:tcPr>
            <w:tcW w:w="1173"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3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 current period tax positions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Decreases - prior period tax positions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policy is to include interest and penalties related to unrecognized tax benefits within the Company’s provision for income taxes. The Company had no accrued interest and penalties related to unrecognized tax benefits as of January 31, 2021 or January 31, 2020. As of January 31, 2021, there are no unrecognized tax benefits that, if recognized, would affect the Company’s effective tax rate. The Company does not expect that its uncertain tax positions will materially change in the next 12 months.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files federal and state tax returns in the United States and in various foreign jurisdictions. The Company’s tax years since inception are open to examination by federal and state taxing authorities, and the tax years 2014 and forward remain open in various foreign jurisdictions.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ind w:left="0" w:right="0" w:hanging="900"/>
        <w:rPr>
          <w:rFonts w:ascii="Times New Roman;sans-serif" w:hAnsi="Times New Roman;sans-serif"/>
          <w:b/>
          <w:color w:val="000000"/>
          <w:sz w:val="20"/>
        </w:rPr>
      </w:pPr>
      <w:r>
        <w:rPr>
          <w:rFonts w:ascii="Times New Roman;sans-serif" w:hAnsi="Times New Roman;sans-serif"/>
          <w:b/>
          <w:color w:val="000000"/>
          <w:sz w:val="20"/>
        </w:rPr>
        <w:t xml:space="preserve">Note 15.    Geographic Information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revenues and long-lived assets, including operating lease ROU assets, by geographic area for the periods presented below (in thousands):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Revenues</w:t>
      </w:r>
    </w:p>
    <w:tbl>
      <w:tblPr>
        <w:tblW w:w="5231" w:type="dxa"/>
        <w:jc w:val="left"/>
        <w:tblInd w:w="0" w:type="dxa"/>
        <w:tblCellMar>
          <w:top w:w="28" w:type="dxa"/>
          <w:left w:w="28" w:type="dxa"/>
          <w:bottom w:w="28" w:type="dxa"/>
          <w:right w:w="28" w:type="dxa"/>
        </w:tblCellMar>
      </w:tblPr>
      <w:tblGrid>
        <w:gridCol w:w="435"/>
        <w:gridCol w:w="381"/>
        <w:gridCol w:w="383"/>
        <w:gridCol w:w="211"/>
        <w:gridCol w:w="826"/>
        <w:gridCol w:w="109"/>
        <w:gridCol w:w="109"/>
        <w:gridCol w:w="109"/>
        <w:gridCol w:w="109"/>
        <w:gridCol w:w="211"/>
        <w:gridCol w:w="826"/>
        <w:gridCol w:w="109"/>
        <w:gridCol w:w="109"/>
        <w:gridCol w:w="109"/>
        <w:gridCol w:w="109"/>
        <w:gridCol w:w="211"/>
        <w:gridCol w:w="721"/>
        <w:gridCol w:w="154"/>
      </w:tblGrid>
      <w:tr>
        <w:trPr/>
        <w:tc>
          <w:tcPr>
            <w:tcW w:w="43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by geography are based on the billing address of the customer. </w:t>
      </w:r>
    </w:p>
    <w:p>
      <w:pPr>
        <w:pStyle w:val="TextBody"/>
        <w:spacing w:lineRule="auto" w:line="288" w:before="120" w:after="180"/>
        <w:rPr>
          <w:rFonts w:ascii="Times New Roman;sans-serif" w:hAnsi="Times New Roman;sans-serif"/>
          <w:b/>
          <w:i/>
          <w:color w:val="000000"/>
          <w:sz w:val="20"/>
        </w:rPr>
      </w:pPr>
      <w:r>
        <w:rPr>
          <w:rFonts w:ascii="Times New Roman;sans-serif" w:hAnsi="Times New Roman;sans-serif"/>
          <w:b/>
          <w:i/>
          <w:color w:val="000000"/>
          <w:sz w:val="20"/>
        </w:rPr>
        <w:t>Long-Lived Assets</w:t>
      </w:r>
    </w:p>
    <w:tbl>
      <w:tblPr>
        <w:tblW w:w="3758" w:type="dxa"/>
        <w:jc w:val="left"/>
        <w:tblInd w:w="0" w:type="dxa"/>
        <w:tblCellMar>
          <w:top w:w="28" w:type="dxa"/>
          <w:left w:w="28" w:type="dxa"/>
          <w:bottom w:w="28" w:type="dxa"/>
          <w:right w:w="28" w:type="dxa"/>
        </w:tblCellMar>
      </w:tblPr>
      <w:tblGrid>
        <w:gridCol w:w="435"/>
        <w:gridCol w:w="381"/>
        <w:gridCol w:w="383"/>
        <w:gridCol w:w="211"/>
        <w:gridCol w:w="826"/>
        <w:gridCol w:w="109"/>
        <w:gridCol w:w="109"/>
        <w:gridCol w:w="109"/>
        <w:gridCol w:w="109"/>
        <w:gridCol w:w="211"/>
        <w:gridCol w:w="721"/>
        <w:gridCol w:w="154"/>
      </w:tblGrid>
      <w:tr>
        <w:trPr/>
        <w:tc>
          <w:tcPr>
            <w:tcW w:w="43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ind w:left="0" w:right="0" w:hanging="900"/>
        <w:rPr>
          <w:rFonts w:ascii="Times New Roman;sans-serif" w:hAnsi="Times New Roman;sans-serif"/>
          <w:b/>
          <w:color w:val="000000"/>
          <w:sz w:val="20"/>
        </w:rPr>
      </w:pPr>
      <w:r>
        <w:rPr>
          <w:rFonts w:ascii="Times New Roman;sans-serif" w:hAnsi="Times New Roman;sans-serif"/>
          <w:b/>
          <w:color w:val="000000"/>
          <w:sz w:val="20"/>
        </w:rPr>
        <w:t>Note 16.    Related Party Transactions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2018, the Company entered into a convertible note purchase agreement with an entity affiliated with its CEO. Pursuant to the original terms of this convertible note purchase agreement, the Company had the right to sell convertible promissory notes of the Company having an aggregate principal amount of up to $75 million from time to time until January 19, 2023. In May 2019, the Company amended the convertible note purchase agreement by increasing the available aggregate principal amount to $125 million. The Company has not issued any convertible promissory notes pursuant to this convertible note purchase agreement. Subsequently, in connection with the </w:t>
      </w:r>
    </w:p>
    <w:p>
      <w:pPr>
        <w:pStyle w:val="HorizontalLine"/>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111"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the January 2020 Convertible Note described in Note 6, “Convertible Notes—Related Party,” this note agreement was terminated.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and June 2020, the Company issued Convertible Notes to a trust affiliated with the Company’s CEO. See Note 6, “Convertible Notes—Related Party” for further details.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January 31, 2020, the Company began leasing certain office facilities from a company affiliated with a Board member of the Company. Rent payments made under these leases totaled $2.2 million and $0.7 million for the years ended January 31, 2021 and 2020, respectively. The affiliated company is also a customer of the Company, and the Company had outstanding receivables from the affiliated company of $0.1 million as of January 31, 2021. The Company did not have an outstanding receivable balance from the affiliated company as of January 31, 2020.</w:t>
      </w:r>
    </w:p>
    <w:p>
      <w:pPr>
        <w:pStyle w:val="TextBody"/>
        <w:spacing w:lineRule="auto" w:line="288" w:before="0" w:after="180"/>
        <w:ind w:left="0" w:right="0" w:firstLine="360"/>
        <w:jc w:val="both"/>
        <w:rPr/>
      </w:pPr>
      <w:r>
        <w:rPr>
          <w:rFonts w:ascii="Times New Roman;sans-serif" w:hAnsi="Times New Roman;sans-serif"/>
          <w:b w:val="false"/>
          <w:color w:val="000000"/>
          <w:sz w:val="20"/>
          <w:highlight w:val="white"/>
        </w:rPr>
        <w:t>The Company has entered into an advertising agreement with a company affiliated with a Board member of the Company. Payments under this agreement totaled of $0.3 million and less than $0.1 million for th</w:t>
      </w:r>
      <w:r>
        <w:rPr>
          <w:rFonts w:ascii="Times New Roman;sans-serif" w:hAnsi="Times New Roman;sans-serif"/>
          <w:b w:val="false"/>
          <w:color w:val="000000"/>
          <w:sz w:val="20"/>
        </w:rPr>
        <w:t>e years ended January 31, 2021 and 2020, respectively.</w:t>
      </w:r>
    </w:p>
    <w:p>
      <w:pPr>
        <w:pStyle w:val="TextBody"/>
        <w:spacing w:lineRule="auto" w:line="288" w:before="0" w:after="180"/>
        <w:ind w:left="0" w:right="0" w:firstLine="360"/>
        <w:jc w:val="both"/>
        <w:rPr/>
      </w:pPr>
      <w:r>
        <w:rPr>
          <w:rFonts w:ascii="Times New Roman;sans-serif" w:hAnsi="Times New Roman;sans-serif"/>
          <w:b w:val="false"/>
          <w:color w:val="000000"/>
          <w:sz w:val="20"/>
          <w:highlight w:val="white"/>
        </w:rPr>
        <w:t xml:space="preserve">The Company has entered into various recurring subscription agreements with a company affiliated with a Board member of the Company. The Company recognized revenue of $0.2 million and $0.1 million under these subscription agreements for the years ended January 31, 2021 and 2020, </w:t>
      </w:r>
      <w:r>
        <w:rPr>
          <w:rFonts w:ascii="Times New Roman;sans-serif" w:hAnsi="Times New Roman;sans-serif"/>
          <w:b w:val="false"/>
          <w:color w:val="000000"/>
          <w:sz w:val="20"/>
        </w:rPr>
        <w:t xml:space="preserve">respectively, and had outstanding receivables of $0.4 million and less than </w:t>
      </w:r>
      <w:r>
        <w:rPr>
          <w:rFonts w:ascii="Times New Roman;sans-serif" w:hAnsi="Times New Roman;sans-serif"/>
          <w:b w:val="false"/>
          <w:color w:val="000000"/>
          <w:sz w:val="20"/>
          <w:highlight w:val="white"/>
        </w:rPr>
        <w:t>$0.1 million as</w:t>
      </w:r>
      <w:r>
        <w:rPr>
          <w:color w:val="000000"/>
        </w:rPr>
        <w:t xml:space="preserve"> </w:t>
      </w:r>
      <w:r>
        <w:rPr>
          <w:rFonts w:ascii="Times New Roman;sans-serif" w:hAnsi="Times New Roman;sans-serif"/>
          <w:b w:val="false"/>
          <w:color w:val="000000"/>
          <w:sz w:val="20"/>
        </w:rPr>
        <w:t xml:space="preserve">of January 31, 2021 and 2020, respectively.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recurring subscription agreements with a total contract value of $1.2 million for the year ended January 31, 2020, with a company affiliated with a Board member of the Company. The Company recognized revenues of $0.4 million during the year ended January 31, 2020. Subsequent to January 31, 2020, the Board member of the Company was no longer affiliated with this company.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does not include a report of management's assessment regarding internal control over financial reporting or an attestation report of our independent registered public accounting firm as permitted in this transition period under the rules of the SEC for newly public companies.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(as defined in Rules 13a-15(d) and 15d-15(d) under the Exchange Act) that occurred during the quarter ended January 31, 2021 that has materially affected, or is reasonably likely to materially affect, our internal control over financial reporting.</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Inherent Limitations on Effectiveness of Disclosure Controls and Procedures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w:t>
      </w:r>
    </w:p>
    <w:p>
      <w:pPr>
        <w:pStyle w:val="HorizontalLine"/>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112"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113"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 xml:space="preserve">Item 10. Directors, Executive Officers and Corporate Governance </w:t>
      </w: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Executive Officers and Directors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 code of business conduct and ethics that incorporates our code of ethics applicable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Investor Relations website at investors.asana.com. We intend to satisfy the disclosure requirement under Item 5.05 of Form 8-K regarding amendments to, or waiver from, a provision of our code of business conduct and ethics by posting such information on the website address and location specified above.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information required by this item is incorporated by reference to the definitive Proxy Statement for our 2021 Annual Meeting of Stockholders, which will be filed with the SEC no later than 120 days after January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114"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 xml:space="preserve">Item 11. Executive Compensation </w:t>
      </w:r>
    </w:p>
    <w:p>
      <w:pPr>
        <w:pStyle w:val="TextBody"/>
        <w:spacing w:lineRule="auto" w:line="288" w:before="12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the definitive Proxy Statement for our 2021 Annual Meeting of Stockholders, which will be filed with the SEC no later than 120 days after January 31,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 and Management and Related Stockholder Matters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our 2021 Annual Meeting of Stockholders, which will be filed with the SEC no later than 120 days after January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115"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the definitive Proxy Statement for our 2021 Annual Meeting of Stockholders, which will be filed with the SEC no later than 120 days after January 31,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the definitive Proxy Statement for our 2021 Annual Meeting of Stockholders, which will be filed with the SEC no later than 120 days after January 31,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116"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a part of this Annual Report on Form 10-K: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(1) Consolidated Financial Statements: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listed in the “Index to Consolidated Financial Statements” under Part II, Item 8 of this Annual Report on Form 10-K.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(2) Financial Statement Schedules: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Schedules not listed above have been omitted because the information required to be set forth therein is not applicable or is shown in the financial statements or notes herein.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(3) Exhibits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documents listed in the following Exhibit Index of this Annual Report on Form 10-K are incorporated by reference or are filed with this Annual Report on Form 10-K, in each case as indicated therein (numbered in accordance with Item 601 of Regulation S-K).</w:t>
      </w:r>
    </w:p>
    <w:p>
      <w:pPr>
        <w:pStyle w:val="TextBody"/>
        <w:spacing w:before="0" w:after="180"/>
        <w:ind w:left="0" w:right="0" w:firstLine="360"/>
        <w:jc w:val="both"/>
        <w:rPr/>
      </w:pPr>
      <w:r>
        <w:rPr/>
      </w:r>
    </w:p>
    <w:p>
      <w:pPr>
        <w:pStyle w:val="TextBody"/>
        <w:spacing w:before="0" w:after="180"/>
        <w:ind w:left="0" w:right="0" w:firstLine="360"/>
        <w:jc w:val="both"/>
        <w:rPr/>
      </w:pPr>
      <w:r>
        <w:rPr/>
      </w:r>
    </w:p>
    <w:tbl>
      <w:tblPr>
        <w:tblW w:w="10205" w:type="dxa"/>
        <w:jc w:val="left"/>
        <w:tblInd w:w="0" w:type="dxa"/>
        <w:tblCellMar>
          <w:top w:w="28" w:type="dxa"/>
          <w:left w:w="28" w:type="dxa"/>
          <w:bottom w:w="28" w:type="dxa"/>
          <w:right w:w="28" w:type="dxa"/>
        </w:tblCellMar>
      </w:tblPr>
      <w:tblGrid>
        <w:gridCol w:w="342"/>
        <w:gridCol w:w="302"/>
        <w:gridCol w:w="303"/>
        <w:gridCol w:w="109"/>
        <w:gridCol w:w="109"/>
        <w:gridCol w:w="109"/>
        <w:gridCol w:w="1545"/>
        <w:gridCol w:w="1459"/>
        <w:gridCol w:w="1475"/>
        <w:gridCol w:w="109"/>
        <w:gridCol w:w="109"/>
        <w:gridCol w:w="109"/>
        <w:gridCol w:w="170"/>
        <w:gridCol w:w="170"/>
        <w:gridCol w:w="171"/>
        <w:gridCol w:w="109"/>
        <w:gridCol w:w="109"/>
        <w:gridCol w:w="109"/>
        <w:gridCol w:w="274"/>
        <w:gridCol w:w="274"/>
        <w:gridCol w:w="275"/>
        <w:gridCol w:w="109"/>
        <w:gridCol w:w="109"/>
        <w:gridCol w:w="109"/>
        <w:gridCol w:w="210"/>
        <w:gridCol w:w="210"/>
        <w:gridCol w:w="211"/>
        <w:gridCol w:w="109"/>
        <w:gridCol w:w="109"/>
        <w:gridCol w:w="109"/>
        <w:gridCol w:w="355"/>
        <w:gridCol w:w="355"/>
        <w:gridCol w:w="469"/>
      </w:tblGrid>
      <w:tr>
        <w:trPr/>
        <w:tc>
          <w:tcPr>
            <w:tcW w:w="34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5"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c>
          <w:tcPr>
            <w:tcW w:w="1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r>
      <w:tr>
        <w:trPr/>
        <w:tc>
          <w:tcPr>
            <w:tcW w:w="947"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Exhibit 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9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Restated Certificate of Incorporation of the Registrant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001-39495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21, 2020</w:t>
            </w:r>
          </w:p>
        </w:tc>
      </w:tr>
      <w:tr>
        <w:trPr/>
        <w:tc>
          <w:tcPr>
            <w:tcW w:w="94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Restated Bylaws of the Registrant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001-39495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21, 2020</w:t>
            </w:r>
          </w:p>
        </w:tc>
      </w:tr>
      <w:tr>
        <w:trPr/>
        <w:tc>
          <w:tcPr>
            <w:tcW w:w="94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Omnibus Amendment to Financing Agreements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333-248303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9, 2020</w:t>
            </w:r>
          </w:p>
        </w:tc>
      </w:tr>
      <w:tr>
        <w:trPr/>
        <w:tc>
          <w:tcPr>
            <w:tcW w:w="94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a43-descriptionoftheregist.htm">
              <w:r>
                <w:rPr>
                  <w:rStyle w:val="InternetLink"/>
                  <w:rFonts w:ascii="Times New Roman;sans-serif" w:hAnsi="Times New Roman;sans-serif"/>
                  <w:b w:val="false"/>
                  <w:color w:val="0000FF"/>
                  <w:sz w:val="16"/>
                  <w:u w:val="single"/>
                </w:rPr>
                <w:t>Description of Securities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Form of Indemnification Agreement entered into between the Registrant and each of its directors and executive officers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333-248303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August 24, 2020</w:t>
            </w:r>
          </w:p>
        </w:tc>
      </w:tr>
      <w:tr>
        <w:trPr/>
        <w:tc>
          <w:tcPr>
            <w:tcW w:w="94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2009 Stock Plan, as amended, and forms of agreement thereunder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333-248303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August 24, 2020</w:t>
            </w:r>
          </w:p>
        </w:tc>
      </w:tr>
      <w:tr>
        <w:trPr/>
        <w:tc>
          <w:tcPr>
            <w:tcW w:w="94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Amended and Restated 2012 Stock Plan, and forms of agreement thereunder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333-248303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August 24, 2020</w:t>
            </w:r>
          </w:p>
        </w:tc>
      </w:tr>
      <w:tr>
        <w:trPr/>
        <w:tc>
          <w:tcPr>
            <w:tcW w:w="94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2020 Equity Incentive Plan, and forms of agreement thereunder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333-248303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August 24, 2020</w:t>
            </w:r>
          </w:p>
        </w:tc>
      </w:tr>
      <w:tr>
        <w:trPr/>
        <w:tc>
          <w:tcPr>
            <w:tcW w:w="94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a103-2020equityincentive.htm">
              <w:r>
                <w:rPr>
                  <w:rStyle w:val="InternetLink"/>
                  <w:rFonts w:ascii="Times New Roman;sans-serif" w:hAnsi="Times New Roman;sans-serif"/>
                  <w:b w:val="false"/>
                  <w:color w:val="0000FF"/>
                  <w:sz w:val="16"/>
                  <w:u w:val="single"/>
                </w:rPr>
                <w:t>2020 Equity Incentive Plan - Form of RSU Grant Notice and Award Agreement (No Holding Period) (Hybrid)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a104-2020equityincentive.htm">
              <w:r>
                <w:rPr>
                  <w:rStyle w:val="InternetLink"/>
                  <w:rFonts w:ascii="Times New Roman;sans-serif" w:hAnsi="Times New Roman;sans-serif"/>
                  <w:b w:val="false"/>
                  <w:color w:val="0000FF"/>
                  <w:sz w:val="16"/>
                  <w:u w:val="single"/>
                </w:rPr>
                <w:t>2020 Equity Incentive Plan - Form of RSU Grant Notice and Award Agreement (One- or Two-Year Holding Period) (Hybrid)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2020 Employee Stock Purchase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333-248303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August 24, 2020</w:t>
            </w:r>
          </w:p>
        </w:tc>
      </w:tr>
      <w:tr>
        <w:trPr/>
        <w:tc>
          <w:tcPr>
            <w:tcW w:w="94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jan2021asana-nonxemployeed.htm">
              <w:r>
                <w:rPr>
                  <w:rStyle w:val="InternetLink"/>
                  <w:rFonts w:ascii="Times New Roman;sans-serif" w:hAnsi="Times New Roman;sans-serif"/>
                  <w:b w:val="false"/>
                  <w:color w:val="0000FF"/>
                  <w:sz w:val="16"/>
                  <w:u w:val="single"/>
                </w:rPr>
                <w:t>Non-Employee Director Compensation Policy</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asanainc-directorsdeferred.htm">
              <w:r>
                <w:rPr>
                  <w:rStyle w:val="InternetLink"/>
                  <w:rFonts w:ascii="Times New Roman;sans-serif" w:hAnsi="Times New Roman;sans-serif"/>
                  <w:b w:val="false"/>
                  <w:color w:val="0000FF"/>
                  <w:sz w:val="16"/>
                  <w:u w:val="single"/>
                </w:rPr>
                <w:t>Directors Deferred Compensation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asana-frenchequitysubxplan.htm">
              <w:r>
                <w:rPr>
                  <w:rStyle w:val="InternetLink"/>
                  <w:rFonts w:ascii="Times New Roman;sans-serif" w:hAnsi="Times New Roman;sans-serif"/>
                  <w:b w:val="false"/>
                  <w:color w:val="0000FF"/>
                  <w:sz w:val="16"/>
                  <w:u w:val="single"/>
                </w:rPr>
                <w:t>Asana France SAS Equity Sub-Plan and Form of RSU Grant Notice and Award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Executive Severance and Change in Control Benefit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333-248303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August 24, 2020</w:t>
            </w:r>
          </w:p>
        </w:tc>
      </w:tr>
      <w:tr>
        <w:trPr/>
        <w:tc>
          <w:tcPr>
            <w:tcW w:w="94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Offer Letter between Dustin Moskovitz and the Registrant, dated August 20,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333-248303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August 24, 2020</w:t>
            </w:r>
          </w:p>
        </w:tc>
      </w:tr>
      <w:tr>
        <w:trPr/>
        <w:tc>
          <w:tcPr>
            <w:tcW w:w="94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Offer Letter between Eleanor Lacey and the Registrant, dated August 21,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333-248303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August 24, 2020</w:t>
            </w:r>
          </w:p>
        </w:tc>
      </w:tr>
      <w:tr>
        <w:trPr/>
        <w:tc>
          <w:tcPr>
            <w:tcW w:w="94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Offer Letter between Tim Wan and the Registrant, dated August 20,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333-248303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August 24, 2020</w:t>
            </w:r>
          </w:p>
        </w:tc>
      </w:tr>
    </w:tbl>
    <w:p>
      <w:pPr>
        <w:pStyle w:val="HorizontalLine"/>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117"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205" w:type="dxa"/>
        <w:jc w:val="left"/>
        <w:tblInd w:w="0" w:type="dxa"/>
        <w:tblCellMar>
          <w:top w:w="28" w:type="dxa"/>
          <w:left w:w="28" w:type="dxa"/>
          <w:bottom w:w="28" w:type="dxa"/>
          <w:right w:w="28" w:type="dxa"/>
        </w:tblCellMar>
      </w:tblPr>
      <w:tblGrid>
        <w:gridCol w:w="223"/>
        <w:gridCol w:w="195"/>
        <w:gridCol w:w="197"/>
        <w:gridCol w:w="109"/>
        <w:gridCol w:w="109"/>
        <w:gridCol w:w="109"/>
        <w:gridCol w:w="1958"/>
        <w:gridCol w:w="1735"/>
        <w:gridCol w:w="1741"/>
        <w:gridCol w:w="109"/>
        <w:gridCol w:w="109"/>
        <w:gridCol w:w="109"/>
        <w:gridCol w:w="111"/>
        <w:gridCol w:w="111"/>
        <w:gridCol w:w="111"/>
        <w:gridCol w:w="109"/>
        <w:gridCol w:w="109"/>
        <w:gridCol w:w="109"/>
        <w:gridCol w:w="256"/>
        <w:gridCol w:w="256"/>
        <w:gridCol w:w="257"/>
        <w:gridCol w:w="109"/>
        <w:gridCol w:w="109"/>
        <w:gridCol w:w="109"/>
        <w:gridCol w:w="170"/>
        <w:gridCol w:w="170"/>
        <w:gridCol w:w="171"/>
        <w:gridCol w:w="109"/>
        <w:gridCol w:w="109"/>
        <w:gridCol w:w="109"/>
        <w:gridCol w:w="263"/>
        <w:gridCol w:w="263"/>
        <w:gridCol w:w="382"/>
      </w:tblGrid>
      <w:tr>
        <w:trPr/>
        <w:tc>
          <w:tcPr>
            <w:tcW w:w="2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8" w:type="dxa"/>
            <w:tcBorders/>
            <w:shd w:fill="auto" w:val="clear"/>
            <w:vAlign w:val="center"/>
          </w:tcPr>
          <w:p>
            <w:pPr>
              <w:pStyle w:val="TableContents"/>
              <w:spacing w:before="0" w:after="283"/>
              <w:rPr>
                <w:sz w:val="4"/>
                <w:szCs w:val="4"/>
              </w:rPr>
            </w:pPr>
            <w:r>
              <w:rPr>
                <w:sz w:val="4"/>
                <w:szCs w:val="4"/>
              </w:rPr>
            </w:r>
          </w:p>
        </w:tc>
        <w:tc>
          <w:tcPr>
            <w:tcW w:w="1735" w:type="dxa"/>
            <w:tcBorders/>
            <w:shd w:fill="auto" w:val="clear"/>
            <w:vAlign w:val="center"/>
          </w:tcPr>
          <w:p>
            <w:pPr>
              <w:pStyle w:val="TableContents"/>
              <w:spacing w:before="0" w:after="283"/>
              <w:rPr>
                <w:sz w:val="4"/>
                <w:szCs w:val="4"/>
              </w:rPr>
            </w:pPr>
            <w:r>
              <w:rPr>
                <w:sz w:val="4"/>
                <w:szCs w:val="4"/>
              </w:rPr>
            </w:r>
          </w:p>
        </w:tc>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Offer Letter between Chris Farinacci and the Registrant, dated August 20,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333-248303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August 24, 2020</w:t>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asanaincsubsidiarylist.htm">
              <w:r>
                <w:rPr>
                  <w:rStyle w:val="InternetLink"/>
                  <w:rFonts w:ascii="Times New Roman;sans-serif" w:hAnsi="Times New Roman;sans-serif"/>
                  <w:b w:val="false"/>
                  <w:color w:val="0000FF"/>
                  <w:sz w:val="16"/>
                  <w:u w:val="single"/>
                </w:rPr>
                <w:t>List of subsidiaries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Consent of Independent Registered Public Accounting Firm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Power of Attorney (included in the signature pages attached to this Annual Report on Form 10-K)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hibit311.htm">
              <w:r>
                <w:rPr>
                  <w:rStyle w:val="InternetLink"/>
                  <w:rFonts w:ascii="Times New Roman;sans-serif" w:hAnsi="Times New Roman;sans-serif"/>
                  <w:b w:val="false"/>
                  <w:color w:val="0000FF"/>
                  <w:sz w:val="16"/>
                  <w:u w:val="single"/>
                </w:rPr>
                <w:t>Certification of Chief Executive Officer pursuant to Exchange Act Rules 13a-14(a) and 15d-14(a),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hibit312.htm">
              <w:r>
                <w:rPr>
                  <w:rStyle w:val="InternetLink"/>
                  <w:rFonts w:ascii="Times New Roman;sans-serif" w:hAnsi="Times New Roman;sans-serif"/>
                  <w:b w:val="false"/>
                  <w:color w:val="0000FF"/>
                  <w:sz w:val="16"/>
                  <w:u w:val="single"/>
                </w:rPr>
                <w:t>Certification of Chief Financial Officer pursuant to Exchange Act Rules 13a-14(a) and 15d-14(a),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hibit321.htm">
              <w:r>
                <w:rPr>
                  <w:rStyle w:val="InternetLink"/>
                  <w:rFonts w:ascii="Times New Roman;sans-serif" w:hAnsi="Times New Roman;sans-serif"/>
                  <w:b w:val="false"/>
                  <w:color w:val="0000FF"/>
                  <w:sz w:val="16"/>
                  <w:u w:val="single"/>
                </w:rPr>
                <w:t>Certification of Chief Executive Officer and Chief Financial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XBRL Instance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The cover page from the Registrant’s Annual Report on Form 10-K for the year ended January 31, 2021, has been formatted in Inline XBRL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Indicates a management contract or compensatory plan or arrangement</w:t>
      </w:r>
    </w:p>
    <w:p>
      <w:pPr>
        <w:pStyle w:val="TextBody"/>
        <w:spacing w:lineRule="auto" w:line="288" w:before="0" w:after="180"/>
        <w:ind w:left="0" w:right="0" w:firstLine="360"/>
        <w:rPr>
          <w:color w:val="000000"/>
        </w:rPr>
      </w:pPr>
      <w:r>
        <w:rPr>
          <w:color w:val="000000"/>
        </w:rPr>
        <w:t xml:space="preserve">† </w:t>
      </w:r>
      <w:r>
        <w:rPr>
          <w:rFonts w:ascii="Times New Roman;sans-serif" w:hAnsi="Times New Roman;sans-serif"/>
          <w:b w:val="false"/>
          <w:color w:val="000000"/>
          <w:sz w:val="20"/>
        </w:rPr>
        <w:t xml:space="preserve">The certifications furnished in Exhibit 32.1 hereto are deemed to accompany this Annual Report on Form 10-K are not deemed filed with the SEC and are not to be incorporated by reference into any filing of the Registrant under the Securities Act of 1933, as amended, or the Exchange Act, whether made before or after the date of this Annual Report on Form 10-K. </w:t>
      </w:r>
    </w:p>
    <w:p>
      <w:pPr>
        <w:pStyle w:val="TextBody"/>
        <w:spacing w:before="100" w:after="283"/>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118"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as amended, the Registrant has duly caused this report to be signed on its behalf by the undersigned, thereunto duly authorized. </w:t>
      </w:r>
    </w:p>
    <w:tbl>
      <w:tblPr>
        <w:tblW w:w="5213" w:type="dxa"/>
        <w:jc w:val="left"/>
        <w:tblInd w:w="0" w:type="dxa"/>
        <w:tblCellMar>
          <w:top w:w="28" w:type="dxa"/>
          <w:left w:w="28" w:type="dxa"/>
          <w:bottom w:w="28" w:type="dxa"/>
          <w:right w:w="28" w:type="dxa"/>
        </w:tblCellMar>
      </w:tblPr>
      <w:tblGrid>
        <w:gridCol w:w="511"/>
        <w:gridCol w:w="447"/>
        <w:gridCol w:w="452"/>
        <w:gridCol w:w="198"/>
        <w:gridCol w:w="198"/>
        <w:gridCol w:w="198"/>
        <w:gridCol w:w="935"/>
        <w:gridCol w:w="935"/>
        <w:gridCol w:w="1339"/>
      </w:tblGrid>
      <w:tr>
        <w:trPr/>
        <w:tc>
          <w:tcPr>
            <w:tcW w:w="51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ASANA, INC.</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30, 2021</w:t>
            </w:r>
          </w:p>
        </w:tc>
        <w:tc>
          <w:tcPr>
            <w:tcW w:w="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 Dustin Moskovitz</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Dustin Moskovitz</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30, 2021</w:t>
            </w:r>
          </w:p>
        </w:tc>
        <w:tc>
          <w:tcPr>
            <w:tcW w:w="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3209"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 Tim Wan</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 Wan</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spacing w:before="0" w:after="18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119"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v:rect>
            </w:pict>
          </mc:Fallback>
        </mc:AlternateContent>
      </w:r>
    </w:p>
    <w:p>
      <w:pPr>
        <w:pStyle w:val="TextBody"/>
        <w:spacing w:lineRule="auto" w:line="288" w:before="120" w:after="180"/>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18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Dustin Moskovitz, Tim Wan, and Eleanor Lacey,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by the following persons on behalf of the Company and in the capacities and on the dates indicated:</w:t>
      </w:r>
    </w:p>
    <w:tbl>
      <w:tblPr>
        <w:tblW w:w="7092" w:type="dxa"/>
        <w:jc w:val="left"/>
        <w:tblInd w:w="0" w:type="dxa"/>
        <w:tblCellMar>
          <w:top w:w="28" w:type="dxa"/>
          <w:left w:w="28" w:type="dxa"/>
          <w:bottom w:w="28" w:type="dxa"/>
          <w:right w:w="28" w:type="dxa"/>
        </w:tblCellMar>
      </w:tblPr>
      <w:tblGrid>
        <w:gridCol w:w="662"/>
        <w:gridCol w:w="580"/>
        <w:gridCol w:w="587"/>
        <w:gridCol w:w="1269"/>
        <w:gridCol w:w="1269"/>
        <w:gridCol w:w="1286"/>
        <w:gridCol w:w="419"/>
        <w:gridCol w:w="419"/>
        <w:gridCol w:w="601"/>
      </w:tblGrid>
      <w:tr>
        <w:trPr/>
        <w:tc>
          <w:tcPr>
            <w:tcW w:w="662"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w:t>
            </w:r>
          </w:p>
        </w:tc>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Dustin Moskovitz</w:t>
            </w:r>
          </w:p>
        </w:tc>
        <w:tc>
          <w:tcPr>
            <w:tcW w:w="3824" w:type="dxa"/>
            <w:gridSpan w:val="3"/>
            <w:vMerge w:val="restart"/>
            <w:tcBorders/>
            <w:shd w:fill="auto" w:val="clear"/>
            <w:tcMar>
              <w:top w:w="0" w:type="dxa"/>
              <w:left w:w="0" w:type="dxa"/>
              <w:bottom w:w="0" w:type="dxa"/>
              <w:right w:w="0" w:type="dxa"/>
            </w:tcMar>
            <w:vAlign w:val="center"/>
          </w:tcPr>
          <w:p>
            <w:pPr>
              <w:pStyle w:val="TableContents"/>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President, Chief Executive Officer, and Chair </w:t>
            </w:r>
          </w:p>
          <w:p>
            <w:pPr>
              <w:pStyle w:val="TableContents"/>
              <w:spacing w:lineRule="auto" w:line="240" w:before="0" w:after="4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30, 2021</w:t>
            </w:r>
          </w:p>
        </w:tc>
      </w:tr>
      <w:tr>
        <w:trPr/>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Dustin Moskovitz</w:t>
            </w:r>
          </w:p>
        </w:tc>
        <w:tc>
          <w:tcPr>
            <w:tcW w:w="3824" w:type="dxa"/>
            <w:gridSpan w:val="3"/>
            <w:vMerge w:val="continue"/>
            <w:tcBorders/>
            <w:shd w:fill="auto" w:val="clear"/>
            <w:tcMar>
              <w:top w:w="0" w:type="dxa"/>
              <w:left w:w="0" w:type="dxa"/>
              <w:bottom w:w="0" w:type="dxa"/>
              <w:right w:w="0" w:type="dxa"/>
            </w:tcMar>
            <w:vAlign w:val="center"/>
          </w:tcPr>
          <w:p>
            <w:pPr>
              <w:pStyle w:val="Normal"/>
              <w:rPr/>
            </w:pPr>
            <w:r>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 Wan</w:t>
            </w:r>
          </w:p>
        </w:tc>
        <w:tc>
          <w:tcPr>
            <w:tcW w:w="3824" w:type="dxa"/>
            <w:gridSpan w:val="3"/>
            <w:vMerge w:val="restart"/>
            <w:tcBorders/>
            <w:shd w:fill="auto" w:val="clear"/>
            <w:tcMar>
              <w:top w:w="0" w:type="dxa"/>
              <w:left w:w="0" w:type="dxa"/>
              <w:bottom w:w="0" w:type="dxa"/>
              <w:right w:w="0" w:type="dxa"/>
            </w:tcMar>
            <w:vAlign w:val="center"/>
          </w:tcPr>
          <w:p>
            <w:pPr>
              <w:pStyle w:val="TableContents"/>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spacing w:lineRule="auto" w:line="240" w:before="0" w:after="4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30, 2021</w:t>
            </w:r>
          </w:p>
        </w:tc>
      </w:tr>
      <w:tr>
        <w:trPr/>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 Wan</w:t>
            </w:r>
          </w:p>
        </w:tc>
        <w:tc>
          <w:tcPr>
            <w:tcW w:w="3824" w:type="dxa"/>
            <w:gridSpan w:val="3"/>
            <w:vMerge w:val="continue"/>
            <w:tcBorders/>
            <w:shd w:fill="auto" w:val="clear"/>
            <w:tcMar>
              <w:top w:w="0" w:type="dxa"/>
              <w:left w:w="0" w:type="dxa"/>
              <w:bottom w:w="0" w:type="dxa"/>
              <w:right w:w="0" w:type="dxa"/>
            </w:tcMar>
            <w:vAlign w:val="center"/>
          </w:tcPr>
          <w:p>
            <w:pPr>
              <w:pStyle w:val="Normal"/>
              <w:rPr/>
            </w:pPr>
            <w:r>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Sydney Carey</w:t>
            </w:r>
          </w:p>
        </w:tc>
        <w:tc>
          <w:tcPr>
            <w:tcW w:w="382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30, 2021</w:t>
            </w:r>
          </w:p>
        </w:tc>
      </w:tr>
      <w:tr>
        <w:trPr/>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Sydney Carey</w:t>
            </w:r>
          </w:p>
        </w:tc>
        <w:tc>
          <w:tcPr>
            <w:tcW w:w="3824" w:type="dxa"/>
            <w:gridSpan w:val="3"/>
            <w:vMerge w:val="continue"/>
            <w:tcBorders/>
            <w:shd w:fill="auto" w:val="clear"/>
            <w:tcMar>
              <w:top w:w="0" w:type="dxa"/>
              <w:left w:w="0" w:type="dxa"/>
              <w:bottom w:w="0" w:type="dxa"/>
              <w:right w:w="0" w:type="dxa"/>
            </w:tcMar>
            <w:vAlign w:val="center"/>
          </w:tcPr>
          <w:p>
            <w:pPr>
              <w:pStyle w:val="Normal"/>
              <w:rPr/>
            </w:pPr>
            <w:r>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Matthew Cohler</w:t>
            </w:r>
          </w:p>
        </w:tc>
        <w:tc>
          <w:tcPr>
            <w:tcW w:w="382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30, 2021</w:t>
            </w:r>
          </w:p>
        </w:tc>
      </w:tr>
      <w:tr>
        <w:trPr/>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Matthew Cohler</w:t>
            </w:r>
          </w:p>
        </w:tc>
        <w:tc>
          <w:tcPr>
            <w:tcW w:w="3824" w:type="dxa"/>
            <w:gridSpan w:val="3"/>
            <w:vMerge w:val="continue"/>
            <w:tcBorders/>
            <w:shd w:fill="auto" w:val="clear"/>
            <w:tcMar>
              <w:top w:w="0" w:type="dxa"/>
              <w:left w:w="0" w:type="dxa"/>
              <w:bottom w:w="0" w:type="dxa"/>
              <w:right w:w="0" w:type="dxa"/>
            </w:tcMar>
            <w:vAlign w:val="center"/>
          </w:tcPr>
          <w:p>
            <w:pPr>
              <w:pStyle w:val="Normal"/>
              <w:rPr/>
            </w:pPr>
            <w:r>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Adam D’Angelo</w:t>
            </w:r>
          </w:p>
        </w:tc>
        <w:tc>
          <w:tcPr>
            <w:tcW w:w="382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30, 2021</w:t>
            </w:r>
          </w:p>
        </w:tc>
      </w:tr>
      <w:tr>
        <w:trPr/>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Adam D’Angelo</w:t>
            </w:r>
          </w:p>
        </w:tc>
        <w:tc>
          <w:tcPr>
            <w:tcW w:w="3824" w:type="dxa"/>
            <w:gridSpan w:val="3"/>
            <w:vMerge w:val="continue"/>
            <w:tcBorders/>
            <w:shd w:fill="auto" w:val="clear"/>
            <w:tcMar>
              <w:top w:w="0" w:type="dxa"/>
              <w:left w:w="0" w:type="dxa"/>
              <w:bottom w:w="0" w:type="dxa"/>
              <w:right w:w="0" w:type="dxa"/>
            </w:tcMar>
            <w:vAlign w:val="center"/>
          </w:tcPr>
          <w:p>
            <w:pPr>
              <w:pStyle w:val="Normal"/>
              <w:rPr/>
            </w:pPr>
            <w:r>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Lorrie Norrington</w:t>
            </w:r>
          </w:p>
        </w:tc>
        <w:tc>
          <w:tcPr>
            <w:tcW w:w="382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30, 2021</w:t>
            </w:r>
          </w:p>
        </w:tc>
      </w:tr>
      <w:tr>
        <w:trPr/>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Lorrie Norrington</w:t>
            </w:r>
          </w:p>
        </w:tc>
        <w:tc>
          <w:tcPr>
            <w:tcW w:w="3824" w:type="dxa"/>
            <w:gridSpan w:val="3"/>
            <w:vMerge w:val="continue"/>
            <w:tcBorders/>
            <w:shd w:fill="auto" w:val="clear"/>
            <w:tcMar>
              <w:top w:w="0" w:type="dxa"/>
              <w:left w:w="0" w:type="dxa"/>
              <w:bottom w:w="0" w:type="dxa"/>
              <w:right w:w="0" w:type="dxa"/>
            </w:tcMar>
            <w:vAlign w:val="center"/>
          </w:tcPr>
          <w:p>
            <w:pPr>
              <w:pStyle w:val="Normal"/>
              <w:rPr/>
            </w:pPr>
            <w:r>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Anne Raimondi</w:t>
            </w:r>
          </w:p>
        </w:tc>
        <w:tc>
          <w:tcPr>
            <w:tcW w:w="382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30, 2021</w:t>
            </w:r>
          </w:p>
        </w:tc>
      </w:tr>
      <w:tr>
        <w:trPr/>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Anne Raimondi</w:t>
            </w:r>
          </w:p>
        </w:tc>
        <w:tc>
          <w:tcPr>
            <w:tcW w:w="3824" w:type="dxa"/>
            <w:gridSpan w:val="3"/>
            <w:vMerge w:val="continue"/>
            <w:tcBorders/>
            <w:shd w:fill="auto" w:val="clear"/>
            <w:tcMar>
              <w:top w:w="0" w:type="dxa"/>
              <w:left w:w="0" w:type="dxa"/>
              <w:bottom w:w="0" w:type="dxa"/>
              <w:right w:w="0" w:type="dxa"/>
            </w:tcMar>
            <w:vAlign w:val="center"/>
          </w:tcPr>
          <w:p>
            <w:pPr>
              <w:pStyle w:val="Normal"/>
              <w:rPr/>
            </w:pPr>
            <w:r>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Justin Rosenstein</w:t>
            </w:r>
          </w:p>
        </w:tc>
        <w:tc>
          <w:tcPr>
            <w:tcW w:w="382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30, 2021</w:t>
            </w:r>
          </w:p>
        </w:tc>
      </w:tr>
      <w:tr>
        <w:trPr/>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Justin Rosenstein</w:t>
            </w:r>
          </w:p>
        </w:tc>
        <w:tc>
          <w:tcPr>
            <w:tcW w:w="3824" w:type="dxa"/>
            <w:gridSpan w:val="3"/>
            <w:vMerge w:val="continue"/>
            <w:tcBorders/>
            <w:shd w:fill="auto" w:val="clear"/>
            <w:tcMar>
              <w:top w:w="0" w:type="dxa"/>
              <w:left w:w="0" w:type="dxa"/>
              <w:bottom w:w="0" w:type="dxa"/>
              <w:right w:w="0" w:type="dxa"/>
            </w:tcMar>
            <w:vAlign w:val="center"/>
          </w:tcPr>
          <w:p>
            <w:pPr>
              <w:pStyle w:val="Normal"/>
              <w:rPr/>
            </w:pPr>
            <w:r>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bl>
    <w:p>
      <w:pPr>
        <w:pStyle w:val="TextBody"/>
        <w:spacing w:before="0" w:after="180"/>
        <w:ind w:left="0" w:right="0" w:firstLine="360"/>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120" name="Frame1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v:rect>
            </w:pict>
          </mc:Fallback>
        </mc:AlternateContent>
      </w:r>
    </w:p>
    <w:p>
      <w:pPr>
        <w:pStyle w:val="TextBody"/>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4.3</w:t>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THE REGISTRANT’S SECURITIES REGISTERED PURSUANT TO SECTION 12 OF THE SECURITIES EXCHANGE ACT OF 1934</w:t>
      </w:r>
    </w:p>
    <w:p>
      <w:pPr>
        <w:pStyle w:val="TextBody"/>
        <w:spacing w:before="0" w:after="0"/>
        <w:jc w:val="center"/>
        <w:rPr/>
      </w:pPr>
      <w:r>
        <w:rPr/>
      </w:r>
    </w:p>
    <w:p>
      <w:pPr>
        <w:pStyle w:val="TextBody"/>
        <w:spacing w:lineRule="auto" w:line="276" w:before="0" w:after="18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summarizes the most important terms of our securities registered pursuant to Section 12 of the Securities Exchange Act of 1934, as amended, certain securities convertible into such registered securities, and some of the provisions of our restated certificate of incorporation, restated bylaws, and relevant provisions of Delaware General Corporate Law. The descriptions herein are qualified in their entirety by our restated certificate of incorporation and restated bylaws, each of which have been previously filed with the Securities and Exchange Commission (the “SEC”) and are incorporated by reference as an exhibit to the Annual Report on Form 10-K of which this Exhibit 4.3 is a part, as well as the relevant provisions of Delaware General Corporate Law.</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authorized capital stock consists of: </w:t>
      </w:r>
    </w:p>
    <w:p>
      <w:pPr>
        <w:pStyle w:val="TextBody"/>
        <w:spacing w:lineRule="auto" w:line="276" w:before="0" w:after="180"/>
        <w:jc w:val="both"/>
        <w:rPr/>
      </w:pPr>
      <w:r>
        <w:rPr>
          <w:color w:val="000000"/>
        </w:rPr>
        <w:t>•</w:t>
      </w:r>
      <w:r>
        <w:rPr>
          <w:rFonts w:ascii="Times New Roman;sans-serif" w:hAnsi="Times New Roman;sans-serif"/>
          <w:b w:val="false"/>
          <w:color w:val="000000"/>
          <w:sz w:val="20"/>
        </w:rPr>
        <w:t xml:space="preserve">1,000,000,000 shares of Class A common stock, $0.00001 par value per share, </w:t>
      </w:r>
    </w:p>
    <w:p>
      <w:pPr>
        <w:pStyle w:val="TextBody"/>
        <w:spacing w:lineRule="auto" w:line="276" w:before="0" w:after="180"/>
        <w:jc w:val="both"/>
        <w:rPr/>
      </w:pPr>
      <w:r>
        <w:rPr>
          <w:color w:val="000000"/>
        </w:rPr>
        <w:t>•</w:t>
      </w:r>
      <w:r>
        <w:rPr>
          <w:rFonts w:ascii="Times New Roman;sans-serif" w:hAnsi="Times New Roman;sans-serif"/>
          <w:b w:val="false"/>
          <w:color w:val="000000"/>
          <w:sz w:val="20"/>
        </w:rPr>
        <w:t xml:space="preserve">500,000,000 shares of Class B common stock, $0.00001 par value per share, and </w:t>
      </w:r>
    </w:p>
    <w:p>
      <w:pPr>
        <w:pStyle w:val="TextBody"/>
        <w:spacing w:lineRule="auto" w:line="276" w:before="0" w:after="180"/>
        <w:jc w:val="both"/>
        <w:rPr/>
      </w:pPr>
      <w:r>
        <w:rPr>
          <w:color w:val="000000"/>
        </w:rPr>
        <w:t>•</w:t>
      </w:r>
      <w:r>
        <w:rPr>
          <w:rFonts w:ascii="Times New Roman;sans-serif" w:hAnsi="Times New Roman;sans-serif"/>
          <w:b w:val="false"/>
          <w:color w:val="000000"/>
          <w:sz w:val="20"/>
        </w:rPr>
        <w:t xml:space="preserve">15,000,000 shares of undesignated preferred stock, $0.00001 par value per share. </w:t>
      </w:r>
    </w:p>
    <w:p>
      <w:pPr>
        <w:pStyle w:val="TextBody"/>
        <w:spacing w:lineRule="auto" w:line="276"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Class A Common Stock and Class B Common Stock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two classes of authorized common stock, Class A common stock and Class B common stock. Only our Class A common stock is registered under Section 12 of the Securities Exchange Act of 1934, as amended, and trades on the New York Stock Exchange (the “NYSE”) under the ticker symbol “ASAN.”</w:t>
      </w:r>
    </w:p>
    <w:p>
      <w:pPr>
        <w:pStyle w:val="TextBody"/>
        <w:spacing w:lineRule="auto" w:line="276"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Dividend Rights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preferences that may apply to any shares of preferred stock outstanding at the time, the holders of our Class A common stock and Class B common stock are entitled to receive dividends out of funds legally available if our board of directors, in its discretion, determines to issue dividends and then only at the times and in the amounts that our board of directors may determine. </w:t>
      </w:r>
    </w:p>
    <w:p>
      <w:pPr>
        <w:pStyle w:val="TextBody"/>
        <w:spacing w:lineRule="auto" w:line="276"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Voting Rights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our Class A common stock are entitled to one vote per share, and holders of our Class B common stock are entitled to 10 votes per share, on all matters submitted to a vote of stockholders. The holders of our Class A common stock and Class B common stock will generally vote together as a single class on all matters submitted to a vote of our stockholders, unless otherwise required by Delaware law or our restated certificate of incorporation. Delaware law could require either holders of our Class A common stock or Class B common stock to vote separately as a single class in the following circumstances: </w:t>
      </w:r>
    </w:p>
    <w:p>
      <w:pPr>
        <w:pStyle w:val="TextBody"/>
        <w:spacing w:lineRule="auto" w:line="276" w:before="0" w:after="180"/>
        <w:ind w:left="0" w:right="0" w:firstLine="360"/>
        <w:jc w:val="both"/>
        <w:rPr/>
      </w:pPr>
      <w:r>
        <w:rPr>
          <w:color w:val="000000"/>
        </w:rPr>
        <w:t>•</w:t>
      </w:r>
      <w:r>
        <w:rPr>
          <w:rFonts w:ascii="Times New Roman;sans-serif" w:hAnsi="Times New Roman;sans-serif"/>
          <w:b w:val="false"/>
          <w:color w:val="000000"/>
          <w:sz w:val="20"/>
        </w:rPr>
        <w:t xml:space="preserve">if we were to seek to amend our restated certificate of incorporation to increase or decrease the par value of a class of our capital stock, then that class would be required to vote separately to approve the proposed amendment; and </w:t>
      </w:r>
    </w:p>
    <w:p>
      <w:pPr>
        <w:pStyle w:val="TextBody"/>
        <w:spacing w:lineRule="auto" w:line="276" w:before="0" w:after="180"/>
        <w:ind w:left="0" w:right="0" w:firstLine="360"/>
        <w:jc w:val="both"/>
        <w:rPr/>
      </w:pPr>
      <w:r>
        <w:rPr>
          <w:color w:val="000000"/>
        </w:rPr>
        <w:t>•</w:t>
      </w:r>
      <w:r>
        <w:rPr>
          <w:rFonts w:ascii="Times New Roman;sans-serif" w:hAnsi="Times New Roman;sans-serif"/>
          <w:b w:val="false"/>
          <w:color w:val="000000"/>
          <w:sz w:val="20"/>
        </w:rPr>
        <w:t xml:space="preserve">if we were to seek to amend our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restated certificate of incorporation and restated bylaws established a classified board of directors that is divided into three classes with staggered three-year terms. Only the directors in one class will be subject to election by a plurality of the votes cast at each annual meeting of our stockholders, with the directors in the other classes continuing for the remainder of their respective three-year terms. Our restated certificate of incorporation does not provide for cumulative voting for the election of directors. </w:t>
      </w:r>
      <w:r>
        <w:br w:type="page"/>
      </w:r>
    </w:p>
    <w:p>
      <w:pPr>
        <w:pStyle w:val="TextBody"/>
        <w:spacing w:before="0" w:after="0"/>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121" name="Frame1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Conversion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except for certain permitted transfers, as described below and further described in our restated certificate of incorporation. Once converted into Class A common stock, the Class B common stock will not be reissued. In addition, each share of Class B common stock will convert automatically into one share of Class A common stock upon the earlier of (i) the date that is specified by the affirmative vote of the holders of two-thirds of the then-outstanding shares of Class B common stock, (ii) one year after the death or permanent disability of Mr. Moskovitz, or (iii) the later of the date that is (x) September 2030 and (y) the date that Mr. Moskovitz no longer serves as our Chief Executive Officer or as a member of our board of directors.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transfer of Class B common stock will not trigger an automatic conversion of such stock to Class A common stock if it is a permitted transfer. A permitted transfer is a transfer by a holder of Class B common stock to any of the persons or entities listed in clauses (i) through (v) below, each referred to herein as a Permitted Transferee, and from any such Permitted Transferee back to such holder of Class B common stock and/or any other Permitted Transferee established by or for such holder of Class B common stock: (i) to a trust for the benefit of the holder of Class B common stock and over which such holder of Class B common stock retains sole dispositive power and voting control, provided the holder of Class B common stock does not receive consideration in exchange for the transfer (other than as a settlor or beneficiary of such trust); (ii) to a trust for the benefit of persons other than the holder of Class B common stock so long as the holder of Class B common stock retains sole dispositive power and voting control, provided the holder of Class B common stock does not receive consideration in exchange for the transfer (other than as a settlor or beneficiary of such trust); (iii) to a trust under the terms of which such holder of Class B common stock has retained a “qualified interest” within the meaning of §2702(b)(1) of the Internal Revenue Code of 1986, as amended, or the Code, and/or a reversionary interest so long as the holder of Class B common stock retains sole dispositive power and exclusive voting control with respect to the shares of Class B common stock held by such trust; (iv) to an Individual Retirement Account, as defined in Section 408(a) of the Code, or a pension, profit sharing, stock bonus, or other type of plan or trust of which such holder of Class B common stock is a participant or beneficiary and which satisfies the requirements for qualification under Section 401 of the Code, so long as such holder of Class B common stock retains sole dispositive power and exclusive voting control with respect to the shares of Class B common stock held in such account, plan, or trust; (v) to a corporation, partnership, or limited liability company in which such holder of Class B common stock directly, or indirectly, retains sole dispositive power and exclusive voting control with respect to the shares of Class B common stock held by such corporation, partnership, or limited liability company; or (vi) to a trust or private non-operating organization that is tax-exempt under Section 501(c)(3) of the Code, so long as the holder of Class B common stock has shared dispositive power and shared voting control with respect to the shares of Class B common stock held by such trust or organization and the transfer to such trust does not involve any payment of cash, securities, property, or other consideration (other than an interest in such trust or organization) to the holder of Class B common stock. </w:t>
      </w:r>
    </w:p>
    <w:p>
      <w:pPr>
        <w:pStyle w:val="TextBody"/>
        <w:spacing w:lineRule="auto" w:line="276"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No Preemptive or Similar Rights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Class A common stock and Class B common stock are not entitled to preemptive rights and are not subject to conversion (except as noted above), redemption, or sinking fund provisions. </w:t>
      </w:r>
    </w:p>
    <w:p>
      <w:pPr>
        <w:pStyle w:val="TextBody"/>
        <w:spacing w:lineRule="auto" w:line="276"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Right to Receive Liquidation Distributions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become subject to a liquidation, dissolution, or winding-up, the assets legally available for distribution to our stockholders would be distributable ratably among the holders of our Class A common stock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 </w:t>
      </w:r>
    </w:p>
    <w:p>
      <w:pPr>
        <w:pStyle w:val="TextBody"/>
        <w:spacing w:lineRule="auto" w:line="276"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Fully Paid and Non-Assessable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outstanding shares of our Class A common stock and Class B common stock are fully paid and non-assessable.</w:t>
      </w:r>
      <w:r>
        <w:br w:type="page"/>
      </w:r>
    </w:p>
    <w:p>
      <w:pPr>
        <w:pStyle w:val="TextBody"/>
        <w:spacing w:before="0" w:after="0"/>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122" name="Frame1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Preferred Stock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our restated certificate of incorporation, our board of directors has the authority, without further action by our stockholders, to issue up to 15,000,000 shares of preferred stock in one or more series, to establish from time to time the number of shares to be included in each such series, to fix the dividend, voting, and other rights, preferences, and privileges of the shares of each series and any qualifications, limitations, or restrictions thereon, and to increase or decrease the number of shares of any such series, but not below the number of shares of such series then outstanding.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may authorize the issuance of preferred stock with voting or conversion rights that could adversely affect the voting power or other rights of the holders of Class A common stock and Class B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Class A common stock and the voting and other rights of the holders of Class A and Class B common stock. No shares of preferred stock are outstanding.</w:t>
      </w:r>
    </w:p>
    <w:p>
      <w:pPr>
        <w:pStyle w:val="TextBody"/>
        <w:spacing w:lineRule="auto" w:line="276" w:before="0" w:after="180"/>
        <w:jc w:val="both"/>
        <w:rPr>
          <w:rFonts w:ascii="Times New Roman;sans-serif" w:hAnsi="Times New Roman;sans-serif"/>
          <w:b/>
          <w:color w:val="000000"/>
          <w:sz w:val="20"/>
        </w:rPr>
      </w:pPr>
      <w:r>
        <w:rPr>
          <w:rFonts w:ascii="Times New Roman;sans-serif" w:hAnsi="Times New Roman;sans-serif"/>
          <w:b/>
          <w:color w:val="000000"/>
          <w:sz w:val="20"/>
        </w:rPr>
        <w:t>Senior Mandatory Convertible Promissory Notes</w:t>
      </w:r>
    </w:p>
    <w:p>
      <w:pPr>
        <w:pStyle w:val="TextBody"/>
        <w:spacing w:lineRule="auto" w:line="276"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have two outstanding unsecured senior mandatory convertible promissory notes issued to the Dustin Moskovitz Trust for an aggregate principal amount of $450.0 million, or the 2020 Notes. The 2020 Notes consist of a note that matures on January 30, 2025, or the January Note, and a note that matures on June 26, 2025, or the June Note. Other than principal amount, maturity date and conversion price and rate, the 2020 Notes are identical. The 2020 Notes accrue interest at a rate of 3.5% per annum, which will compound annually and (other than in connection with our bankruptcy, insolvency, or other similar events) will mandatorily convert into shares of our Class B common stock. If outstanding at the applicable maturity date, the amount of principal and accrued interest under each 2020 Note will be as set forth in the table below, which we refer to as the applicable conversion amount. The applicable conversion amount under the applicable 2020 Note will mandatorily convert into shares of our Class B common stock at a rate equal to the greater of the applicable minimum conversion rate set forth in the table below, and (ii) the lesser of (a) $1,000 divided by the volume-weighted average price of our Class A common stock for the 20 trading days ending on the last trading day immediately preceding the Maturity Date per $1,000 of the Conversion Amount, and (b) the applicable maximum conversion rate set forth in the table below. On the applicable maturity date, depending on the trading price of our Class A common stock, we will issue a number of shares of our Class B common stock upon mandatory conversion of the applicable 2020 Note within the range set forth in the table below, subject to customary anti-dilution and other adjustments. In addition, in advance of the applicable maturity date, at our option, we may convert the applicable conversion amount under the 2020 Notes into shares of our Class B common stock at the applicable minimum conversion rate at any time during a calendar quarter (prior to the second scheduled trading day immediately preceding the applicable maturity date) if the closing trading price of our Class A common stock equals or exceeds $1,000 divided by the applicable minimum conversion rate, which we refer to as the applicable conversion price, for 20 or more trading days in the 30 consecutive trading day period ending on the last trading day of the immediately preceding calendar quarter. The initial conversion price (subject to customary anti-dilution and other adjustments in connection with certain extraordinary transactions) is set forth in the table below. In the event we experience a change in control, the applicable conversion amount under each 2020 Note will convert into shares of our Class B common stock in connection with such acquisition at the applicable maximum conversion rate.</w:t>
      </w:r>
    </w:p>
    <w:p>
      <w:pPr>
        <w:pStyle w:val="TextBody"/>
        <w:spacing w:lineRule="auto" w:line="276"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amounts, maturity dates, the conversion amount, the minimum conversion rate, the maximum conversion rate, range of shares potentially issuable at maturity, and the initial conversion price for each of the 2020 Notes are presented below:</w:t>
      </w:r>
      <w:r>
        <w:br w:type="page"/>
      </w:r>
    </w:p>
    <w:p>
      <w:pPr>
        <w:pStyle w:val="TextBody"/>
        <w:spacing w:before="0" w:after="0"/>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123" name="Frame1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347" w:type="dxa"/>
        <w:jc w:val="left"/>
        <w:tblInd w:w="0" w:type="dxa"/>
        <w:tblCellMar>
          <w:top w:w="28" w:type="dxa"/>
          <w:left w:w="28" w:type="dxa"/>
          <w:bottom w:w="28" w:type="dxa"/>
          <w:right w:w="28" w:type="dxa"/>
        </w:tblCellMar>
      </w:tblPr>
      <w:tblGrid>
        <w:gridCol w:w="261"/>
        <w:gridCol w:w="229"/>
        <w:gridCol w:w="231"/>
        <w:gridCol w:w="109"/>
        <w:gridCol w:w="109"/>
        <w:gridCol w:w="109"/>
        <w:gridCol w:w="196"/>
        <w:gridCol w:w="1051"/>
        <w:gridCol w:w="109"/>
        <w:gridCol w:w="109"/>
        <w:gridCol w:w="109"/>
        <w:gridCol w:w="109"/>
        <w:gridCol w:w="255"/>
        <w:gridCol w:w="255"/>
        <w:gridCol w:w="256"/>
        <w:gridCol w:w="109"/>
        <w:gridCol w:w="109"/>
        <w:gridCol w:w="109"/>
        <w:gridCol w:w="196"/>
        <w:gridCol w:w="1051"/>
        <w:gridCol w:w="109"/>
        <w:gridCol w:w="109"/>
        <w:gridCol w:w="109"/>
        <w:gridCol w:w="109"/>
        <w:gridCol w:w="310"/>
        <w:gridCol w:w="310"/>
        <w:gridCol w:w="311"/>
        <w:gridCol w:w="109"/>
        <w:gridCol w:w="109"/>
        <w:gridCol w:w="109"/>
        <w:gridCol w:w="310"/>
        <w:gridCol w:w="310"/>
        <w:gridCol w:w="311"/>
        <w:gridCol w:w="109"/>
        <w:gridCol w:w="109"/>
        <w:gridCol w:w="109"/>
        <w:gridCol w:w="420"/>
        <w:gridCol w:w="300"/>
        <w:gridCol w:w="301"/>
        <w:gridCol w:w="109"/>
        <w:gridCol w:w="109"/>
        <w:gridCol w:w="109"/>
        <w:gridCol w:w="211"/>
        <w:gridCol w:w="598"/>
        <w:gridCol w:w="167"/>
      </w:tblGrid>
      <w:tr>
        <w:trPr/>
        <w:tc>
          <w:tcPr>
            <w:tcW w:w="26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Name of Security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Aggregate Principal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Maturity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Conversion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pPr>
            <w:r>
              <w:rPr>
                <w:rFonts w:ascii="Times New Roman;sans-serif" w:hAnsi="Times New Roman;sans-serif"/>
                <w:b/>
                <w:color w:val="000000"/>
                <w:sz w:val="16"/>
              </w:rPr>
              <w:t>Minimum Conversion Rate</w:t>
            </w:r>
            <w:r>
              <w:rPr>
                <w:rFonts w:ascii="Times New Roman;sans-serif" w:hAnsi="Times New Roman;sans-serif"/>
                <w:b/>
                <w:color w:val="000000"/>
                <w:sz w:val="9"/>
              </w:rPr>
              <w:t>(1)</w:t>
            </w:r>
            <w:r>
              <w:rPr>
                <w:color w:val="000000"/>
              </w:rPr>
              <w:t xml:space="preserve"> </w:t>
            </w:r>
            <w:r>
              <w:rPr>
                <w:rFonts w:ascii="Times New Roman;sans-serif" w:hAnsi="Times New Roman;sans-serif"/>
                <w:b/>
                <w:color w:val="000000"/>
                <w:sz w:val="16"/>
              </w:rPr>
              <w:t>(# of shares per $1,000)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pPr>
            <w:r>
              <w:rPr>
                <w:rFonts w:ascii="Times New Roman;sans-serif" w:hAnsi="Times New Roman;sans-serif"/>
                <w:b/>
                <w:color w:val="000000"/>
                <w:sz w:val="16"/>
              </w:rPr>
              <w:t>Maximum Conversion Rate</w:t>
            </w:r>
            <w:r>
              <w:rPr>
                <w:rFonts w:ascii="Times New Roman;sans-serif" w:hAnsi="Times New Roman;sans-serif"/>
                <w:b/>
                <w:color w:val="000000"/>
                <w:sz w:val="9"/>
              </w:rPr>
              <w:t>(1)</w:t>
            </w:r>
            <w:r>
              <w:rPr>
                <w:color w:val="000000"/>
              </w:rPr>
              <w:t xml:space="preserve"> </w:t>
            </w:r>
            <w:r>
              <w:rPr>
                <w:rFonts w:ascii="Times New Roman;sans-serif" w:hAnsi="Times New Roman;sans-serif"/>
                <w:b/>
                <w:color w:val="000000"/>
                <w:sz w:val="16"/>
              </w:rPr>
              <w:t>(# of shares per $1,000)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Range of Shares</w:t>
              <w:br/>
              <w:t>Potentially Issuable at</w:t>
              <w:br/>
              <w:t>Maturity(1)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pPr>
            <w:r>
              <w:rPr>
                <w:rFonts w:ascii="Times New Roman;sans-serif" w:hAnsi="Times New Roman;sans-serif"/>
                <w:b/>
                <w:color w:val="000000"/>
                <w:sz w:val="16"/>
              </w:rPr>
              <w:t>Initial Conversion Price</w:t>
            </w:r>
            <w:r>
              <w:rPr>
                <w:rFonts w:ascii="Times New Roman;sans-serif" w:hAnsi="Times New Roman;sans-serif"/>
                <w:b/>
                <w:color w:val="000000"/>
                <w:sz w:val="9"/>
              </w:rPr>
              <w:t>(1)</w:t>
            </w:r>
          </w:p>
        </w:tc>
      </w:tr>
      <w:tr>
        <w:trPr/>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Note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01/30/2025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356,305,892 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31.6449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50.6638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11,282,390 - 18,051,810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Note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auto"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150,000,000 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06/26/2025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auto"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178,152,946 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32.1658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51.4653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5,730,432 - 9,168,694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31.09</w:t>
            </w:r>
          </w:p>
        </w:tc>
      </w:tr>
      <w:tr>
        <w:trPr/>
        <w:tc>
          <w:tcPr>
            <w:tcW w:w="721"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534,458,838 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17,012,822 - 27,220,504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180"/>
        <w:rPr>
          <w:rFonts w:ascii="Arial;sans-serif" w:hAnsi="Arial;sans-serif"/>
          <w:b w:val="false"/>
          <w:color w:val="000000"/>
          <w:sz w:val="24"/>
        </w:rPr>
      </w:pPr>
      <w:r>
        <w:rPr>
          <w:rFonts w:ascii="Arial;sans-serif" w:hAnsi="Arial;sans-serif"/>
          <w:b w:val="false"/>
          <w:color w:val="000000"/>
          <w:sz w:val="24"/>
        </w:rPr>
        <w:t>__________________</w:t>
      </w:r>
    </w:p>
    <w:p>
      <w:pPr>
        <w:pStyle w:val="TextBody"/>
        <w:spacing w:lineRule="auto" w:line="276" w:before="0" w:after="180"/>
        <w:rPr>
          <w:rFonts w:ascii="Times New Roman;sans-serif" w:hAnsi="Times New Roman;sans-serif"/>
          <w:b w:val="false"/>
          <w:color w:val="000000"/>
          <w:sz w:val="16"/>
        </w:rPr>
      </w:pPr>
      <w:r>
        <w:rPr>
          <w:rFonts w:ascii="Times New Roman;sans-serif" w:hAnsi="Times New Roman;sans-serif"/>
          <w:b w:val="false"/>
          <w:color w:val="000000"/>
          <w:sz w:val="16"/>
        </w:rPr>
        <w:t>(1) Subject to customary anti-dilution and other adjustments.</w:t>
      </w:r>
    </w:p>
    <w:p>
      <w:pPr>
        <w:pStyle w:val="TextBody"/>
        <w:spacing w:lineRule="auto" w:line="276"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2020 Notes are not transferable except to affiliates, contain no financial or restrictive covenants, and are expressly subordinated in right of payment to any of our existing or future secured indebtedness. Consistent with the terms of the 2020 Notes, in April and June 2020, the Dustin Moskovitz Trust entered into subordination agreements with Silicon Valley Bank to confirm the parties’ agreement that the 2020 Notes are subordinated to the five-year $40.0 million secured term loan facility. Additionally, the 2020 Notes contain limited events of default, including our bankruptcy or insolvency, upon which the principal amount outstanding under the 2020 Notes, together with all accrued unpaid interest, become immediately due and payable.</w:t>
      </w:r>
    </w:p>
    <w:p>
      <w:pPr>
        <w:pStyle w:val="TextBody"/>
        <w:spacing w:lineRule="auto" w:line="276"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Registration Rights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party to an amended and restated investors’ rights agreement that provides that certain holders of our preferred stock have certain registration rights as set forth below. The registration of shares of our Class A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registration rights set forth in the amended and restated investors’ rights agreement will expire five years following the listing of our Class A common stock on the NYSE, or, with respect to any particular stockholder, when such stockholder is able to sell all of its shares pursuant to Rule 144(b)(1)(i) of the Securities Act or holds 1% or less of our common stock and is able to sell all of its Registrable Securities, as defined in the amended and restated investors’ rights agreement, without registration pursuant to Rule 144 of the Securities Act during any three-month period. We will pay the registration expenses (other than underwriting discounts and selling commissions) of the holders of the shares registered pursuant to the registrations described below, including the reasonable fees of one counsel for the selling holders. In an underwritten offering, the underwriters have the right, subject to specified conditions, to limit the number of shares such holders may include. </w:t>
      </w:r>
    </w:p>
    <w:p>
      <w:pPr>
        <w:pStyle w:val="TextBody"/>
        <w:spacing w:lineRule="auto" w:line="276" w:before="0" w:after="180"/>
        <w:rPr>
          <w:rFonts w:ascii="Times New Roman;sans-serif" w:hAnsi="Times New Roman;sans-serif"/>
          <w:b/>
          <w:i/>
          <w:color w:val="000000"/>
          <w:sz w:val="20"/>
        </w:rPr>
      </w:pPr>
      <w:r>
        <w:rPr>
          <w:rFonts w:ascii="Times New Roman;sans-serif" w:hAnsi="Times New Roman;sans-serif"/>
          <w:b/>
          <w:i/>
          <w:color w:val="000000"/>
          <w:sz w:val="20"/>
        </w:rPr>
        <w:t>Demand Registration Rights</w:t>
      </w:r>
    </w:p>
    <w:p>
      <w:pPr>
        <w:pStyle w:val="TextBody"/>
        <w:spacing w:lineRule="auto" w:line="276"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holders of a majority of the registrable securities outstanding may request that we register all or a portion of their shares. We are obligated to effect only two such registrations. Such request for registration must cover shares with an anticipated aggregate offering price, net of underwriting discounts and commissions, of at least $15.0 million.</w:t>
      </w:r>
    </w:p>
    <w:p>
      <w:pPr>
        <w:pStyle w:val="TextBody"/>
        <w:spacing w:lineRule="auto" w:line="276" w:before="0" w:after="180"/>
        <w:rPr>
          <w:rFonts w:ascii="Times New Roman;sans-serif" w:hAnsi="Times New Roman;sans-serif"/>
          <w:b/>
          <w:i/>
          <w:color w:val="000000"/>
          <w:sz w:val="20"/>
        </w:rPr>
      </w:pPr>
      <w:r>
        <w:rPr>
          <w:rFonts w:ascii="Times New Roman;sans-serif" w:hAnsi="Times New Roman;sans-serif"/>
          <w:b/>
          <w:i/>
          <w:color w:val="000000"/>
          <w:sz w:val="20"/>
        </w:rPr>
        <w:t>Piggyback Registration Rights</w:t>
      </w:r>
    </w:p>
    <w:p>
      <w:pPr>
        <w:pStyle w:val="TextBody"/>
        <w:spacing w:lineRule="auto" w:line="276"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that we propose to register any of our securities under the Securities Act, either for our own account or for the account of other security holders, the holders of the registrable securities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(1) a registration relating solely to the sale of securities to participants in our stock plan, (2) a registration relating to a transaction covered by Rule 145 under the Securities Act, (3) a </w:t>
      </w:r>
      <w:r>
        <w:br w:type="page"/>
      </w:r>
    </w:p>
    <w:p>
      <w:pPr>
        <w:pStyle w:val="TextBody"/>
        <w:spacing w:before="0" w:after="0"/>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124" name="Frame1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180"/>
        <w:rPr>
          <w:rFonts w:ascii="Times New Roman;sans-serif" w:hAnsi="Times New Roman;sans-serif"/>
          <w:b w:val="false"/>
          <w:color w:val="000000"/>
          <w:sz w:val="20"/>
        </w:rPr>
      </w:pPr>
      <w:r>
        <w:rPr>
          <w:rFonts w:ascii="Times New Roman;sans-serif" w:hAnsi="Times New Roman;sans-serif"/>
          <w:b w:val="false"/>
          <w:color w:val="000000"/>
          <w:sz w:val="20"/>
        </w:rPr>
        <w:t>registration in which the only stock being registered is common stock upon conversion of debt securities also being registered, or (4) any registration on any form which does not include substantially the same information as would be required to be included in a registration statement covering the sale of registrable securities, the holders of these shares are entitled to notice of the registration and have the right to include their shares in the registration, subject to limitations that the underwriters may impose on the number of shares included in the offering.</w:t>
      </w:r>
    </w:p>
    <w:p>
      <w:pPr>
        <w:pStyle w:val="TextBody"/>
        <w:spacing w:lineRule="auto" w:line="276" w:before="0" w:after="180"/>
        <w:rPr>
          <w:rFonts w:ascii="Times New Roman;sans-serif" w:hAnsi="Times New Roman;sans-serif"/>
          <w:b/>
          <w:i/>
          <w:color w:val="000000"/>
          <w:sz w:val="20"/>
        </w:rPr>
      </w:pPr>
      <w:r>
        <w:rPr>
          <w:rFonts w:ascii="Times New Roman;sans-serif" w:hAnsi="Times New Roman;sans-serif"/>
          <w:b/>
          <w:i/>
          <w:color w:val="000000"/>
          <w:sz w:val="20"/>
        </w:rPr>
        <w:t>Form S-3 Registration Rights</w:t>
      </w:r>
    </w:p>
    <w:p>
      <w:pPr>
        <w:pStyle w:val="TextBody"/>
        <w:spacing w:lineRule="auto" w:line="276"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holders of at least 30% of the registrable securities outstanding can make a request that we register their shares on Form S-3 if we are qualified to file a registration statement on Form S-3 and if the reasonably anticipated aggregate gross proceeds of the shares offered would equal or exceed $10.0 million. We will not be required to effect more than two registrations on Form S-3 within any 12-month period.</w:t>
      </w:r>
    </w:p>
    <w:p>
      <w:pPr>
        <w:pStyle w:val="TextBody"/>
        <w:spacing w:lineRule="auto" w:line="276"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Anti-Takeover Effects of Delaware Law and Our Certificate of Incorporation and Bylaws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provisions of Delaware law, our restated certificate of incorporation, and our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spacing w:lineRule="auto" w:line="276"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Stockholder Meetings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restated bylaws provide that a special meeting of stockholders may be called only by our chairperson of the board, chief executive officer, the lead independent director, or by a resolution adopted by a majority of our board of directors. </w:t>
      </w:r>
    </w:p>
    <w:p>
      <w:pPr>
        <w:pStyle w:val="TextBody"/>
        <w:spacing w:lineRule="auto" w:line="276"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Requirements for Advance Notification of Stockholder Nominations and Proposals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w:t>
      </w:r>
    </w:p>
    <w:p>
      <w:pPr>
        <w:pStyle w:val="TextBody"/>
        <w:spacing w:lineRule="auto" w:line="276"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Elimination of Stockholder Action by Written Consent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restated certificate of incorporation and restated bylaws eliminate the right of stockholders to act by written consent without a meeting. </w:t>
      </w:r>
    </w:p>
    <w:p>
      <w:pPr>
        <w:pStyle w:val="TextBody"/>
        <w:spacing w:lineRule="auto" w:line="276"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Staggered Board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is divided into three classes. The directors in each class will serve for a three-year term, one class being elected each year by our stockholders. This system of electing and removing directors may tend to discourage a third-party from making a tender offer or otherwise attempting to obtain control of us, because it generally makes it more difficult for stockholders to replace a majority of the directors. </w:t>
      </w:r>
    </w:p>
    <w:p>
      <w:pPr>
        <w:pStyle w:val="TextBody"/>
        <w:spacing w:lineRule="auto" w:line="276"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Removal of Directors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restated certificate of incorporation provides that no member of our board of directors may be removed from office by our stockholders except for cause and, in addition to any other vote required by law, upon the approval of not less than two-thirds of the total voting power of all of our outstanding voting stock then entitled to vote in the election of directors. </w:t>
      </w:r>
      <w:r>
        <w:br w:type="page"/>
      </w:r>
    </w:p>
    <w:p>
      <w:pPr>
        <w:pStyle w:val="TextBody"/>
        <w:spacing w:before="0" w:after="0"/>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125" name="Frame1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180"/>
        <w:ind w:left="0" w:right="0" w:firstLine="360"/>
        <w:jc w:val="both"/>
        <w:rPr/>
      </w:pPr>
      <w:r>
        <w:rPr/>
      </w:r>
    </w:p>
    <w:p>
      <w:pPr>
        <w:pStyle w:val="TextBody"/>
        <w:spacing w:lineRule="auto" w:line="276"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Stockholders Not Entitled to Cumulative Voting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 </w:t>
      </w:r>
    </w:p>
    <w:p>
      <w:pPr>
        <w:pStyle w:val="TextBody"/>
        <w:spacing w:lineRule="auto" w:line="276"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Delaware Anti-Takeover Statute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 </w:t>
      </w:r>
    </w:p>
    <w:p>
      <w:pPr>
        <w:pStyle w:val="TextBody"/>
        <w:spacing w:lineRule="auto" w:line="276"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Choice of Forum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restated certificate of incorporation provides that the Court of Chancery of the State of Delaware is the exclusive forum for the following types of actions or proceedings under Delaware statutory or common law: (1) any derivative action or proceeding brought on our behalf; (2) any action asserting a claim of breach of a fiduciary duty or other wrongdoing by any of our directors, officers, or employees to us or our stockholders; (3) any action asserting a claim against us or our stockholders arising pursuant to any provision of the General Corporation Law of the State of Delaware or our certificate of incorporation or bylaws; (4) any action to interpret, apply, enforce, or determine the validity of our certificate of incorporation or bylaws; (5) any action as to which the Delaware General Corporation Law confers jurisdiction to the Court of Chancery of the State of Delaware; or (6) any action asserting a claim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restated certificate of incorporation provides that the federal district courts of the United States of America will be the exclusive forum for resolving any complaint asserting a cause of action arising under the Securities Act.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 </w:t>
      </w:r>
    </w:p>
    <w:p>
      <w:pPr>
        <w:pStyle w:val="TextBody"/>
        <w:spacing w:lineRule="auto" w:line="276"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Amendment of Charter Provisions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provisions of Delaware law, our restated certificate of incorporation, and our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w:t>
      </w:r>
      <w:r>
        <w:br w:type="page"/>
      </w:r>
    </w:p>
    <w:p>
      <w:pPr>
        <w:pStyle w:val="TextBody"/>
        <w:spacing w:before="0" w:after="0"/>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126" name="Frame12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management. It is possible that these provisions could make it more difficult to accomplish transactions that stockholders may otherwise deem to be in their best interests. </w:t>
      </w:r>
    </w:p>
    <w:p>
      <w:pPr>
        <w:pStyle w:val="TextBody"/>
        <w:spacing w:lineRule="auto" w:line="276"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Stock Exchange Listing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Class A common stock is listed on the NYSE under the symbol “ASAN.” </w:t>
      </w:r>
    </w:p>
    <w:p>
      <w:pPr>
        <w:pStyle w:val="TextBody"/>
        <w:spacing w:lineRule="auto" w:line="276"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Transfer Agent and Registrar </w:t>
      </w:r>
    </w:p>
    <w:p>
      <w:pPr>
        <w:pStyle w:val="TextBody"/>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transfer agent and registrar for our Class A and Class B common stock is Computershare Trust Company, N.A. The transfer agent’s address is 250 Royall Street, Canton, Massachusetts 02021, and its telephone number is (800) 962-4284. </w:t>
      </w:r>
      <w:r>
        <w:br w:type="page"/>
      </w:r>
    </w:p>
    <w:p>
      <w:pPr>
        <w:pStyle w:val="TextBody"/>
        <w:spacing w:before="0" w:after="0"/>
        <w:jc w:val="center"/>
        <w:rPr/>
      </w:pPr>
      <w:bookmarkStart w:id="0" w:name="a103-2020equityincentive.htm"/>
      <w:bookmarkStart w:id="1" w:name="ksa1032020equityincentive"/>
      <w:bookmarkEnd w:id="0"/>
      <w:bookmarkEnd w:id="1"/>
      <w:r>
        <w:rPr/>
        <w:drawing>
          <wp:inline distT="0" distB="0" distL="0" distR="0">
            <wp:extent cx="10048875" cy="13001625"/>
            <wp:effectExtent l="0" t="0" r="0" b="0"/>
            <wp:docPr id="12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128" name="Frame1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jc w:val="center"/>
        <w:rPr>
          <w:color w:val="FFFFFF"/>
          <w:sz w:val="2"/>
        </w:rPr>
      </w:pPr>
      <w:r>
        <w:rPr>
          <w:color w:val="FFFFFF"/>
          <w:sz w:val="2"/>
        </w:rPr>
        <w:t xml:space="preserve">FORM RSU WITH NO HOLDING PERIOD ASANA, INC. 2020 EQUITY INCENTIVE PLAN RSU AWARD GRANT NOTICE Asana, Inc. (the “Company”) has awarded to you (the “Participant”) the number of restricted stock units specified and on the terms set forth below in consideration of your services (the “RSU Award”). Your RSU Award is subject to all of the terms and conditions as set forth herein and in the Company’s 2020 Equity Incentive Plan (the “Plan”) and the Award Agreement including, if you are resident, subject to tax, or work outside the U.S., the general non-US terms and any special terms and conditions for your country, each set out in the attached appendix (the “Appendix” and together, the “Agreement”), which are attached hereto and incorporated herein in their entirety. Capitalized terms not explicitly defined herein but defined in the Plan or the Agreement shall have the meanings set forth in the Plan or the Agreement. Participant: Date of Grant: Vesting Commencement Date: Number of Restricted Stock Units: Vesting Schedule: [___________________________________________________]. Notwithstanding the foregoing, vesting shall terminate upon the Participant’s termination of Continuous Service [FOR NEW HIRE GRANTS: (except as otherwise provided in the following paragraphs)]. [FOR NEW HIRE GRANTS (add defined term “Cliff Vesting Date” to vesting schedule above): In the event the Participant’s Continuous Service terminates due to a termination by the Company other than for Cause prior to the Cliff Vesting Date of the Participant’s new hire grant, the RSU Award shall become vested as to a prorated portion of the shares of Common Stock that would have vested on such Cliff Vesting Date but for the Participant’s prior termination; provided, that, in order to receive any vesting acceleration, the Participant must comply with the Release Condition (as defined below). Pursuant to this provision, the prorated accelerated vesting shall be calculated as follows: (x) the number of shares of Common Stock that would have vested on the Cliff Vesting Date multiplied by (y) a fraction the numerator of which is the number of full months of the Participant’s Continuous Service during the period commencing [12]1 months prior to the Cliff Vesting Date and 1 [NTD: Include number of full months from hire date to initial Cliff Vesting Date (e.g., 12, 13, or 14 months).]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ending on the Participant’s termination date and the denominator of which is [12]2. For instance, if the Participant’s Continuous Service terminates due to a termination by the Company other than for Cause five months after the Participant’s hiring date, then, subject to the Participant complying with the Release Condition, vesting will accelerate as to a prorated portion of the shares of Common Stock that would have vested on the Cliff Vesting Date but for the Participant’s prior termination, with such accelerated portion equal to (x) the number of shares of Common Stock that would have vested on the Cliff Vesting Date multiplied by (y) a fraction, the numerator of which is 5 and the denominator of which is the number of full months from hire date to the Cliff Vesting Date (e.g., 12, 13, or 14 months). For purposes of this award, the “Release Condition” means that the Participant has executed a full and complete general release of all claims that the Participant may have against the Company or its Affiliates pursuant to the Company’s standard form for Participant’s country that will be provided to the Participant; provided, that such release becomes effective and irrevocable no later than the 60th day after the Participant’s termination date.]3 Issuance Schedule: One (1) share of Common Stock will be issued for each restricted stock unit which vests at the time set forth in Section 5 of the Agreement. Participant Acknowledgements: By your signature below or by electronic acceptance or authentication in a form authorized by the Company, you understand and agree that: ● The RSU Award is governed by this RSU Award Grant Notice (the “Grant Notice”), and the provisions of the Plan and the Agreement, all of which are made a part of this document. Unless otherwise provided in the Plan, this Grant Notice and the Agreement (together, the “RSU Award Agreement”) may not be modified, amended or revised except in a writing signed by you and a duly authorized officer of the Company. ● You have read and are familiar with the provisions of the Plan, the RSU Award Agreement and the Prospectus. In the event of any conflict between the provisions in the RSU Award Agreement, or the Prospectus and the terms of the Plan, the terms of the Plan shall control. ● The RSU Award Agreement sets forth the entire understanding between you and the Company regarding the acquisition of Common Stock and supersedes all prior oral and 2 [NTD: Include number of full months from hire date to initial Cliff Vesting Date (e.g., 12, 13, or 14 months).] 3 [NTD: Pro rata vesting acceleration provisions bracketed here are only to be included in initial new hire grants. Not intended for refresh or other grants.]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 ASANA, INC. PARTICIPANT: By: Signature Signature Title: Date: Date: ATTACHMENTS: RSU Award Agreement (including the Appendix), 2020 Equity Incentive Plan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 ATTACHMENT I ASANA, INC. 2020 EQUITY INCENTIVE PLAN AWARD AGREEMENT (RSU AWARD) As reflected by your RSU Award Grant Notice (“Grant Notice”) Asana, Inc. (the “Company”) has granted you a RSU Award under its 2020 Equity Incentive Plan (the “Plan”) for the number of restricted stock units as indicated in your Grant Notice (the “RSU Award”). The terms of your RSU Award as specified in this Award Agreement for your RSU Award including, if you are resident, subject to tax, or engaged outside the U.S., the general non-US terms and any special terms and conditions for your country, each set out in the attached appendix (the “Appendix” and together, the “Agreement”) and the Grant Notice constitute your “RSU Award Agreement”. Defined terms not explicitly defined in this Agreement but defined in the Grant Notice or the Plan shall have the same definitions as in the Grant Notice or Plan, as applicable. The general terms applicable to your RSU Award are as follows: 1. GOVERNING PLAN DOCUMENT. Your RSU Award is subject to all the provisions of the Plan, including but not limited to the provisions in: (a) Section 6 of the Plan regarding the impact of a Capitalization Adjustment, dissolution, liquidation, or Corporate Transaction on your RSU Award; (b) Section 9(e) of the Plan regarding the Company’s retained rights to terminate your Continuous Service notwithstanding the grant of the RSU Award; and (c) Section 8(c) of the Plan regarding the tax consequences of your RSU Award. 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 2. GRANT OF THE RSU AWARD. This RSU Award represents your right to be issued on a future date the number of shares of the Company’s Common Stock that is equal to the number of restricted stock units indicated in the Grant Notice as modified to reflect any Capitalization Adjustment and subject to your satisfaction of the vesting conditions set forth therein (the “Restricted Stock Units”).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 3. DIVIDENDS. You shall receive no benefit or adjustment to your RSU Award with respect to any cash dividend, stock dividend or other distribution that does not result from a Capitalization Adjustment as provided in the Plan; provided, however, that this sentence shall not apply with respect to any shares of Common Stock that are delivered to you in connection with your RSU Award after such shares have been delivered to you. 4. WITHHOLDING OBLIGATIONS. As further provided in Section 8 of the Plan, you hereby authorize withholding from payroll and any other amounts payable to you, and otherwise agree to make adequate provision for, any sums required to satisfy the federal, state, local and foreign tax and/or social security withholding obligations, if any, which arise in connection with your RSU Award (the “Withholding Taxes”) in accordance with the withholding procedures established by the Company. Unless the Withholding Taxes are satisfied, the Company shall have no obligation to deliver to you any Common Stock in respect of the RSU Award. In the event the obligation of the Company or its Affiliate with respect to Withholding Taxes (a “Withholding Obligation”) arises prior to the delivery to you of Common Stock or it is determined after the delivery of Common Stock to you that the amount of the Withholding Taxes was greater than the amount withheld by the Company and/or its Affiliate (as applicable), you agree to indemnify and hold the Company and/or its Affiliate (as applicable) harmless from any failure by the Company to withhold the proper amount. 5. DATE OF ISSUANCE. (a) 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Each issuance date determined by this paragraph is referred to as an “Original Issuance Date.” (b) If the Original Issuance Date falls on a date that is not a business day, delivery shall instead occur on the next following business day. In addition, if: (i) 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“10b5-1 Arrangement)), and (ii) 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if and only if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 6. TRANSFERABILITY. Except as otherwise provided in the Plan, your RSU Award is not transferable, except by will or by the applicable laws of descent and distribution 7. CORPORATE TRANSACTION. Your RSU Award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 8. NO LIABILITY FOR TAXES. As a condition to accepting the RSU Award, you hereby (a) agree to not make any 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 9. SEVERABILITY. If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 10. OTHER DOCUMENTS. You hereby acknowledge receipt of or the right to receive a document providing the information required by Rule 428(b)(1) promulgated under the Securities Act, which includes the Prospectus. In addition, you acknowledge receipt of the Company’s Trading Policy. 11. CHOICE OF LAW. The interpretation, performance and enforcement of this RSU Award Agreement shall be governed by the laws of the State of Delaware without regard to that state’s conflicts of laws rules. 12. APPENDIX. Notwithstanding any provisions in this RSU Award Agreement, if you are resident, subject to tax, or work outside the U.S., your RSU Award shall be subject to the general non-US terms and the special terms and conditions for your country set forth in the Appendix attached hereto. Moreover, if you relocate outside the U.S. and/or to one of the countries included therein, the terms and conditions for such country will apply to you to the extent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 Company determines that the application of such terms and conditions is necessary or advisable for legal or administrative reasons. The Appendix constitutes part of this RSU Award Agreement. 13. QUESTIONS. If you have questions regarding these or any other terms and conditions applicable to your RSU Award, including a summary of the tax consequences, please see the Prospectus.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 APPENDIX This Appendix includes general terms and conditions that govern the RSU Award granted to you under the Plan if you are resident, subject to tax, or work outside the U.S. and specific terms and conditions that apply if you are resident, subject to tax or work in any country listed herein. The information contained herein is general in nature and may not apply to your particular situation, and you are advised to seek appropriate professional advice as to how the relevant laws in your country may apply to your situation. If you are a citizen or resident of a country other than the one in which you are currently working and/or residing, transfer employment and/or residency to another country after the date of grant, are a consultant, change employment status to a consultant position, or are considered a resident of another country for local law purposes, the Company shall, in its discretion, determine the extent to which the special terms and conditions contained herein shall be applicable to you. References to your employer shall include any entity that engages your services. GENERAL NON-U.S. TERMS 1. TAX. All references in the RSU Award Agreement to tax shall, to the extent applicable, include social security. 2. DATE OF ISSUANCE. Section 5 of the RSU Award Agreement (Date of Issuance) is deleted and replaced with the following: (a) If you are subject to tax in the U.S., 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Each issuance date determined by this paragraph is referred to as an “Original Issuance Date. (b) If the Original Issuance Date falls on a date that is not a business day, delivery shall instead occur on the next following business day. In addition, if: (i) 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“10b5-1 Arrangement)), and (ii) either (1) a Withholding Obligation does not apply, or (2) the Company decides, prior to the Original Issuance Date, (A) not to satisfy the Withholding Obligation by withholding shares of Common Stock from the shares otherwise due, on the Original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 Issuance Date, to you under this Award, and (B) not to permit you to enter into a “same day sale” commitment with a broker-dealer (including but not limited to a commitment under a 10b5-1 Arrangement) and (C) not to permit you to pay your Withholding Obligation in cash,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(if you are subject to tax in the U.S.) in no event later than December 31 of the calendar year in which the Original Issuance Date occurs (that is, the last day of your taxable year in which the Original Issuance Date occurs), or, if and only if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 3. TRANSFERABILITY. Notwithstanding Section 6 of the RSU Award Agreement, your RSU Award is not transferable, except to your personal representative on your death. 4. AWARD NOT A SERVICE CONTRACT. By accepting your RSU Award, you acknowledge, understand and agree that: (a) the Plan is established voluntarily by the Company, it is discretionary in nature, and may be amended, suspended or terminated by the Company at any time, to the extent permitted under the Plan; (b) the grant of your RSU Award is voluntary and occasional and does not create any contractual or other right to receive future grants of awards (whether on the same or different terms), or benefits in lieu of awards, even if awards have been granted in the past; (c) your RSU Award and any shares of Common Stock acquired under the Plan, and the income and value of same, are not part of normal or expected compensation for any purpose, including, without limitation, calculating any severance, resignation, termination, redundancy, dismissal, end-of-service payments, bonuses, holiday pay, long-service awards, pension or retirement or welfare benefits or similar payments; (d) the future value of the shares of Common Stock underlying the RSU Award is unknown, indeterminable, and cannot be predicted with certainty; (e) neither the Company nor any Affiliate shall be liable for any foreign exchange rate fluctuation between your local currency and the United States Dollar that may affect the value of your RSU Award or of any amounts due to you pursuant to the vesting of your RSU Award or the subsequent sale of any shares of Common Stock received; (f) no claim or entitlement to compensation or damages shall arise from forfeiture of this RSU Award resulting from the termination of your Continuous Service (for any reason whatsoever, whether or not later found to be invalid or in breach of employment laws in the jurisdiction where you are employed or the terms of your employment or service agreement, if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 any), and in consideration of the grant of this RSU Award to which you are otherwise not entitled, you irrevocably agree never to institute any claim against the Company or any Affiliate, waive your ability, if any, to bring any such claim, and release the Company and any Affiliate from any such claim; if, notwithstanding the foregoing, any such claim is allowed by a court of competent jurisdiction, then, by participating in the Plan, you shall be deemed irrevocably to have agreed not to pursue such claim and agree to execute any and all documents necessary to request dismissal or withdrawal of such claim. 5. DATA PRIVACY. (a) You explicitly and unambiguously acknowledge and consent to the collection, use and transfer, in electronic or other form, of your personal data as described in this document by and among, as applicable, your employer, the Company and its Affiliates for the exclusive purpose of implementing, administering and managing your participation in the Plan. You understand that the Company, its Affiliates and your employer hold certain personal information about you, including, but not limited to, name, home address and telephone number, date of birth, social security number (or other identification number), salary, nationality, job title, any shares of stock or directorships held in the Company, details of all options or any other entitlement to shares of stock awarded, canceled, purchased, exercised, vested, unvested or outstanding in your favor for the purpose of implementing, managing and administering the Plan (“Data”). You understand that the Data may be transferred to any third parties assisting in the implementation, administration and management of the Plan, that these recipients may be located in your country or elsewhere, in particular in the US, and that the recipient country may have different data privacy laws providing less protections of your personal data than your country. You may request a list with the names and addresses of any potential recipients of the Data by contacting the stock plan administrator at the Company (the “Stock Plan Administrator”). You acknowledge that the recipients may receive, possess, process, use, retain and transfer the Data, in electronic or other form, for the purposes of implementing, administering and managing your participation in the Plan, including any requisite transfer of such Data, as may be required to a broker or other third party with whom you may elect to deposit any shares of Common Stock acquired upon the vesting of your RSU Award. You understand that Data will be held only as long as is necessary to implement, administer and manage your participation in the Plan. You may, at any time, view the Data, request additional information about the storage and processing of the Data, require any necessary amendments to the Data or refuse or withdraw the consents herein, in any case without cost, by contacting the Stock Plan Administrator in writing. (b) For the purposes of operating the Plan in the European Union, Switzerland, and the United Kingdom, the Company will collect and process information relating to you in accordance with the privacy notice from time to time in force. 6. NO ADVICE REGARDING GRANT. The Company is not providing any tax, legal or financial advice, nor is the Company making any recommendations regarding your participation in the Plan, or your acquisition or sale of the underlying shares of Common Stock. You should consult with your own personal tax, legal and financial advisors regarding your participation in the Plan before taking any action related to the Plan.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 7. LANGUAGE. You acknowledge that you are sufficiently proficient in the English language, or have consulted with an advisor who is sufficiently proficient in English, so as to allow you to understand the terms and conditions of this Agreement. If you have received this Agreement, or any other document related to this RSU Award and/or the Plan translated into a language other than English and if the meaning of the translated version is different than the English version, the English version will control. 8. FOREIGN ASSET/ACCOUNT, EXCHANGE CONTROL AND TAX REPORTING. You may be subject to foreign asset/account, exchange control and/or tax reporting requirements as a result of the acquisition, holding and/or transfer of shares of Common Stock or cash (including dividends and the proceeds arising from the sale of shares of Common Stock) derived from your participation in the Plan in, to and/or from a brokerage/bank account or legal entity located outside your country. The applicable laws in your country may require that you report such accounts, assets and balances therein, the value thereof and/or the transactions related thereto to the applicable authorities in such country. You may also be required to repatriate sale proceeds or other funds received as a result of your participation in the Plan to your country through a designated bank or broker within a certain time after receipt. You acknowledge that it is your responsibility to be compliant with such regulations and you are encouraged to consult with your personal legal advisor for any details. 9. AT-WILL EMPLOYMENT. In Section 9(e) of the Plan, references to “at will” employment are deleted. COUNTRY SPECIFIC TERMS AUSTRALIA Breach of Law. Notwithstanding anything else in the Plan or the RSU Award Agreement, you will not be entitled to, and shall not claim any benefit (including without limitation a legal right) under the Plan if the provision of such benefit would give rise to a breach of Part 2D.2 of the Australian Corporations Act 2001 (Cth) (“Corporations Act”), any other provision of the Corporations Act, or any other applicable statute, rule or regulation which limits or restricts the giving of such benefits. Further, the Company is under no obligation to seek or obtain the approval of its shareholders in general meeting for the purpose of overcoming any such limitation or restriction. Securities Law Information. The grant of the RSU Award is made without disclosure under the Corporations Act in reliance on case by case relief provided to the Company under an instrument issued by the Australian Securities and Investments Commission (“ASIC Instrument”). Advice. Any advice given to you by the Company, or a representative of the Company, in relation to the RSU Award should not be considered as investment advice and does not take into account your objectives, financial situation, or needs.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 Australian law normally requires persons who offer financial products to give information to investors before they invest. This requires those offering financial products to have disclosed information that is material for investors to make an informed decision. The usual rules do not apply to this offer because it is made under an employee incentive scheme and in reliance on the ASIC Instrument. As a result, you may not be given all of the information normally expected when receiving an offer of financial products in Australia. You will also have fewer other legal protections for this investment. You should consider obtaining your own financial product advice from a person who is licenced by the Australian Securities and Investments Commission (“ASIC”) to give such advice before accepting the RSU Award. Risks. There are risks associated with the Company and a number of general risks associated with an investment in the Restricted Stock Units and the underlying shares of the Company’s Common Stock. These risks may individually or in combination materially and adversely affect the future operating and financial performance of the Company and, accordingly, the value of shares of the Company’s Common Stock. There can be no guarantee that the Company will achieve its stated objectives. Before agreeing to participate in the Plan, you should be satisfied that you have a sufficient understanding of the risks involved in making an investment in the Company and whether it is a suitable investment, having regard to your objectives, financial situation, and needs. The RSU Award will only vest on the satisfaction of the conditions (if any) set out in the enclosed Grant Notice and the issue of the RSU Award to you is subject to the terms of the enclosed RSU Award Agreement and Plan. There is a chance that any conditions attaching to the RSU Award may never be fulfilled and that the RSU Award will not vest. Further risks and rights with respect to holding an RSU Award are set out in the enclosed RSU Award Agreement and Plan. Stock price and currency information. Shares of the Company’s Common Stock are quoted on the NYSE and are valued in U.S. dollars – see https://www.nyse.com/listings_directory/stock. The equivalent stock price in Australian dollars can be calculated by taking the NYSE market price in U.S. dollars and applying the prevailing U.S.$ / A$ exchange rate to the market price. Alternatively, if necessary, the Company will provide you with the market price of the Company’s shares on the NYSE (in Australian dollars) upon written request to the Company. Such information will be provided to you as soon as practicable following the request. Exchange Control Information. Exchange control reporting is required for cash transactions exceeding A$10,000 and international fund transfers. You understand that the Australian bank assisting with the transaction may file the report on your behalf. If there is no Australian bank involved in the transfer, you will be required to file the report. You should consult with your personal advisor to ensure proper compliance with applicable reporting requirements in Australia. Tax Information. This Plan is a plan to which Subdivision 83A-C of the Income Tax Assessment Act 1997 (Cth) applies (subject to the conditions in that Act).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 Data Privacy. Section 5 of this Appendix (Data Privacy) is deleted and replaced with the following: You explicitly and unambiguously consent to the collection, holding, use and disclosure, in electronic or other form, of your personal information (as that term is defined in the Privacy Act 1988 (Cth)) as described in this document by and among, as applicable, your employer, the Company and its Affiliates for the purpose of implementing, administering and managing your participation in the Plan. You understand that the Company, its Affiliates and your employer hold certain personal information about you, including, but not limited to, name, home address and telephone number, email address and other contact details, date of birth, tax file number (or other identification number), salary, nationality, job title, any shares of Common Stock or directorships held in the Company, details of all options or any other entitlement to shares of Common Stock awarded, canceled, purchased, exercised, vested, unvested or outstanding in your favor for the purpose of implementing, managing and administering the Plan (“Data”). The collection of this information may be required for compliance with various legislation, including the Corporations Act 2001 (Cth) and applicable taxation legislation. You understand that the Data may be transferred to any third parties assisting in the implementation, administration and management of the Plan, that these recipients may be located in Australia or elsewhere, in particular in the United States, and that the recipient country may have different data privacy laws providing less protection of your personal data than your country. You may request a list with the names and addresses of any potential recipients of the Data by contacting the stock plan administrator at the Company (the “Stock Plan Administrator”). You authorize the recipients to collect, hold, use and disclose the Data, in electronic or other form, for the purposes of implementing, administering and managing your participation in the Plan, including any requisite transfer of such Data, as may be required to a broker or other third party (that may or may not be located in Australia or elsewhere) with whom you may elect to deposit any shares of the Common Stock acquired upon the vesting of the RSU Award. You understand that Data will be held only as long as is necessary to implement, administer and manage your participation in the Plan or for the period required by law, whichever is the longer. You may, at any time, refuse or withdraw the consents herein, in any case without cost, by contacting the Stock Plan Administrator in writing. You understand that refusing or withdrawing consent may affect your ability to participate in the Plan. You acknowledge that further information on how your employer, the Company and its Affiliates collect, hold, use and disclose Data and personal information (and how you can access, correct or complain about the handling of that Data or personal information by your employer, the Company and its Affiliates) can be found at Asanapedia in the privacy policies of your employer, the Company and its Affiliates or the manager of the Plan (as applicable). CANADA Grant of the RSU Award. Notwithstanding any other provision governing your RSU Award, except as set forth below under “Withholding Obligations”, the Company may not issue you the cash equivalent of Common Stock, in part or in full satisfaction of the delivery of Common Stock upon vesting of your RSU Award.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 Data Privacy. The following provision supplements Section 12 (Data Privacy) of this Appendix: You hereby authorize the Company and its representatives to discuss with and obtain all relevant information from all personnel, professional or not, involved in the administration and operation of the Plan. You further authorize the Company, any Affiliates and any stock plan service provider that may be selected by the Company to assist with the Plan to disclose and discuss the Plan with their respective advisors. You further authorize the Company and any Affiliates to record such information and to keep such information in your employee file. Language Consent. The parties acknowledge that it is their express wish that the RSU Award Agreement, as well as all documents, notices and legal proceedings entered into, given or instituted pursuant hereto or relating directly or indirectly hereto, be drawn up in English. Les parties reconnaissent avoir exigé la rédaction en anglais de cette convention («Agreement»), ainsi que cette Annexe, ainsi que de tous documents, avis et procédures judiciaires, exécutés, donnés ou intentés en vertu de, ou liés directement ou indirectement à, la présente convention. Continuous Service. Notwithstanding anything else in the Plan or the RSU Award Agreement, your Continuous Service will be deemed to end on the date when you cease to be actively providing services to the Company or an Affiliate, regardless of whether the cessation of your employment was lawful, and shall not include any period of statutory, contractual, common law, civil law or other reasonable notice of termination of employment or any period of salary continuance or deemed employment. As a result, if you receive notice of termination for a reason other than Cause, and the Company or its Affiliate does not require you to continue to attend at work and elects to provide you with a payment in lieu of notice, your Continuous Service will end on the date you receive such notice, as opposed any later date when severance payments to you cease. Employment Matters. The definition of “Cause” is modified such that the following supplements the existing definition in the Plan: “Cause” has the meaning ascribed to such term in any written agreement between the Participant and the Company defining such term and, in the absence of such agreement, such term means, with respect to a Participant, the occurrence of any of the following events: (i) 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(iv) such Participant’s gross misconduct; or (v) any other serious act or omission that amounts to just cause at law.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 upon any determination of the rights or obligations of the Company or such Participant for any other purpose. No Fractions. No fractional shares of Common Stock shall be issued under the RSU Award Agreement and no cash amount shall be payable in respect thereof. Voluntary Participation. Your participation in the Plan is voluntary, and you acknowledge and agree that you have not been induced to enter into the RSU Award Agreement or acquire any RSU Award or shares of Common Stock by expectation of employment, engagement or appointment or continued employment, engagement or appointment. Securities Law Information. The definition of “Affiliate” is modified such that the following supplements the existing definition in the Plan: “For purposes of issuances of securities under the Plan to Directors, Employees and Consultants in Canada, an Affiliate means a person (which includes a corporation) that controls the Company or is controlled by the Company or is controlled by the same person that controls the Company. For this purpose, a person (first person) is considered to control a person (second person) if the first person, directly or indirectly, has the power to direct the management and policies of the second person by virtue of ownership of or direction over voting securities in the second person (over 50%); or a written agreement or indenture.” The definition of “Consultant” is modified such that the following supplements the existing definition in the Plan: “For purposes of issuances of securities under the Plan to Consultants in Canada, a Consultant means a person, other than an employee, executive officer or director of the Company or an Affiliate that (a) is engaged to provide services to the Company or an Affiliate, other than services provided in relation to a distribution; (b) provides the services under a written contract with the Company or an Affiliate; and (c) spends or will spend a significant amount of time and attention on the affairs and business of the Company or an Affiliate and includes (d) for an individual consultant, a corporation of which the individual consultant is an employee or shareholder, and a partnership of which the individual consultant is an employee or partner, and (e) for a consultant that is not an individual, an employee, executive officer, or director of the consultant, provided that the individual employee, executive officer, or director spends or will spend a significant amount of time and attention on the affairs and business of the Company or an Affiliate.” You understand that you are permitted to sell the shares of Common Stock acquired pursuant to any RSU Awards, provided that the Company is a “foreign issuer” that is not a public company in any jurisdiction of Canada and the sale of the shares of Common Stock acquired pursuant to the Plan takes place: (i) through an exchange, or a market, outside of Canada on the distribution date; or (ii) to a person or company outside of Canada. For purposes hereof, in addition to not being a reporting issuer in any jurisdiction of Canada, a “foreign issuer” is an issuer that: (i) is not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 incorporated or existing pursuant to the laws of Canada or any jurisdiction of Canada; (ii) does not have its head office in Canada; and (iii) does not have a majority of its executive officers or directors ordinarily resident in Canada. If any designated broker is appointed under the Plan, you shall sell such securities through the designated broker. Foreign Asset/Account Reporting Information. Canadian residents are required to report any foreign property on form T1135 (Foreign Income Verification Statement) if the total cost of their foreign property exceeds C$100,000 at any time in the year. It is your responsibility to comply with these reporting obligations, and you should consult with your own personal tax advisor in this regard. Withholding Obligations. Section 4 of the RSU Award Agreement is deleted and replaced with the following: On or before the time you receive a distribution of the shares of Common Stock underlying your Restricted Stock Units, and at any other time as reasonably requested by the Company in accordance with applicable tax laws, you agree to make adequate arrangements satisfactory to the Company or adequate provision in cash for any sums required to satisfy the federal, state, local and foreign tax withholding and source deduction obligations of the Company or any Affiliate that arise in connection with your RSU Award (the “Withholding Taxes”). Additionally, the Company or any Affiliate may satisfy all or any portion of the Withholding Taxes obligation relating to your RSU Award by any of the following means or by a combination of such means: (i) withholding from any compensation otherwise payable to you by the Company or an Affiliate; (ii) causing you to tender a cash payment; (iii) permitting you to enter into a “same day sale” commitment, if applicable, with a broker-dealer (subject to your written consent) whereby you irrevocably elect to sell a portion of the shares of Common Stock to be delivered in connection with your Restricted Stock Units to satisfy the Withholding Taxes and whereby the broker-dealer irrevocably commits to forward the proceeds necessary to satisfy the Withholding Taxes directly to the Company or its Affiliates; or (iv) permitting you (subject to your written consent) to surrender Restricted Stock Units to the Company for a cash payment which shall be used to satisfy the Withholding Taxes, whereby the number of Restricted Stock Units that may be surrendered for a cash payment shall be equal to the Withholding Taxes divided by a Fair Market Value (measured as of the date shares of Common Stock are otherwise issuable to you pursuant to Section 5). However, the Company does not guarantee that you will be able to satisfy the Withholding Taxes through any of the methods described in the preceding provisions and in all circumstances you remain responsible for timely and fully satisfying the Withholding Taxes. Dividends. Section 3 of the RSU Award Agreement is deleted and replaced with the following: You may become entitled to be granted additional Restricted Stock Units equal to any cash dividends and other distributions paid with respect to a corresponding number of shares of Common Stock in respect of the Restricted Stock Units covered by your RSU Award. In such event, you will automatically be granted additional Restricted Stock Units subject to the RSU Award (the “Dividend Units”), and such Dividend Units shall be subject to the same forfeiture restrictions and restrictions on transferability, and same timing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 requirements for issuance of shares, as apply to the Restricted Stock Units subject to the RSU Award with respect to which the Dividend Units relate. FRANCE Language Consent. The parties to the RSU Award Agreement acknowledge that it is their express wish that the RSU Award Agreement, as well as all documents, notices, and legal proceedings entered into, given or instituted pursuant hereto or relating directly or indirectly hereto, be drawn up in English. Consentement relatif à la langue utilisée. Les parties reconnaissent avoir exigé que cette convention («Agreement») soit rédigée en anglais, ainsi que tous les documents, avis et procédures judiciaires, éxécutés, donnés ou intentés en vertu de, ou liés directement ou indirectement à la présente. Foreign Asset/Account Reporting Information. If you are a French resident and maintain a foreign bank account, you must report such account to the French tax authorities when filing your annual tax return. Failure to comply with this requirement could trigger significant penalties and you should consult with your personal advisor to ensure proper compliance with applicable reporting requirements in France. Exchange Control Information. Cross-border payments towards or from another EU member in excess of €10,000 must be reported to the French Custom Authorities. However, this reporting obligation does not apply to wire transfers made via banks or financial institutions. So, given that the Plan is established by a US company and that, in any case, all money transfers will be made through banks or financial institutions, this reporting obligation should not apply here. GERMANY Securities Disclaimer. The participation in the Plan is exempt or excluded from the requirement to publish a prospectus under the EU Prospectus Directive as implemented in Germany. Exchange Control Information. Cross-border payments in excess of €12,500 must be reported monthly to the German Federal Bank (Bundesbank). In the event that you make or receive a payment in excess of this amount, you are required to report the payment to Bundesbank electronically using the “General Statistics Reporting Portal” (“Allgemeines Meldeportal Statistik”) available via Bundesbank’s website (www.bundesbank.de). Tax Reporting. You must report and pay any capital gains tax liability that arises in connection with the sale of shares acquired under the Plan. In general the statutory deadline of filing annual income tax returns for taxpayers is 31 July of the calendar year following the respective fiscal year. Payment periods of due tax amounts are determined in view of the competent tax office. You should consult with your personal tax advisor to ensure that you are properly complying with applicable reporting requirements in Germany.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 ICELAND Exchange Control Information. You should consult with your personal advisor to ensure compliance with the applicable exchange control regulations in Iceland as such regulations are subject to frequent change. You are responsible for ensuring compliance with all exchange control laws in Iceland. Tax withholding. Upon the issuance of shares of Common Stock to you in settling RSUs the market value of such common stock is subject to withholding at the tax rate applicable to wages at the time of issuance. The withholding amount will be subtracted from your net wage payment following issuance. If such net wage payment does not suffice for payment of the withholding amount you are required to provide the company with enough funds as needed for the withholding amount. IRELAND Director Notification Obligation. Directors, shadow directors and secretaries of the Company’s Irish Affiliates whose interest in the Company represents more than 1% of the Company’s voting share capital are subject to certain notification requirements under Part 5, Chapter 5 of the Companies Act 2014. Directors, shadow directors and secretaries must notify the Irish Affiliates in writing of their interest in the Company (e.g., RSUs, shares of Common Stock, etc.) and the number and class of shares or rights to which the interest relates within five days of the acquisition or disposal of shares or within five days of becoming aware of the event giving rise to the notification. This notification requirement also applies with respect to the interests of a spouse or children under the age of 18 (whose interests will be attributed to the director, shadow director or secretary). Data Privacy. Section 5 (Data Privacy) of this Appendix is deleted and replaced with the following: This section is intended to provide information about the collection and processing of your personal data by the Company. (a) Data Collection and Usage. The Company collect, process and use certain personal information about you, including, but not limited to, your name, home address, telephone number, email address, date of birth, social insurance number or other identification number, salary, nationality, job title, any shares or directorships held in the Company and details of all options or any other entitlement to shares of Common Stock awarded, cancelled, purchased, exercised, vested, unvested or outstanding in your favor for the purpose of implementing, managing and administering the Plan (“Data”), for purposes of implementing, administering and managing the Plan and for compliance with the Company’s legal obligations. The Company is the controller of such Data. The legal basis, where required, for the processing of Data is that the processing is contractually necessary for the performance of the Plan. The Company will share Data with third parties, including brokers or any other third party with whom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 you elect to deposit any shares of Common Stock acquired upon the exercise of your choice under the Plan, law firms, accountants and information technology service providers, for purposes of implementing, administering and managing the Plan. You may request a list with the names and addresses of any potential recipients of the Data by contacting the stock plan administrator at the Company (the “Stock Plan Administrator”). The Company is based in the United States, which means the recipients of Data may be located in the United States or elsewhere. Participants acknowledge and understand that Data will be transferred, processed and stored in the United States, as it is necessary for the performance of the Plan. Where required for purposes of implementing, administering and managing the Plan, the Company may transfer data elsewhere and on the basis of standard contractual clauses. For more information or to obtain a copy of the standard contractual clauses, you can contact the Stock Plan Administrator. The Company will hold and use Data for as long as is necessary to implement, administer and manage your participation in the Plan; as required to comply with legal or regulatory obligations, including under tax, exchange control, labour and securities laws; and as otherwise necessary in connection with legal rights, claims or proceedings. This period may extend beyond the period of your employment with the Company. When the Company no longer needs Data for any of the above purposes, it will cease processing it in this context and remove it from all of its systems used for such purposes to the fullest extent practicable. The Participants may have a number of rights under Regulation (EU) 2016/679 of the European Parliament and of the Council of 27 April 2016 on the protection of natural persons with regard to the processing of personal data and on the free movement of such data, and repealing Directive 95/46/EC (“GDPR”) and applicable Irish data protection legislation. Such rights include the right to (i) request access to Data the Company processes, (ii) request rectification of inaccurate Data, (iii) request the deletion of Data, (iv) request the restriction of processing of Data, (v) request the portability of Data, and (vi) lodge a complaint with the Irish Data Protection Commission or any competent supervisory authority. To receive clarification regarding these rights or to exercise these rights, you can contact the Stock Plan Administrator. For the purposes of operating the Plan in Ireland, the Company will collect and process information relating to you in accordance with the privacy notice from time to time in force. JAPAN Securities Disclosure. The Common Stock have not been registered under the Financial Instruments and Exchange Act of Japan (kinyuu shouhin torihiki hou) (Law No. 25 of 1948, as amended) (the “FIEA”). The shares of Common Stock may not be offered or sold in Japan or to, or for the benefit of, any resident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As used herein, the term “resident of Japan” means any natural person having his place of domicile or residence in Japan, or any corporation or other entity organized under the laws of Japan or having its main office in Japan.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 Foreign Asset / Account Reporting. If you hold assets outside of Japan (e.g., shares of Common Stock acquired under the Plan) with a value exceeding ¥50,000,000 (as of December 31 each year), you are required to comply with annual tax reporting obligations with respect to such assets. Such report will be due by March 15 each year. You should consult with your personal tax advisor to ensure that you are properly complying with applicable reporting requirements in Japan. SINGAPORE Restriction on Sale of Shares. Shares of Common Stock acquired under the Plan prior to the six (6) month anniversary of the date of grant may not be sold or otherwise offered for sale in Singapore, unless such sale or offer is made (i) more than six months after the date of grant; or (ii) pursuant to the exemptions under Part XIII Division (1) Subdivision (4) (other than section 280) of the Singapore Securities and Futures Act (Chapter 289) of Singapore (“SFA”) or pursuant to, and in accordance with the conditions of, any other applicable provision(s) of the SFA. Securities Law Information. The Award is being granted to you pursuant to the “qualifying person” exemption under section 273(1)(i), read with section 273(4)of the SFA. The Plan has not been, nor will it be, lodged or registered as a prospectus with the Monetary Authority of Singapore. Chief Executive Officer and Director Notification Obligation. You acknowledge that if you are the Chief Executive Officer (“CEO”) or a director, as defined under the Companies Act (Chapter 50) of Singapore (“Singapore Companies Act”) of a Singapore Subsidiary, you are subject to certain disclosure requirements under the Singapore Companies Act. Among these requirements is an obligation to notify the Singapore Subsidiary in writing of any interest in shares, debentures, rights or options (e.g., Awards or shares of Common Stock) in the Singapore Subsidiary and/or its “related corporation” as defined under the Singapore Companies Act, within two business days of (i) its acquisition or disposal, (ii) any change in previously disclosed interest (e.g., when the shares of Common Stock are sold), or (iii) becoming a CEO or a director. Personal Data. Section 5(a) (Data Privacy) of this Appendix is deleted and replaced with the following: “You explicitly and unambiguously acknowledge and consent to the collection, use, disclosure and transfer, in electronic or other form, of your Personal Data as described in this document by and among, as applicable, your employer, the Company and its Affiliates for the exclusive purpose of implementing, administering and managing your participation in the Plan. You understand that the Personal Data may be transferred to any third parties assisting in the implementation, administration and management of the Plan, that these recipients may be located in your country or elsewhere, in particular in the US, and that the recipient country may have different data privacy laws providing less protections of your Personal Data than Singapore, in which case the Company will ensure that such recipient(s) provide a standard of protection to such Personal Data so transferred that is comparable to the protection under the Singapore Personal Data Protection Act 2012 (No. 26 of 2012) (“PDPA”). You may request a list with the names and addresses of any potential recipients of the Personal Data by contacting the stock plan administrator at the Company (the “Stock Plan Administrator”). You acknowledge that the recipients may receive, possess, process, use, retain and transfer the Personal Data, in electronic or other form, for the purposes of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 implementing, administering and managing your participation in the Plan, including any requisite transfer of such Personal Data, as may be required to a broker or other third party with whom you may elect to deposit any shares of Common Stock acquired upon the vesting of your RSU Award. You understand that Personal Data will be held only as long as is necessary to implement, administer and manage your participation in the Plan. You understand that the purposes for which your Personal Data will be collected or held may continue to apply even in situations where your employment with your employer has been terminated or altered. You may, at any time, view the Personal Data, request additional information about the storage and processing of the Personal Data, require any necessary amendments to the Personal Data or refuse or withdraw the consents herein, in any case without cost, by contacting the Stock Plan Administrator in writing. For the purposes of this clause, “Personal Data” has the same meaning as set out in the PDPA.” UK Award Not a Service Contract. The following supplements Section 4 (Award Not a Service Contract) of this Appendix: You waive all rights to compensation or damages in consequence of the termination of your office or employment with the Company or any Affiliate for any reason whatsoever (whether lawful or unlawful and including, without prejudice to the foregoing, in circumstances giving rise to a claim for wrongful dismissal) in so far as those rights arise or may arise from you ceasing to hold or being able to vest your Award, or from the loss or diminution in value of any rights or entitlements in connection with the Plan. Withholding Obligations. The following supplements Section 4 of the RSU Award Agreement: As a condition of the vesting of your RSU Award, you unconditionally and irrevocably agree: (i) to place the Company in funds and indemnify the Company in respect of (1) all liability to UK income tax which the Company is liable to account for on your behalf directly to HM Revenue &amp; Customs; (2) all liability to national insurance contributions which the Company is liable to account for on your behalf to HM Revenue &amp; Customs (including, to the extent permitted by law, secondary class 1 (employer’s) national insurance contributions for which you are liable and hereby agree to bear); and (3) all liability to national insurance contributions for which the Company is liable and which are formally transferred to you, which arises as a consequence of or in connection with your RSU Award (the “UK Tax Liability”); or (ii) to permit the Company to sell at the best price which it can reasonably obtain such number of shares of Common Stock allocated or allotted to you following vesting as will provide the Company with an amount equal to the UK Tax Liability; and to permit the Company to withhold an amount not exceeding the UK Tax Liability from any payment made to you (including, but not limited to salary);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 (iii) if so required by the Company, and, to the extent permitted by law, to enter into a joint election or other arrangements under which the liability for all or part of such employer’s national insurance contributions liability is transferred to you; and (iv) if so required by the Company, to enter into a joint election within Section 431 of (UK) Income Tax (Earnings and Pensions) Act 2003 (“ITEPA”) in respect of computing any tax charge on the acquisition of “restricted securities” (as defined in Section 423 and 424 of ITEPA); and (v) to sign, promptly, all documents required by the Company to effect the terms of this provision, and references in this provision to “the Company” shall, if applicable, be construed as also referring to any Affiliate. Clawback/Recovery. By executing the RSU Award Agreement, you expressly consent in writing to the application of the right of recoupment to your RSU Award in accordance with the terms of Section 9(i) of the Plan.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ATTACHMENT II ASANA, INC. 2020 EQUITY INCENTIVE PLAN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ASANA, INC. 2020 EQUITY INCENTIVE PLAN ADOPTED BY THE BOARD OF DIRECTORS: AUGUST 19, 2020 APPROVED BY THE STOCKHOLDERS: AUGUST 31, 2020 EFFECTIVE DATE: SEPTEMBER [21], 2020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TABLE OF CONTENTS Page 1. GENERAL.12. SHARES SUBJECT TO THE PLAN.13. ELIGIBILITY AND LIMITATIONS.Error! Bookmark not defined.4. OPTIONS AND STOCK APPRECIATION RIGHTS.35. AWARDS OTHER THAN OPTIONS AND STOCK APPRECIATION RIGHTS.66. ADJUSTMENTS UPON CHANGES IN COMMON STOCK; OTHER CORPORATE EVENTS.87. ADMINISTRATION.108. TAX WITHHOLDING129. MISCELLANEOUS.1410. COVENANTS OF THE COMPANY.1711. SEVERABILITY.1712. TERMINATION OF THE PLAN.1713. DEFINITIONS.178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 1. GENERAL. (a) Successor to and Continuation of Prior Plans. The Plan is the successor to and continuation of the Prior Plans. As of the Effective Date, (i) no additional awards may be granted under the Prior Plans; (ii) the Prior Plans’ Available Reserve plus any Returning Shares will become available for issuance pursuant to Awards granted under this Plan; and (iii) all outstanding awards granted under the Prior Plans will remain subject to the terms of the Prior Plans (except to the extent such outstanding awards result in Returning Shares that become available for issuance pursuant to Awards granted under this Plan). All Awards granted under this Plan will be subject to the terms of this Plan. (b) Plan Purpose.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 (c) Available Awards. The Plan provides for the grant of the following Awards: (i) Incentive Stock Options; (ii) Nonstatutory Stock Options; (iii) SARs; (iv) Restricted Stock Awards; (v) RSU Awards; (vi) Performance Awards; and (vii) Other Awards. (d) Adoption Date; Effective Date. The Plan will come into existence on the Adoption Date, but no Award may be granted prior to the Effective Date. 2. SHARES SUBJECT TO THE PLAN. (a) Share Reserve. Subject to adjustment in accordance with Section 2(c) and any adjustments as necessary to implement any Capitalization Adjustments, the aggregate number of shares of Common Stock that may be issued pursuant to Awards will not exceed the sum of: (i) 18,000,000 new shares, plus (ii) the Prior Plans’ Available Reserve, plus (iii) the number of Returning Shares, if any, as such shares become available from time to time. In addition, subject to any adjustments as necessary to implement any Capitalization Adjustments, such aggregate number of shares of Common Stock will automatically increase on February 1 of each year for a period of ten years commencing on February 1, 2021 and ending on (and including) February 1, 2030, in an amount equal to 5% of the total number of shares of the Company’s capital stock outstanding on January 31 of the preceding fiscal year; provided, however, that the Board may act prior to February 1st of a given year to provide that the increase for such year will be a lesser number of shares of Common Stock. (b) Aggregate Incentive Stock Option Limit. Notwithstanding anything to the contrary in Section 2(a) and subject to any adjustments as necessary to implement any Capitalization Adjustments, the aggregate maximum number of shares of Common Stock that may be issued pursuant to the exercise of Incentive Stock Options is 60,000,000 shares. (c) Share Reserve Operation. (i) Limit Applies to Common Stock Issued Pursuant to Awards. For clarity, the Share Reserve is a limit on the number of shares of Common Stock that may be issued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 (ii) Actions that Do Not Constitute Issuance of Common Stock and Do Not Reduce Share Reserve.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(i.e., the Participant receives cash rather than Common Stock), (3) the withholding of shares that would otherwise be issued by the Company to satisfy the exercise, strike or purchase price of an Award; (4) the withholding of shares that would otherwise be issued by the Company to satisfy a tax withholding obligation in connection with an Award. (iii) Reversion of Previously Issued Shares of Common Stock to Share Reserve. 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 3. ELIGIBILITY AND LIMITATIONS. (a) Eligible Award Recipients. Subject to the terms of the Plan, Employees, Directors and Consultants are eligible to receive Awards. (b) Specific Award Limitations. (i) Limitations on Incentive Stock Option Recipients. Incentive Stock Options may be granted only to Employees of the Company or a “parent corporation” or “subsidiary corporation” thereof (as such terms are defined in Sections 424(e) and (f) of the Code). (ii) Incentive Stock Option $100,000 Limitation.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 Nonstatutory Stock Options, notwithstanding any contrary provision of the applicable Option Agreement(s). (iii) Limitations on Incentive Stock Options Granted to Ten Percent Stockholders. A Ten Percent Stockholder may not be granted an Incentive Stock Option unless (i) the exercise price of such Option is at least 110% of the Fair Market Value on the date of grant of such Option and (ii) the Option is not exercisable after the expiration of five years from the date of grant of such Option. (iv) Limitations on Nonstatutory Stock Options and SARs. Nonstatutory Stock Options and SARs 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 (c) Aggregate Incentive Stock Option Limit. The aggregate maximum number of shares of Common Stock that may be issued pursuant to the exercise of Incentive Stock Options is the number of shares specified in Section 2(b). (d) Non-Employee Director Compensation Limit. The aggregate value of all compensation granted or paid, as applicable, to any individual for service as a Non-Employee Director with respect to any calendar year, including Awards granted and cash fees paid by the Company to such Non-Employee Director, will not exceed (i) $750,000 in total value or (ii) in the event such Non-Employee Director is first appointed or elected to the Board during such calendar year, $1,000,000 in total value, in each case calculating the value of any equity awards based on the grant date fair value of such equity awards for financial reporting purposes. 4. OPTIONS AND STOCK APPRECIATION RIGHTS. 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 (a) Term. Subject to Section 3(b) regarding Ten Percent Stockholders, no Option or SAR will be exercisable after the expiration of ten years from the date of grant of such Award or such shorter period specified in the Award Agreement. (b) Exercise or Strike Price. Subject to Section 3(b) regarding Ten Percent Stockholders, the exercise or strike price of each Option or SAR will not be less than 100% of the Fair Market Value on the date of grant of such Award. Notwithstanding the foregoing, an Option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 (c) Exercise Procedure and Payment of Exercise Price for Options.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 (i) by cash or check, bank draft or money order payable to the Company; (ii) 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 (iii) 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 (iv) 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 (v) in any other form of consideration that may be acceptable to the Board and permissible under Applicable Law. (d) Exercise Procedure and Payment of Appreciation Distribution for SARs. In order to exercise any SAR, the Participant must provide notice of exercise to the Plan Administrator in accordance with the SAR Agreement. The appreciation distribution payable to a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 (e) Transferability. The Board may, in its sole discretion, impose such limitations on the transferability of Options and SARs as the Board will determine. In the absence of such a determination by the Board to the contrary, the following restrictions on the transferability of Options and SARs will apply: (i) Restrictions on Transfer. An Option or SAR will not be transferable except by will or by the laws of descent and distribution, and will be exercisable during the lifetime of the Participant only by the Participant. The Board may permit transfer of the Option or SAR in a manner that is not prohibited by applicable laws or regulations. Except as explicitly provided in the Plan, neither an Option nor a SAR may be transferred for consideration. (ii) Domestic Relations Orders. Subject to the approval of the Board or a duly authorized Officer, an Option or SAR may be transferred pursuant to the terms of a domestic relations order, official marital settlement agreement or other divorce or separation instrument as permitted by Treasury Regulations Section 1.421-1(b)(2) or comparable non-U.S. law. If an Option is an Incentive Stock Option, such Option may be deemed to be a Nonstatutory Stock Option as a result of such transfer. (f) Vesting. The Board may impose such restrictions on or conditions to the vesting and/or 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 (g) Termination of Continuous Service for Cause. Except as explicitly otherwise provided in the 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 (h) Post-Termination Exercise Period Following Termination of Continuous Service for Reasons Other than Cause. If a Participant’s Continuous Service terminates for any reason other than for Cause, the Participant may exercise his or her Option or SAR, to the extent vested, prior to expiration of its maximum term (as set forth in Section 4(a)) or, if applicable, such shorter period of time provided in the Award Agreement or other written agreement between a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 Participant and the Company or an Affiliate. 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terminated Award, the shares of Common Stock subject to the terminated Award, or any consideration in respect of the terminated Award. (i) Non-Exempt Employees. 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4(h) is intended to operate so that any income derived by a non-exempt employee in connection with the exercise or vesting of an Option or SAR will be exempt from his or her regular rate of pay. (j) Whole Shares. Options and SARs may be exercised only with respect to whole shares of Common Stock or their equivalents. 5. AWARDS OTHER THAN OPTIONS AND STOCK APPRECIATION RIGHTS. (a) Restricted Stock Awards and RSU Awards. 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 (i) Form of Award. (1) 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(2) 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(ii) Consideration. (1) 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 (2) 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 (iii) Vesting. 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 (iv) Termination of Continuous Service. Except as otherwise provided in the Award Agreement or other written agreement between a 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 (v) Dividends and Dividend Equivalents. Dividends or dividend equivalents may be paid or credited, as applicable, with respect to any shares of Common Stock subject to a Restricted Stock Award or RSU Award, as determined by the Board and specified in the Award Agreement). (vi) Settlement of RSU Awards. A RSU Award may be settled by the issuance of shares of Common Stock or cash (or any combination thereof) or in any other form of payment, as determined by the Board and specified in the RSU Award Agreement. At the time of grant,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 the Board may determine to impose such restrictions or conditions that delay such delivery to a date following the vesting of the RSU Award. (b) Performance Awards.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 (c) Other Awards. Other forms of Awards valued in whole or in part by reference to, or otherwise based on, Common Stock, including 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 6. ADJUSTMENTS UPON CHANGES IN COMMON STOCK; OTHER CORPORATE EVENTS. (a) Capitalization Adjustments. In the event of a Capitalization Adjustment, the Board shall appropriately and proportionately 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 (b) Dissolution or Liquidation.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 (c) Corporate Transaction. The following provisions will apply to Awards in the event of a Corporate Transaction unless otherwise provided in the instrument evidencing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 Award or any other written agreement between the Company or any Affiliate and the Participant or unless otherwise expressly provided by the Board at the time of grant of an Award. (i) Awards May Be Assumed.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For the purposes of the Plan, an Award shall be considered assumed, continued or substituted if, following the Corporate Transaction, the Award confers the right to purchase or receive, for each share subject to the Award immediately prior to the Corporate Transaction, the consideration (whether stock, cash or other property) received in the Corporate Transaction by holders of shares for each share of Common Stock held on the effective time of such transaction (and if holders were offered a choice of consideration, the type of consideration chosen by the holders of a majority of the outstanding shares of Common Stock). The terms of any assumption, continuation or substitution will otherwise be set by the Board. (ii) Awards Held by Current Participants.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“Current Participants”),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any reacquisition or repurchase rights held by the Company with respect to such Awards will lapse (contingent upon the effectiveness of the Corporate Transaction), and such Awards will (A) terminate if not exercised (if applicable) prior to the effective time of the Corporate Transaction and (B) the Current Participants will have the right to receive a payment, in such form as may be determined by the Board, equal in value, at the effective time, to the excess, if any, of (1) the value of the property the Current Participant would have received upon exercise of the Award, over (2) any exercise price payable by the Current Participant in connection with such exercise.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(iii) Awards Held by Persons other than Current Participants. In the event of a Corporate Transaction in which the surviving corporation or acquiring corporation (or its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 parent company) does not assume or continue such outstanding Awards or substitute similar awards for such outstanding Awards, then with respect to Awards that have not been assumed, continued or substituted and that are held by persons other than Current Participants, any reacquisition or repurchase rights held by the Company with respect to such Awards will lapse (contingent upon the effectiveness of the Corporate Transaction) and such Awards will (A) terminate if not exercised (if applicable) prior to the effective time of the Corporate Transaction and (B) such persons will have the right to receive a payment, in such form as may be determined by the Board, equal in value, equal in value, at the effective time, to the excess, if any, of (1) the value of the property the person would have received upon the exercise of the Award, over (2) any exercise price payable by the person in connection with such exercise. (d) Appointment of Stockholder Representative.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 (e) No Restriction on Right to Undertake Transactions. The grant of any Award under the Plan and the 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7. ADMINISTRATION. (a) Administration by Board. The Board will administer the Plan unless and until the Board delegates administration of the Plan to a Committee or Committees, as provided in subsection (c) below. (b) Powers of Board. The Board will have the power, subject to, and within the limitations of, the express provisions of the Plan: (i) 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 Stock, including the amount of cash payment or other property that may be earned and the timing of payment. (ii) 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 (iii) To settle all controversies regarding the Plan and Awards granted under it. (iv) To accelerate the time at which an Award may first be exercised or the time during which an Award or any part thereof will vest, notwithstanding the provisions in the Award Agreement stating the time at which it may first be exercised or the time during which it will vest. (v) 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 (vi) To suspend or terminate the Plan at any time. Suspension or termination of the Plan will not Materially Impair rights and obligations under any Award granted while the Plan is in effect except with the written consent of the affected Participant. (vii) To amend the Plan in any respect the Board deems necessary or advisable; provided, however,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 (viii) To submit any amendment to the Plan for stockholder approval. (ix) 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a Participant’s rights under any Award will not be Materially Impaired by any such amendment unless (1) the Company requests the consent of the affected Participant, and (2) such Participant consents in writing. (x) Generally, to exercise such powers and to perform such acts as the Board deems necessary or expedient to promote the best interests of the Company and that are not in conflict with the provisions of the Plan or Awards.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 (xi) 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 (xii) 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 (c) Delegation to Committee. (i) General.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(ii) Rule 16b-3 Compliance.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 (d) Effect of Board’s Decision. All determinations, interpretations and constructions made by the Board or any Committee in good faith will not be subject to review by any person and will be final, binding and conclusive on all persons. (e) Delegation to an Officer. The Board or any Committee may delegate to one or more Officers the authority to do one or both of the following (i) designate Employees who are not Officers to be recipients of Options and SARs (and, to the extent permitted by Applicable Law,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 8. TAX WITHHOLDING (a) Withholding Authorization. As a condition to acceptance of any Award under the Plan, a Participant authorizes withholding from payroll and any other amounts payable to such Participant, and otherwise agree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 (b) Satisfaction of Withholding Obligation. To the extent permitted by the terms of an Award Agreement, the Company may, in its sole 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 (c) No Obligation to Notify or Minimize Taxes; No Liability to Claims. 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 (d) Withholding Indemnification.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9. MISCELLANEOUS. (a) Source of Shares. The stock issuable under the Plan will be shares of authorized but unissued or reacquired Common Stock, including shares repurchased by the Company on the open market or otherwise. (b) Use of Proceeds from Sales of Common Stock. Proceeds from the sale of shares of Common Stock pursuant to Awards will constitute general funds of the Company. (c) Corporate Action Constituting Grant of Awards.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 (d) Stockholder Rights.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 (e) No Employment or Other Service Rights.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 (f) Change in Time Commitment.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 (g) Execution of Additional Documents.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 (h) Electronic Delivery and Participation.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 (i) Clawback/Recovery.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16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 (j) Securities Law Compliance. 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 (k) Transfer or Assignment of Awards; Issued Shares. Except as expressly provided in the Plan or the form of 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 (l) Effect on Other Employee Benefit Plans. 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 (m) Deferrals. 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 (n) Section 409A. 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17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 (o) Choice of Law. 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 10. COVENANTS OF THE COMPANY. (a) Compliance with Law. 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 11. SEVERABILITY. 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 12. TERMINATION OF THE PLAN. 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18 13. DEFINITIONS. As used in the Plan, the following definitions apply to the capitalized terms indicated below: (a) “Acquiring Entity” means the surviving or acquiring corporation (or its parent company) in connection with a Corporate Transaction. (b) “Adoption Date” means the date the Plan is first approved by the Board. (c) “Affiliate” means, at the time of determination, any “parent” or “subsidiary” of the Company as such terms are defined in Rule 405 promulgated under the Securities Act. The Board may determine the time or times at which “parent” or “subsidiary” status is determined within the foregoing definition. (d) “Applicable Law”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 (e) “Award” means any right to receive Common Stock, cash or other property granted under the Plan (including an Incentive Stock Option, a Nonstatutory Stock Option, a Restricted Stock Award, a RSU Award, a SAR, a Performance Award or any Other Award). (f) “Award Agreement”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 (g) “Board”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 (h) “Capitalization Adjustment” 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19 (i) “Cause” has the meaning ascribed to such term in any written agreement between the Participant and the Company defining such term and, in the absence of such agreement, such term means, with respect to a Participant, the occurrence of any of the following events: (i) 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or (iv) such Participant’s gross misconduct.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 (j) “Change in Control” or “Change of Control”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 (i) 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“Subject Person”)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 (ii)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20 in each case in substantially the same proportions as their Ownership of the outstanding voting securities of the Company immediately prior to such transaction; (iii) the stockholders of the Company approve or the Board approves a plan of complete dissolution or liquidation of the Company, or a complete dissolution or liquidation of the Company shall otherwise occur, except for a liquidation into a parent corporation; (iv)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(v) individuals who, on the date the Plan is adopted by the Board, are members of the Board (the “Incumbent Board”)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(k) “Code” means the Internal Revenue Code of 1986, as amended, including any applicable regulations and guidance thereunder. (l) “Committee” means the Compensation Committee and any other committee of Directors to whom authority has been delegated by the Board or Compensation Committee in accordance with the Plan. (m) “Common Stock” means the Class A common stock of the Company. (n) “Company” means Asana, Inc., a Delaware corporation. (o) “Compensation Committee” means the Compensation Committee of the Board. (p) “Consultant”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21 foregoing, a person is treated as a Consultant under this Plan only if a Form S-8 Registration Statement under the Securities Act is available to register either the offer or the sale of the Company’s securities to such person. (q) “Continuous Service”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 (r) “Corporate Transaction” means the consummation, in a single transaction or in a series of related transactions, of any one or more of the following events: (i) a sale or other disposition of all or substantially all, as determined by the Board, of the consolidated assets of the Company and its Subsidiaries; (ii) a sale or other disposition of at least 50% of the outstanding securities of the Company; (iii) a merger, consolidation or similar transaction following which the Company is not the surviving corporation; or (iv)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(s) “Director” means a member of the Board.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22 (t) “determine” or “determined” means as determined by the Board or the Committee (or its designee) in its sole discretion. (u) “Disability”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(v) “Effective Date” means the effective date of a registration statement for an initial public offering of the Company’s common stock through a traditional initial public offering or a direct listing; provided, that this Plan is approved by the Company’s stockholders prior to such date. (w) “Employee” means any person employed by the Company or an Affiliate. However, service solely as a Director, or payment of a fee for such services, will not cause a Director to be considered an “Employee” for purposes of the Plan. (x) “Employer” means the Company or the Affiliate of the Company that employs the Participant. (y) “Entity” means a corporation, partnership, limited liability company or other entity. (z) “Exchange Act” means the Securities Exchange Act of 1934, as amended, and the rules and regulations promulgated thereunder. (aa) “Exchange Act Person”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 (bb) “Fair Market Value” means, as of any date, unless otherwise determined by the Board, the value of the Common Stock (as determined on a per share or aggregate basis, as applicable) determined as follows: (i) If the Common Stock is listed on any established stock exchange or traded on any established market, the Fair Market Value will be the closing sales price for such stock as quoted on such exchange or market (or the exchange or market with the greatest volume of trading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23 in the Common Stock) on the date of determination, as reported in a source the Board deems reliable. (ii) If there is no closing sales price for the Common Stock on the date of determination, then the Fair Market Value will be the closing selling price on the last preceding date for which such quotation exists. (iii) In the absence of such markets for the Common Stock, or if otherwise determined by the Board, the Fair Market Value will be determined by the Board in good faith and in a manner that complies with Sections 409A and 422 of the Code. (cc) “Governmental Body” means any: (a) nation, state, commonwealth, province, territory, county, municipality, district or other jurisdiction of any nature; (b) federal, state, local, municipal, foreign or other government; (c) governmental or regulatory body, or quasi- 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 (dd) “Grant Notice”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 (ee) “Incentive Stock Option” means an option granted pursuant to Section 4 of the Plan that is intended to be, and qualifies as, an “incentive stock option” within the meaning of Section 422 of the Code. (ff) “Materially Impair”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 (gg) “Non-Employee Director” means a Director who either (i) is not a current employee or officer of the Company or an Affiliate, does not receive compensation, either directly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24 or indirectly, from the Company or an Affiliate for services rendered as a consultant or in any capacity other than as a Director (except for an amount as to which disclosure would not be required under Item 404(a) of Regulation S-K promulgated pursuant to the Securities Act (“Regulation S-K”)),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(hh) “Nonstatutory Stock Option” means any option granted pursuant to Section 4 of the Plan that does not qualify as an Incentive Stock Option. (ii) “Officer” means a person who is an officer of the Company within the meaning of Section 16 of the Exchange Act. (jj) “Option” means an Incentive Stock Option or a Nonstatutory Stock Option to purchase shares of Common Stock granted pursuant to the Plan. (kk) “Option Agreement”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 (ll) “Optionholder” means a person to whom an Option is granted pursuant to the Plan or, if applicable, such other person who holds an outstanding Option. (mm) “Other Award” means an award based in whole or in part by reference to the Common Stock which is granted pursuant to the terms and conditions of Section 5(c). (nn) “Other Award Agreement” means a written agreement between the Company and a holder of an Other Award evidencing the terms and conditions of an Other Award grant. Each Other Award Agreement will be subject to the terms and conditions of the Plan. (oo) “Own,” “Owned,” “Owner,” “Ownership”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(pp) “Participant” means an Employee, Director or Consultant to whom an Award is granted pursuant to the Plan or, if applicable, such other person who holds an outstanding Award. (qq) “Performance Award”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25 may determine that cash or other property may be used in payment of Performance Awards. Performance Awards that are settled in cash or other property are not required to be valued in whole or in part by reference to, or otherwise based on, the Common Stock. (rr) “Performance Criteria” means the one or more criteria that the Board will select for purposes of establishing the Performance Goals for a Performance Period. The Performance Criteria that will be used to establish such Performance Goals may be based on any measure of performance selected by the Board. (ss) “Performance Goals”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 (tt) “Performance Period”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 (uu) “Plan” means this Asana, Inc. 2020 Equity Incentive Plan.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26 (vv) “Plan Administrator” means the person, persons, and/or third-party administrator designated by the Company to administer the day to day operations of the Plan and the Company’s other equity incentive programs. (ww) “Post-Termination Exercise Period” means the period following termination of a Participant’s Continuous Service within which an Option or SAR is exercisable, as specified in Section 4(g). (xx) “Prior Plans’ Available Reserve” means the number of shares available for the grant of new awards under the Prior Plans as of immediately prior to the Effective Date. (yy) “Prior Plans” means the Asana, Inc. 2009 Stock Plan, as amended, and the Asana, Inc. Amended and Restated 2012 Stock Plan. (zz) “Prospectus” means the document containing the Plan information specified in Section 10(a) of the Securities Act. (aaa) “Restricted Stock Award” or “RSA” means an Award of shares of Common Stock which is granted pursuant to the terms and conditions of Section 5(a). (bbb) “Restricted Stock Award Agreement”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 (ccc) “Returning Shares” means shares subject to outstanding stock awards granted under the Prior Plans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 (ddd) “RSU Award” or “RSU” means an Award of restricted stock units representing the right to receive an issuance of shares of Common Stock which is granted pursuant to the terms and conditions of Section 5(a). (eee) “RSU Award Agreement” means a written agreement between the Company and a holder of a RSU Award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27 (fff) “Rule 16b-3” means Rule 16b-3 promulgated under the Exchange Act or any successor to Rule 16b-3, as in effect from time to time. (ggg) “Rule 405” means Rule 405 promulgated under the Securities Act. (hhh) “Section 409A” means Section 409A of the Code and the regulations and other guidance thereunder. (iii) “Section 409A Change in Control” means a change in the ownership or effective control of the Company, or in the ownership of a substantial portion of the Company’s assets, as provided in Section 409A(a)(2)(A)(v) of the Code and Treasury Regulations Section 1.409A- 3(i)(5) (without regard to any alternative definition thereunder). (jjj) “Securities Act” means the Securities Act of 1933, as amended. (kkk) “Share Reserve” means the number of shares available for issuance under the Plan as set forth in Section 2(a). (lll) “Stock Appreciation Right” or “SAR” means a right to receive the appreciation on Common Stock that is granted pursuant to the terms and conditions of Section 4. (mmm) “SAR Agreement”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 (nnn) “Subsidiary”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(ooo) “Ten Percent Stockholder” means a person who Owns (or is deemed to Own pursuant to Section 424(d) of the Code) stock possessing more than 10% of the total combined voting power of all classes of stock of the Company or any Affiliate. (ppp) “Trading Policy” means the Company’s policy permitting certain individuals to sell Company shares only during certain "window" periods and/or otherwise restricts the ability of certain individuals to transfer or encumber Company shares, as in effect from time to time. </w:t>
      </w:r>
    </w:p>
    <w:p>
      <w:pPr>
        <w:pStyle w:val="HorizontalLine"/>
        <w:pBdr>
          <w:bottom w:val="single" w:sz="20" w:space="0" w:color="808080"/>
        </w:pBdr>
        <w:jc w:val="center"/>
        <w:rPr/>
      </w:pPr>
      <w:r>
        <w:rPr/>
      </w:r>
    </w:p>
    <w:p>
      <w:pPr>
        <w:pStyle w:val="TextBody"/>
        <w:jc w:val="center"/>
        <w:rPr/>
      </w:pPr>
      <w:r>
        <w:rPr/>
        <w:t> </w:t>
      </w:r>
      <w:r>
        <w:br w:type="page"/>
      </w:r>
    </w:p>
    <w:p>
      <w:pPr>
        <w:pStyle w:val="TextBody"/>
        <w:spacing w:before="0" w:after="0"/>
        <w:jc w:val="center"/>
        <w:rPr/>
      </w:pPr>
      <w:bookmarkStart w:id="2" w:name="a104-2020equityincentive.htm"/>
      <w:bookmarkStart w:id="3" w:name="ksa1042020equityincentive"/>
      <w:bookmarkEnd w:id="2"/>
      <w:bookmarkEnd w:id="3"/>
      <w:r>
        <w:rPr/>
        <w:drawing>
          <wp:inline distT="0" distB="0" distL="0" distR="0">
            <wp:extent cx="10048875" cy="13001625"/>
            <wp:effectExtent l="0" t="0" r="0" b="0"/>
            <wp:docPr id="18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FORM RSU WITH ONE- OR TWO-YEAR HOLDING PERIOD ASANA, INC. 2020 EQUITY INCENTIVE PLAN RSU AWARD GRANT NOTICE Asana, Inc. (the “Company”) has awarded to you (the “Participant”) the number of restricted stock units specified and on the terms set forth below in consideration of your services (the “RSU Award”). Your RSU Award is subject to all of the terms and conditions as set forth herein and in the Company’s 2020 Equity Incentive Plan (the “Plan”) and the Award Agreement including, if you are resident, subject to tax, or work outside the U.S., the general non-US terms and any special terms and conditions for your country, each set out in the attached appendix (the “Appendix” and together, the “Agreement”), which are attached hereto and incorporated herein in their entirety. Capitalized terms not explicitly defined herein but defined in the Plan or the Agreement shall have the meanings set forth in the Plan or the Agreement. Participant: Date of Grant: Vesting Commencement Date: Number of Restricted Stock Units: Vesting Schedule: [___________________________________________________]. Notwithstanding the foregoing, vesting shall terminate upon the Participant’s termination of Continuous Service [FOR NEW HIRE GRANTS: (except as otherwise provided in the following paragraphs)]. [FOR NEW HIRE GRANTS (add defined term “Cliff Vesting Date” to vesting schedule above): In the event the Participant’s Continuous Service terminates due to a termination by the Company other than for Cause prior to the Cliff Vesting Date of the Participant’s new hire grant, the RSU Award shall become vested as to a prorated portion of the shares of Common Stock that would have vested on such Cliff Vesting Date but for the Participant’s prior termination; provided, that, in order to receive any vesting acceleration, the Participant must comply with the Release Condition (as defined below). Pursuant to this provision, the prorated accelerated vesting shall be calculated as follows: (x) the number of shares of Common Stock that would have vested on the Cliff Vesting Date multiplied by (y) a fraction the numerator of which is the number of full months of the Participant’s Continuous Service during the period commencing [12]1 months prior to the Cliff Vesting Date and ending on the Participant’s termination date and the denominator of which is [12]2. 1 [NTD: Include number of full months from hire date to initial Cliff Vesting Date (e.g., 12, 13, or 14 months).] 2 [NTD: Include number of full months from hire date to initial Cliff Vesting Date (e.g., 12, 13, or 14 months).]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For instance, if the Participant’s Continuous Service terminates due to a termination by the Company other than for Cause five months after the Participant’s hiring date, then, subject to the Participant complying with the Release Condition, vesting will accelerate as to a prorated portion of the shares of Common Stock that would have vested on the Cliff Vesting Date but for the Participant’s prior termination, with such accelerated portion equal to (x) the number of shares of Common Stock that would have vested on the Cliff Vesting Date multiplied by (y) a fraction, the numerator of which is 5 and the denominator of which is the number of full months from hire date to the Cliff Vesting Date (e.g., 12, 13, or 14 months). For purposes of this award, the “Release Condition” means that the Participant has executed a full and complete general release of all claims that the Participant may have against the Company or its Affiliates pursuant to the Company’s standard form for Participant’s country that will be provided to the Participant; provided, that such release becomes effective and irrevocable no later than the 60th day after the Participant’s termination date.]3 Issuance Schedule: Except as provided in Section 5 of the Agreement, the Company shall issue and deliver one (1) share of Common Stock for each restricted stock unit that has vested under this RSU Award on the earliest to occur of: ● The [first]/[second] anniversary of the vesting date of such restricted stock unit; and ● a “change in control event” within the meaning of Section 409A. Participant Acknowledgements: By your signature below or by electronic acceptance or authentication in a form authorized by the Company, you understand and agree that: ● The RSU Award is governed by this RSU Award Grant Notice (the “Grant Notice”), and the provisions of the Plan and the Agreement, all of which are made a part of this document. Unless otherwise provided in the Plan, this Grant Notice and the Agreement (together, the “RSU Award Agreement”) may not be modified, amended or revised except in a writing signed by you and a duly authorized officer of the Company. ● You have read and are familiar with the provisions of the Plan, the RSU Award Agreement and the Prospectus. In the event of any conflict between the provisions in the RSU Award Agreement, or the Prospectus and the terms of the Plan, the terms of the Plan shall control. ● The RSU Award Agreement sets forth the entire understanding between you and the Company regarding the acquisition of Common Stock and supersedes all prior oral and 3 [NTD: Pro rata vesting acceleration provisions bracketed here are only to be included in initial new hire grants. Not intended for refresh or other grants.]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 ASANA, INC. PARTICIPANT: By: Signature Signature Title: Date: Date: ATTACHMENTS: RSU Award Agreement (including the Appendix)), 2020 Equity Incentive Plan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 ATTACHMENT I ASANA, INC. 2020 EQUITY INCENTIVE PLAN AWARD AGREEMENT (RSU AWARD) As reflected by your RSU Award Grant Notice (“Grant Notice”) Asana, Inc. (the “Company”) has granted you a RSU Award under its 2020 Equity Incentive Plan (the “Plan”) for the number of restricted stock units as indicated in your Grant Notice (the “RSU Award”). The terms of your RSU Award as specified in this Award Agreement for your RSU Award including, if you are resident, subject to tax, or engaged outside the U.S., the general non-US terms and any special terms and conditions for your country, each set out in the attached appendix (the “Appendix” and together, the “Agreement”) and the Grant Notice constitute your “RSU Award Agreement”. Defined terms not explicitly defined in this Agreement but defined in the Grant Notice or the Plan shall have the same definitions as in the Grant Notice or Plan, as applicable. The general terms applicable to your RSU Award are as follows: 1. GOVERNING PLAN DOCUMENT. Your RSU Award is subject to all the provisions of the Plan, including but not limited to the provisions in: (a) Section 6 of the Plan regarding the impact of a Capitalization Adjustment, dissolution, liquidation, or Corporate Transaction on your RSU Award; (b) Section 9(e) of the Plan regarding the Company’s retained rights to terminate your Continuous Service notwithstanding the grant of the RSU Award; and (c) Section 8(c) of the Plan regarding the tax consequences of your RSU Award. 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 2. GRANT OF THE RSU AWARD. This RSU Award represents your right to be issued on a future date the number of shares of the Company’s Common Stock that is equal to the number of restricted stock units indicated in the Grant Notice as modified to reflect any Capitalization Adjustment and subject to your satisfaction of the vesting conditions set forth therein (the “Restricted Stock Units”).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 3. DIVIDENDS. You shall receive no benefit or adjustment to your RSU Award with respect to any cash dividend, stock dividend or other distribution that does not result from a Capitalization Adjustment as provided in the Plan; provided, however, that this sentence shall not apply with respect to any shares of Common Stock that are delivered to you in connection with your RSU Award after such shares have been delivered to you. 4. WITHHOLDING OBLIGATIONS. As further provided in Section 8 of the Plan, you hereby authorize withholding from payroll and any other amounts payable to you, and otherwise agree to make adequate provision for, any sums required to satisfy the federal, state, local and foreign tax and/or social security withholding obligations, if any, which arise in connection with your RSU Award (the “Withholding Taxes”) in accordance with the withholding procedures established by the Company. Unless the Withholding Taxes are satisfied, the Company shall have no obligation to deliver to you any Common Stock in respect of the RSU Award. In the event the obligation of the Company or its Affiliate with respect to Withholding Taxes (a “Withholding Obligation”) arises prior to the delivery to you of Common Stock or it is determined after the delivery of Common Stock to you that the amount of the Withholding Taxes was greater than the amount withheld by the Company and/or its Affiliate (as applicable), you agree to indemnify and hold the Company and/or its Affiliate (as applicable) harmless from any failure by the Company to withhold the proper amount. 5. DATE OF ISSUANCE. (a) The issuance of shares in respect of the Restricted Stock Units is intended to comply with Treasury Regulations Section 1.409A-3(a) and will be construed and administered in such a manner. Subject to the satisfaction of the Withholding Obligation, if any, in the event one or more Restricted Stock Units vests, the Company shall issue to you, in accordance with the Issuance Schedule on the Grant Notice, one (1) share of Common Stock for each vested Restricted Stock Unit. Each issuance date determined by this paragraph is referred to as an “Original Issuance Date.” (b) If the Original Issuance Date falls on a date that is not a business day, delivery shall instead occur on the next following business day. In addition, if: (i) 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“10b5-1 Arrangement)), and (ii) 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if and only if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 6. TRANSFERABILITY. Except as otherwise provided in the Plan, your RSU Award is not transferable, except by will or by the applicable laws of descent and distribution 7. CORPORATE TRANSACTION. Your RSU Award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 8. NO LIABILITY FOR TAXES. As a condition to accepting the RSU Award, you hereby (a) agree to not make any 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 9. SEVERABILITY. If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 10. OTHER DOCUMENTS. You hereby acknowledge receipt of or the right to receive a document providing the information required by Rule 428(b)(1) promulgated under the Securities Act, which includes the Prospectus. In addition, you acknowledge receipt of the Company’s Trading Policy. 11. CHOICE OF LAW. The interpretation, performance and enforcement of this RSU Award Agreement shall be governed by the laws of the State of Delaware without regard to that state’s conflicts of laws rules. 12. APPENDIX. Notwithstanding any provisions in this RSU Award Agreement, if you are resident, subject to tax, or work outside the U.S., your RSU Award shall be subject to the general non-US terms and the special terms and conditions for your country set forth in the Appendix attached hereto. Moreover, if you relocate outside the U.S. and/or to one of the countries included therein, the terms and conditions for such country will apply to you to the extent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 Company determines that the application of such terms and conditions is necessary or advisable for legal or administrative reasons. The Appendix constitutes part of this RSU Award Agreement. 13. QUESTIONS. If you have questions regarding these or any other terms and conditions applicable to your RSU Award, including a summary of the tax consequences please see the Prospectus.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 APPENDIX This Appendix includes general terms and conditions that govern the RSU Award granted to you under the Plan if you are resident, subject to tax, or work outside the U.S. and specific terms and conditions that apply if you are resident, subject to tax or work in any country listed herein. The information contained herein is general in nature and may not apply to your particular situation, and you are advised to seek appropriate professional advice as to how the relevant laws in your country may apply to your situation. If you are a citizen or resident of a country other than the one in which you are currently working and/or residing, transfer employment and/or residency to another country after the date of grant, are a consultant, change employment status to a consultant position, or are considered a resident of another country for local law purposes, the Company shall, in its discretion, determine the extent to which the special terms and conditions contained herein shall be applicable to you. References to your employer shall include any entity that engages your services. GENERAL NON-U.S. TERMS 1. TAX. All references in the RSU Award Agreement to tax shall, to the extent applicable, include social security. 2. DATE OF ISSUANCE. Section 5 of the RSU Award Agreement (Date of Issuance) is deleted and replaced with the following: (a) If you are subject to tax in the U.S., 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Each issuance date determined by this paragraph is referred to as an “Original Issuance Date. (b) If the Original Issuance Date falls on a date that is not a business day, delivery shall instead occur on the next following business day. In addition, if: (i) 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“10b5-1 Arrangement)), and (ii) either (1) a Withholding Obligation does not apply, or (2) the Company decides, prior to the Original Issuance Date, (A) not to satisfy the Withholding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(if you are subject to tax in the U.S.) in no event later than December 31 of the calendar year in which the Original Issuance Date occurs (that is, the last day of your taxable year in which the Original Issuance Date occurs), or, if and only if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 3. TRANSFERABILITY. Notwithstanding Section 6 of the RSU Award Agreement, your RSU Award is not transferable, except to your personal representative on your death. 4. AWARD NOT A SERVICE CONTRACT. By accepting your RSU Award, you acknowledge, understand and agree that: (a) the Plan is established voluntarily by the Company, it is discretionary in nature, and may be amended, suspended or terminated by the Company at any time, to the extent permitted under the Plan; (b) the grant of your RSU Award is voluntary and occasional and does not create any contractual or other right to receive future grants of awards (whether on the same or different terms), or benefits in lieu of awards, even if awards have been granted in the past; (c) your RSU Award and any shares of Common Stock acquired under the Plan, and the income and value of same, are not part of normal or expected compensation for any purpose, including, without limitation, calculating any severance, resignation, termination, redundancy, dismissal, end-of-service payments, bonuses, holiday pay, long-service awards, pension or retirement or welfare benefits or similar payments; (d) the future value of the shares of Common Stock underlying the RSU Award is unknown, indeterminable, and cannot be predicted with certainty; (e) neither the Company nor any Affiliate shall be liable for any foreign exchange rate fluctuation between your local currency and the United States Dollar that may affect the value of your RSU Award or of any amounts due to you pursuant to the vesting of your RSU Award or the subsequent sale of any shares of Common Stock received; (f) no claim or entitlement to compensation or damages shall arise from forfeiture of this RSU Award resulting from the termination of your Continuous Service (for any reason whatsoever, whether or not later found to be invalid or in breach of employment laws in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 the jurisdiction where you are employed or the terms of your employment or service agreement, if any), and in consideration of the grant of this RSU Award to which you are otherwise not entitled, you irrevocably agree never to institute any claim against the Company or any Affiliate, waive your ability, if any, to bring any such claim, and release the Company and any Affiliate from any such claim; if, notwithstanding the foregoing, any such claim is allowed by a court of competent jurisdiction, then, by participating in the Plan, you shall be deemed irrevocably to have agreed not to pursue such claim and agree to execute any and all documents necessary to request dismissal or withdrawal of such claim. 5. DATA PRIVACY. (a) You explicitly and unambiguously acknowledge and consent to the collection, use and transfer, in electronic or other form, of your personal data as described in this document by and among, as applicable, your employer, the Company and its Affiliates for the exclusive purpose of implementing, administering and managing your participation in the Plan. You understand that the Company, its Affiliates and your employer hold certain personal information about you, including, but not limited to, name, home address and telephone number, date of birth, social security number (or other identification number), salary, nationality, job title, any shares of stock or directorships held in the Company, details of all options or any other entitlement to shares of stock awarded, canceled, purchased, exercised, vested, unvested or outstanding in your favor for the purpose of implementing, managing and administering the Plan (“Data”). You understand that the Data may be transferred to any third parties assisting in the implementation, administration and management of the Plan, that these recipients may be located in your country or elsewhere, in particular in the US, and that the recipient country may have different data privacy laws providing less protections of your personal data than your country. You may request a list with the names and addresses of any potential recipients of the Data by contacting the stock plan administrator at the Company (the “Stock Plan Administrator”). You acknowledge that the recipients may receive, possess, process, use, retain and transfer the Data, in electronic or other form, for the purposes of implementing, administering and managing your participation in the Plan, including any requisite transfer of such Data, as may be required to a broker or other third party with whom you may elect to deposit any shares of Common Stock acquired upon the vesting of your RSU Award. You understand that Data will be held only as long as is necessary to implement, administer and manage your participation in the Plan. You may, at any time, view the Data, request additional information about the storage and processing of the Data, require any necessary amendments to the Data or refuse or withdraw the consents herein, in any case without cost, by contacting the Stock Plan Administrator in writing. (b) For the purposes of operating the Plan in the European Union, Switzerland, and the United Kingdom, the Company will collect and process information relating to you in accordance with the privacy notice from time to time in force. 6. NO ADVICE REGARDING GRANT. The Company is not providing any tax, legal or financial advice, nor is the Company making any recommendations regarding your participation in the Plan, or your acquisition or sale of the underlying shares of Common Stock. You should consult with your own personal tax, legal and financial advisors regarding your participation in the Plan before taking any action related to the Plan.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 7. LANGUAGE. You acknowledge that you are sufficiently proficient in the English language, or have consulted with an advisor who is sufficiently proficient in English, so as to allow you to understand the terms and conditions of this Agreement. If you have received this Agreement, or any other document related to this RSU Award and/or the Plan translated into a language other than English and if the meaning of the translated version is different than the English version, the English version will control. 8. FOREIGN ASSET/ACCOUNT, EXCHANGE CONTROL AND TAX REPORTING. You may be subject to foreign asset/account, exchange control and/or tax reporting requirements as a result of the acquisition, holding and/or transfer of shares of Common Stock or cash (including dividends and the proceeds arising from the sale of shares of Common Stock) derived from your participation in the Plan in, to and/or from a brokerage/bank account or legal entity located outside your country. The applicable laws in your country may require that you report such accounts, assets and balances therein, the value thereof and/or the transactions related thereto to the applicable authorities in such country. You may also be required to repatriate sale proceeds or other funds received as a result of your participation in the Plan to your country through a designated bank or broker within a certain time after receipt. You acknowledge that it is your responsibility to be compliant with such regulations and you are encouraged to consult with your personal legal advisor for any details. 9. AT-WILL EMPLOYMENT. In Section 9(e) of the Plan, references to “at will” employment are deleted. COUNTRY SPECIFIC TERMS AUSTRALIA Breach of Law. Notwithstanding anything else in the Plan or the RSU Award Agreement, you will not be entitled to, and shall not claim any benefit (including without limitation a legal right) under the Plan if the provision of such benefit would give rise to a breach of Part 2D.2 of the Australian Corporations Act 2001 (Cth) (“Corporations Act”), any other provision of the Corporations Act, or any other applicable statute, rule or regulation which limits or restricts the giving of such benefits. Further, the Company is under no obligation to seek or obtain the approval of its shareholders in general meeting for the purpose of overcoming any such limitation or restriction. Securities Law Information. The grant of the RSU Award is made without disclosure under the Corporations Act in reliance on case by case relief provided to the Company under an instrument issued by the Australian Securities and Investments Commission (“ASIC Instrument”). Advice. Any advice given to you by the Company, or a representative of the Company, in relation to the RSU Award should not be considered as investment advice and does not take into account your objectives, financial situation, or needs.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 Australian law normally requires persons who offer financial products to give information to investors before they invest. This requires those offering financial products to have disclosed information that is material for investors to make an informed decision. The usual rules do not apply to this offer because it is made under an employee incentive scheme and in reliance on the ASIC Instrument. As a result, you may not be given all of the information normally expected when receiving an offer of financial products in Australia. You will also have fewer other legal protections for this investment. You should consider obtaining your own financial product advice from a person who is licenced by the Australian Securities and Investments Commission (“ASIC”) to give such advice before accepting the RSU Award. Risks. There are risks associated with the Company and a number of general risks associated with an investment in the Restricted Stock Units and the underlying shares of the Company’s Common Stock. These risks may individually or in combination materially and adversely affect the future operating and financial performance of the Company and, accordingly, the value of shares of the Company’s Common Stock. There can be no guarantee that the Company will achieve its stated objectives. Before agreeing to participate in the Plan, you should be satisfied that you have a sufficient understanding of the risks involved in making an investment in the Company and whether it is a suitable investment, having regard to your objectives, financial situation, and needs. The RSU Award will only vest on the satisfaction of the conditions (if any) set out in the enclosed Grant Notice and the issue of the RSU Award to you is subject to the terms of the enclosed RSU Award Agreement and Plan. There is a chance that any conditions attaching to the RSU Award may never be fulfilled and that the RSU Award will not vest. Further risks and rights with respect to holding an RSU Award are set out in the enclosed RSU Award Agreement and Plan. Stock price and currency information. Shares of the Company’s Common Stock are quoted on the NYSE and are valued in U.S. dollars – see https://www.nyse.com/listings_directory/stock. The equivalent stock price in Australian dollars can be calculated by taking the NYSE market price in U.S. dollars and applying the prevailing U.S.$ / A$ exchange rate to the market price. Alternatively, if necessary, the Company will provide you with the market price of the Company’s shares on the NYSE (in Australian dollars) upon written request to the Company. Such information will be provided to you as soon as practicable following the request. Exchange Control Information. Exchange control reporting is required for cash transactions exceeding A$10,000 and international fund transfers. You understand that the Australian bank assisting with the transaction may file the report on your behalf. If there is no Australian bank involved in the transfer, you will be required to file the report. You should consult with your personal advisor to ensure proper compliance with applicable reporting requirements in Australia. Tax Information. This Plan is a plan to which Subdivision 83A-C of the Income Tax Assessment Act 1997 (Cth) applies (subject to the conditions in that Act).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 Data Privacy. Section 5 of this Appendix (Data Privacy) is deleted and replaced with the following: You explicitly and unambiguously consent to the collection, holding, use and disclosure, in electronic or other form, of your personal information (as that term is defined in the Privacy Act 1988 (Cth)) as described in this document by and among, as applicable, your employer, the Company and its Affiliates for the purpose of implementing, administering and managing your participation in the Plan. You understand that the Company, its Affiliates and your employer hold certain personal information about you, including, but not limited to, name, home address and telephone number, email address and other contact details, date of birth, tax file number (or other identification number), salary, nationality, job title, any shares of Common Stock or directorships held in the Company, details of all options or any other entitlement to shares of Common Stock awarded, canceled, purchased, exercised, vested, unvested or outstanding in your favor for the purpose of implementing, managing and administering the Plan (“Data”). The collection of this information may be required for compliance with various legislation, including the Corporations Act 2001 (Cth) and applicable taxation legislation. You understand that the Data may be transferred to any third parties assisting in the implementation, administration and management of the Plan, that these recipients may be located in Australia or elsewhere, in particular in the United States, and that the recipient country may have different data privacy laws providing less protection of your personal data than your country. You may request a list with the names and addresses of any potential recipients of the Data by contacting the stock plan administrator at the Company (the “Stock Plan Administrator”). You authorize the recipients to collect, hold, use and disclose the Data, in electronic or other form, for the purposes of implementing, administering and managing your participation in the Plan, including any requisite transfer of such Data, as may be required to a broker or other third party (that may or may not be located in Australia or elsewhere) with whom you may elect to deposit any shares of the Common Stock acquired upon the vesting of the RSU Award. You understand that Data will be held only as long as is necessary to implement, administer and manage your participation in the Plan or for the period required by law, whichever is the longer. You may, at any time, refuse or withdraw the consents herein, in any case without cost, by contacting the Stock Plan Administrator in writing. You understand that refusing or withdrawing consent may affect your ability to participate in the Plan. You acknowledge that further information on how your employer, the Company and its Affiliates collect, hold, use and disclose Data and personal information (and how you can access, correct or complain about the handling of that Data or personal information by your employer, the Company and its Affiliates) can be found at Asanapedia in the privacy policies of your employer, the Company and its Affiliates or the manager of the Plan (as applicable). CANADA Grant of the RSU Award. Notwithstanding any other provision governing your RSU Award, except as set forth below under “Withholding Obligations”, the Company may not issue you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 cash equivalent of Common Stock, in part or in full satisfaction of the delivery of Common Stock upon vesting of your RSU Award. Data Privacy. The following provision supplements Section 12 (Data Privacy) of this Appendix: You hereby authorize the Company and its representatives to discuss with and obtain all relevant information from all personnel, professional or not, involved in the administration and operation of the Plan. You further authorize the Company, any Affiliates and any stock plan service provider that may be selected by the Company to assist with the Plan to disclose and discuss the Plan with their respective advisors. You further authorize the Company and any Affiliates to record such information and to keep such information in your employee file. Language Consent. The parties acknowledge that it is their express wish that the RSU Award Agreement, as well as all documents, notices and legal proceedings entered into, given or instituted pursuant hereto or relating directly or indirectly hereto, be drawn up in English. Les parties reconnaissent avoir exigé la rédaction en anglais de cette convention («Agreement»), ainsi que cette Annexe, ainsi que de tous documents, avis et procédures judiciaires, exécutés, donnés ou intentés en vertu de, ou liés directement ou indirectement à, la présente convention. Continuous Service. Notwithstanding anything else in the Plan or the RSU Award Agreement, your Continuous Service will be deemed to end on the date when you cease to be actively providing services to the Company or an Affiliate, regardless of whether the cessation of your employment was lawful, and shall not include any period of statutory, contractual, common law, civil law or other reasonable notice of termination of employment or any period of salary continuance or deemed employment. As a result, if you receive notice of termination for a reason other than Cause, and the Company or its Affiliate does not require you to continue to attend at work and elects to provide you with a payment in lieu of notice, your Continuous Service will end on the date you receive such notice, as opposed any later date when severance payments to you cease. Employment Matters. The definition of “Cause” is modified such that the following supplements the existing definition in the Plan: “Cause” has the meaning ascribed to such term in any written agreement between the Participant and the Company defining such term and, in the absence of such agreement, such term means, with respect to a Participant, the occurrence of any of the following events: (i) 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(iv) such Participant’s gross misconduct; or (v) any other serious act or omission that amounts to just cause at law.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 No Fractions. No fractional shares of Common Stock shall be issued under the RSU Award Agreement and no cash amount shall be payable in respect thereof. Voluntary Participation. Your participation in the Plan is voluntary, and you acknowledge and agree that you have not been induced to enter into the RSU Award Agreement or acquire any RSU Award or shares of Common Stock by expectation of employment, engagement or appointment or continued employment, engagement or appointment. Securities Law Information. The definition of “Affiliate” is modified such that the following supplements the existing definition in the Plan: “For purposes of issuances of securities under the Plan to Directors, Employees and Consultants in Canada, an Affiliate means a person (which includes a corporation) that controls the Company or is controlled by the Company or is controlled by the same person that controls the Company. For this purpose, a person (first person) is considered to control a person (second person) if the first person, directly or indirectly, has the power to direct the management and policies of the second person by virtue of ownership of or direction over voting securities in the second person (over 50%); or a written agreement or indenture.” The definition of “Consultant” is modified such that the following supplements the existing definition in the Plan: “For purposes of issuances of securities under the Plan to Consultants in Canada, a Consultant means a person, other than an employee, executive officer or director of the Company or an Affiliate that (a) is engaged to provide services to the Company or an Affiliate, other than services provided in relation to a distribution; (b) provides the services under a written contract with the Company or an Affiliate; and (c) spends or will spend a significant amount of time and attention on the affairs and business of the Company or an Affiliate and includes (d) for an individual consultant, a corporation of which the individual consultant is an employee or shareholder, and a partnership of which the individual consultant is an employee or partner, and (e) for a consultant that is not an individual, an employee, executive officer, or director of the consultant, provided that the individual employee, executive officer, or director spends or will spend a significant amount of time and attention on the affairs and business of the Company or an Affiliate.” You understand that you are permitted to sell the shares of Common Stock acquired pursuant to any RSU Awards, provided that the Company is a “foreign issuer” that is not a public company in any jurisdiction of Canada and the sale of the shares of Common Stock acquired pursuant to the Plan takes place: (i) through an exchange, or a market, outside of Canada on the distribution date;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 or (ii) to a person or company outside of Canada. For purposes hereof, in addition to not being a reporting issuer in any jurisdiction of Canada, a “foreign issuer” is an issuer that: (i) is not incorporated or existing pursuant to the laws of Canada or any jurisdiction of Canada; (ii) does not have its head office in Canada; and (iii) does not have a majority of its executive officers or directors ordinarily resident in Canada. If any designated broker is appointed under the Plan, you shall sell such securities through the designated broker. Foreign Asset/Account Reporting Information. Canadian residents are required to report any foreign property on form T1135 (Foreign Income Verification Statement) if the total cost of their foreign property exceeds C$100,000 at any time in the year. It is your responsibility to comply with these reporting obligations, and you should consult with your own personal tax advisor in this regard. Withholding Obligations. Section 4 of the RSU Award Agreement is deleted and replaced with the following: On or before the time you receive a distribution of the shares of Common Stock underlying your Restricted Stock Units, and at any other time as reasonably requested by the Company in accordance with applicable tax laws, you agree to make adequate arrangements satisfactory to the Company or adequate provision in cash for any sums required to satisfy the federal, state, local and foreign tax withholding and source deduction obligations of the Company or any Affiliate that arise in connection with your RSU Award (the “Withholding Taxes”). Additionally, the Company or any Affiliate may satisfy all or any portion of the Withholding Taxes obligation relating to your RSU Award by any of the following means or by a combination of such means: (i) withholding from any compensation otherwise payable to you by the Company or an Affiliate; (ii) causing you to tender a cash payment; (iii) permitting you to enter into a “same day sale” commitment, if applicable, with a broker-dealer (subject to your written consent) whereby you irrevocably elect to sell a portion of the shares of Common Stock to be delivered in connection with your Restricted Stock Units to satisfy the Withholding Taxes and whereby the broker-dealer irrevocably commits to forward the proceeds necessary to satisfy the Withholding Taxes directly to the Company or its Affiliates; or (iv) permitting you (subject to your written consent) to surrender Restricted Stock Units to the Company for a cash payment which shall be used to satisfy the Withholding Taxes, whereby the number of Restricted Stock Units that may be surrendered for a cash payment shall be equal to the Withholding Taxes divided by a Fair Market Value (measured as of the date shares of Common Stock are otherwise issuable to you pursuant to Section 5). However, the Company does not guarantee that you will be able to satisfy the Withholding Taxes through any of the methods described in the preceding provisions and in all circumstances you remain responsible for timely and fully satisfying the Withholding Taxes. Dividends. Section 3 of the RSU Award Agreement is deleted and replaced with the following: You may become entitled to be granted additional Restricted Stock Units equal to any cash dividends and other distributions paid with respect to a corresponding number of shares of Common Stock in respect of the Restricted Stock Units covered by your RSU Award. In such event, you will automatically be granted additional Restricted Stock Units subject 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 the RSU Award (the “Dividend Units”), and such Dividend Units shall be subject to the same forfeiture restrictions and restrictions on transferability, and same timing requirements for issuance of shares, as apply to the Restricted Stock Units subject to the RSU Award with respect to which the Dividend Units relate. FRANCE Language Consent. The parties to the RSU Award Agreement acknowledge that it is their express wish that the RSU Award Agreement, as well as all documents, notices, and legal proceedings entered into, given or instituted pursuant hereto or relating directly or indirectly hereto, be drawn up in English. Consentement relatif à la langue utilisée. Les parties reconnaissent avoir exigé que cette convention («Agreement») soit rédigée en anglais, ainsi que tous les documents, avis et procédures judiciaires, éxécutés, donnés ou intentés en vertu de, ou liés directement ou indirectement à la présente. Foreign Asset/Account Reporting Information. If you are a French resident and maintain a foreign bank account, you must report such account to the French tax authorities when filing your annual tax return. Failure to comply with this requirement could trigger significant penalties and you should consult with your personal advisor to ensure proper compliance with applicable reporting requirements in France. Exchange Control Information. Cross-border payments towards or from another EU member in excess of €10,000 must be reported to the French Custom Authorities. However, this reporting obligation does not apply to wire transfers made via banks or financial institutions. So, given that the Plan is established by a US company and that, in any case, all money transfers will be made through banks or financial institutions, this reporting obligation should not apply here. GERMANY Securities Disclaimer. The participation in the Plan is exempt or excluded from the requirement to publish a prospectus under the EU Prospectus Directive as implemented in Germany. Exchange Control Information. Cross-border payments in excess of €12,500 must be reported monthly to the German Federal Bank (Bundesbank). In the event that you make or receive a payment in excess of this amount, you are required to report the payment to Bundesbank electronically using the “General Statistics Reporting Portal” (“Allgemeines Meldeportal Statistik”) available via Bundesbank’s website (www.bundesbank.de). Tax Reporting. You must report and pay any capital gains tax liability that arises in connection with the sale of shares acquired under the Plan. In general the statutory deadline of filing annual income tax returns for taxpayers is 31 July of the calendar year following the respective fiscal year. Payment periods of due tax amounts are determined in view of the competent tax office. You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 should consult with your personal tax advisor to ensure that you are properly complying with applicable reporting requirements in Germany. ICELAND Exchange Control Information. You should consult with your personal advisor to ensure compliance with the applicable exchange control regulations in Iceland as such regulations are subject to frequent change. You are responsible for ensuring compliance with all exchange control laws in Iceland. Tax withholding. Upon the issuance of shares of Common Stock to you in settling RSUs the market value of such common stock is subject to withholding at the tax rate applicable to wages at the time of issuance. The withholding amount will be subtracted from your net wage payment following issuance. If such net wage payment does not suffice for payment of the withholding amount you are required to provide the company with enough funds as needed for the withholding amount. IRELAND Director Notification Obligation. Directors, shadow directors and secretaries of the Company’s Irish Affiliates whose interest in the Company represents more than 1% of the Company’s voting share capital are subject to certain notification requirements under Part 5, Chapter 5 of the Companies Act 2014. Directors, shadow directors and secretaries must notify the Irish Affiliates in writing of their interest in the Company (e.g., RSUs, shares of Common Stock, etc.) and the number and class of shares or rights to which the interest relates within five days of the acquisition or disposal of shares or within five days of becoming aware of the event giving rise to the notification. This notification requirement also applies with respect to the interests of a spouse or children under the age of 18 (whose interests will be attributed to the director, shadow director or secretary). Data Privacy. Section 5 (Data Privacy) of this Appendix is deleted and replaced with the following: This section is intended to provide information about the collection and processing of your personal data by the Company. (a) Data Collection and Usage. The Company collect, process and use certain personal information about you, including, but not limited to, your name, home address, telephone number, email address, date of birth, social insurance number or other identification number, salary, nationality, job title, any shares or directorships held in the Company and details of all options or any other entitlement to shares of Common Stock awarded, cancelled, purchased, exercised, vested, unvested or outstanding in your favor for the purpose of implementing, managing and administering the Plan (“Data”), for purposes of implementing, administering and managing the Plan and for compliance with the Company’s legal obligations. The Company is the controller of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 such Data. The legal basis, where required, for the processing of Data is that the processing is contractually necessary for the performance of the Plan. The Company will share Data with third parties, including brokers or any other third party with whom you elect to deposit any shares of Common Stock acquired upon the exercise of your choice under the Plan, law firms, accountants and information technology service providers, for purposes of implementing, administering and managing the Plan. You may request a list with the names and addresses of any potential recipients of the Data by contacting the stock plan administrator at the Company (the “Stock Plan Administrator”). The Company is based in the United States, which means the recipients of Data may be located in the United States or elsewhere. Participants acknowledge and understand that Data will be transferred, processed and stored in the United States, as it is necessary for the performance of the Plan. Where required for purposes of implementing, administering and managing the Plan, the Company may transfer data elsewhere and on the basis of standard contractual clauses. For more information or to obtain a copy of the standard contractual clauses, you can contact the Stock Plan Administrator. The Company will hold and use Data for as long as is necessary to implement, administer and manage your participation in the Plan; as required to comply with legal or regulatory obligations, including under tax, exchange control, labour and securities laws; and as otherwise necessary in connection with legal rights, claims or proceedings. This period may extend beyond the period of your employment with the Company. When the Company no longer needs Data for any of the above purposes, it will cease processing it in this context and remove it from all of its systems used for such purposes to the fullest extent practicable. The Participants may have a number of rights under Regulation (EU) 2016/679 of the European Parliament and of the Council of 27 April 2016 on the protection of natural persons with regard to the processing of personal data and on the free movement of such data, and repealing Directive 95/46/EC (“GDPR”) and applicable Irish data protection legislation. Such rights include the right to (i) request access to Data the Company processes, (ii) request rectification of inaccurate Data, (iii) request the deletion of Data, (iv) request the restriction of processing of Data, (v) request the portability of Data, and (vi) lodge a complaint with the Irish Data Protection Commission or any competent supervisory authority. To receive clarification regarding these rights or to exercise these rights, you can contact the Stock Plan Administrator. For the purposes of operating the Plan in Ireland, the Company will collect and process information relating to you in accordance with the privacy notice from time to time in force. JAPAN Securities Disclosure. The Common Stock have not been registered under the Financial Instruments and Exchange Act of Japan (kinyuu shouhin torihiki hou) (Law No. 25 of 1948, as amended) (the “FIEA”). The shares of Common Stock may not be offered or sold in Japan or to, or for the benefit of, any resident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As used herein, the term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 “resident of Japan” means any natural person having his place of domicile or residence in Japan, or any corporation or other entity organized under the laws of Japan or having its main office in Japan. Foreign Asset / Account Reporting. If you hold assets outside of Japan (e.g., shares of Common Stock acquired under the Plan) with a value exceeding ¥50,000,000 (as of December 31 each year), you are required to comply with annual tax reporting obligations with respect to such assets. Such report will be due by March 15 each year. You should consult with your personal tax advisor to ensure that you are properly complying with applicable reporting requirements in Japan. SINGAPORE Restriction on Sale of Shares. Shares of Common Stock acquired under the Plan prior to the six (6) month anniversary of the date of grant may not be sold or otherwise offered for sale in Singapore, unless such sale or offer is made (i) more than six months after the date of grant; or (ii) pursuant to the exemptions under Part XIII Division (1) Subdivision (4) (other than section 280) of the Singapore Securities and Futures Act (Chapter 289) of Singapore (“SFA”) or pursuant to, and in accordance with the conditions of, any other applicable provision(s) of the SFA. Securities Law Information. The Award is being granted to you pursuant to the “qualifying person” exemption under section 273(1)(i), read with section 273(4)of the SFA. The Plan has not been, nor will it be, lodged or registered as a prospectus with the Monetary Authority of Singapore. Chief Executive Officer and Director Notification Obligation. You acknowledge that if you are the Chief Executive Officer (“CEO”) or a director, as defined under the Companies Act (Chapter 50) of Singapore (“Singapore Companies Act”) of a Singapore Subsidiary, you are subject to certain disclosure requirements under the Singapore Companies Act. Among these requirements is an obligation to notify the Singapore Subsidiary in writing of any interest in shares, debentures, rights or options (e.g., Awards or shares of Common Stock) in the Singapore Subsidiary and/or its “related corporation” as defined under the Singapore Companies Act, within two business days of (i) its acquisition or disposal, (ii) any change in previously disclosed interest (e.g., when the shares of Common Stock are sold), or (iii) becoming a CEO or a director. Personal Data. Section 5(a) (Data Privacy) of this Appendix is deleted and replaced with the following: “You explicitly and unambiguously acknowledge and consent to the collection, use, disclosure and transfer, in electronic or other form, of your Personal Data as described in this document by and among, as applicable, your employer, the Company and its Affiliates for the exclusive purpose of implementing, administering and managing your participation in the Plan. You understand that the Personal Data may be transferred to any third parties assisting in the implementation, administration and management of the Plan, that these recipients may be located in your country or elsewhere, in particular in the US, and that the recipient country may have different data privacy laws providing less protections of your Personal Data than Singapore, in which case the Company will ensure that such recipient(s) provide a standard of protection to such Personal Data so transferred that is comparable to the protection under the Singapore Personal Data Protection Act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 2012 (No. 26 of 2012) (“PDPA”). You may request a list with the names and addresses of any potential recipients of the Personal Data by contacting the stock plan administrator at the Company (the “Stock Plan Administrator”). You acknowledge that the recipients may receive, possess, process, use, retain and transfer the Personal Data, in electronic or other form, for the purposes of implementing, administering and managing your participation in the Plan, including any requisite transfer of such Personal Data, as may be required to a broker or other third party with whom you may elect to deposit any shares of Common Stock acquired upon the vesting of your RSU Award. You understand that Personal Data will be held only as long as is necessary to implement, administer and manage your participation in the Plan. You understand that the purposes for which your Personal Data will be collected or held may continue to apply even in situations where your employment with your employer has been terminated or altered. You may, at any time, view the Personal Data, request additional information about the storage and processing of the Personal Data, require any necessary amendments to the Personal Data or refuse or withdraw the consents herein, in any case without cost, by contacting the Stock Plan Administrator in writing. For the purposes of this clause, “Personal Data” has the same meaning as set out in the PDPA.” UK Award Not a Service Contract. The following supplements Section 4 (Award Not a Service Contract) of this Appendix: You waive all rights to compensation or damages in consequence of the termination of your office or employment with the Company or any Affiliate for any reason whatsoever (whether lawful or unlawful and including, without prejudice to the foregoing, in circumstances giving rise to a claim for wrongful dismissal) in so far as those rights arise or may arise from you ceasing to hold or being able to vest your Award, or from the loss or diminution in value of any rights or entitlements in connection with the Plan. Withholding Obligations. The following supplements Section 4 of the RSU Award Agreement: As a condition of the vesting of your RSU Award, you unconditionally and irrevocably agree: (i) to place the Company in funds and indemnify the Company in respect of (1) all liability to UK income tax which the Company is liable to account for on your behalf directly to HM Revenue &amp; Customs; (2) all liability to national insurance contributions which the Company is liable to account for on your behalf to HM Revenue &amp; Customs (including, to the extent permitted by law, secondary class 1 (employer’s) national insurance contributions for which you are liable and hereby agree to bear); and (3) all liability to national insurance contributions for which the Company is liable and which are formally transferred to you, which arises as a consequence of or in connection with your RSU Award (the “UK Tax Liability”); or (ii) to permit the Company to sell at the best price which it can reasonably obtain such number of shares of Common Stock allocated or allotted to you following vesting as will provide the Company with an amount equal to the UK Tax Liability; and to permit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 Company to withhold an amount not exceeding the UK Tax Liability from any payment made to you (including, but not limited to salary); and (iii) if so required by the Company, and, to the extent permitted by law, to enter into a joint election or other arrangements under which the liability for all or part of such employer’s national insurance contributions liability is transferred to you; and (iv) if so required by the Company, to enter into a joint election within Section 431 of (UK) Income Tax (Earnings and Pensions) Act 2003 (“ITEPA”) in respect of computing any tax charge on the acquisition of “restricted securities” (as defined in Section 423 and 424 of ITEPA); and (v) to sign, promptly, all documents required by the Company to effect the terms of this provision, and references in this provision to “the Company” shall, if applicable, be construed as also referring to any Affiliate. Clawback/Recovery. By executing the RSU Award Agreement, you expressly consent in writing to the application of the right of recoupment to your RSU Award in accordance with the terms of Section 9(i) of the Plan.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ATTACHMENT II ASANA, INC. 2020 EQUITY INCENTIVE PLAN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ASANA, INC. 2020 EQUITY INCENTIVE PLAN ADOPTED BY THE BOARD OF DIRECTORS: AUGUST 19, 2020 APPROVED BY THE STOCKHOLDERS: AUGUST 31, 2020 EFFECTIVE DATE: SEPTEMBER [21], 2020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TABLE OF CONTENTS Page 1. GENERAL.12. SHARES SUBJECT TO THE PLAN.13. ELIGIBILITY AND LIMITATIONS.Error! Bookmark not defined.4. OPTIONS AND STOCK APPRECIATION RIGHTS.35. AWARDS OTHER THAN OPTIONS AND STOCK APPRECIATION RIGHTS.66. ADJUSTMENTS UPON CHANGES IN COMMON STOCK; OTHER CORPORATE EVENTS.87. ADMINISTRATION.108. TAX WITHHOLDING129. MISCELLANEOUS.1410. COVENANTS OF THE COMPANY.1711. SEVERABILITY.1712. TERMINATION OF THE PLAN.1713. DEFINITIONS.178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 1. GENERAL. (a) Successor to and Continuation of Prior Plans. The Plan is the successor to and continuation of the Prior Plans. As of the Effective Date, (i) no additional awards may be granted under the Prior Plans; (ii) the Prior Plans’ Available Reserve plus any Returning Shares will become available for issuance pursuant to Awards granted under this Plan; and (iii) all outstanding awards granted under the Prior Plans will remain subject to the terms of the Prior Plans (except to the extent such outstanding awards result in Returning Shares that become available for issuance pursuant to Awards granted under this Plan). All Awards granted under this Plan will be subject to the terms of this Plan. (b) Plan Purpose.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 (c) Available Awards. The Plan provides for the grant of the following Awards: (i) Incentive Stock Options; (ii) Nonstatutory Stock Options; (iii) SARs; (iv) Restricted Stock Awards; (v) RSU Awards; (vi) Performance Awards; and (vii) Other Awards. (d) Adoption Date; Effective Date. The Plan will come into existence on the Adoption Date, but no Award may be granted prior to the Effective Date. 2. SHARES SUBJECT TO THE PLAN. (a) Share Reserve. Subject to adjustment in accordance with Section 2(c) and any adjustments as necessary to implement any Capitalization Adjustments, the aggregate number of shares of Common Stock that may be issued pursuant to Awards will not exceed the sum of: (i) 18,000,000 new shares, plus (ii) the Prior Plans’ Available Reserve, plus (iii) the number of Returning Shares, if any, as such shares become available from time to time. In addition, subject to any adjustments as necessary to implement any Capitalization Adjustments, such aggregate number of shares of Common Stock will automatically increase on February 1 of each year for a period of ten years commencing on February 1, 2021 and ending on (and including) February 1, 2030, in an amount equal to 5% of the total number of shares of the Company’s capital stock outstanding on January 31 of the preceding fiscal year; provided, however, that the Board may act prior to February 1st of a given year to provide that the increase for such year will be a lesser number of shares of Common Stock. (b) Aggregate Incentive Stock Option Limit. Notwithstanding anything to the contrary in Section 2(a) and subject to any adjustments as necessary to implement any Capitalization Adjustments, the aggregate maximum number of shares of Common Stock that may be issued pursuant to the exercise of Incentive Stock Options is 60,000,000 shares. (c) Share Reserve Operation. (i) Limit Applies to Common Stock Issued Pursuant to Awards. For clarity, the Share Reserve is a limit on the number of shares of Common Stock that may be issued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 (ii) Actions that Do Not Constitute Issuance of Common Stock and Do Not Reduce Share Reserve.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(i.e., the Participant receives cash rather than Common Stock), (3) the withholding of shares that would otherwise be issued by the Company to satisfy the exercise, strike or purchase price of an Award; (4) the withholding of shares that would otherwise be issued by the Company to satisfy a tax withholding obligation in connection with an Award. (iii) Reversion of Previously Issued Shares of Common Stock to Share Reserve. 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 3. ELIGIBILITY AND LIMITATIONS. (a) Eligible Award Recipients. Subject to the terms of the Plan, Employees, Directors and Consultants are eligible to receive Awards. (b) Specific Award Limitations. (i) Limitations on Incentive Stock Option Recipients. Incentive Stock Options may be granted only to Employees of the Company or a “parent corporation” or “subsidiary corporation” thereof (as such terms are defined in Sections 424(e) and (f) of the Code). (ii) Incentive Stock Option $100,000 Limitation.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 Nonstatutory Stock Options, notwithstanding any contrary provision of the applicable Option Agreement(s). (iii) Limitations on Incentive Stock Options Granted to Ten Percent Stockholders. A Ten Percent Stockholder may not be granted an Incentive Stock Option unless (i) the exercise price of such Option is at least 110% of the Fair Market Value on the date of grant of such Option and (ii) the Option is not exercisable after the expiration of five years from the date of grant of such Option. (iv) Limitations on Nonstatutory Stock Options and SARs. Nonstatutory Stock Options and SARs 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 (c) Aggregate Incentive Stock Option Limit. The aggregate maximum number of shares of Common Stock that may be issued pursuant to the exercise of Incentive Stock Options is the number of shares specified in Section 2(b). (d) Non-Employee Director Compensation Limit. The aggregate value of all compensation granted or paid, as applicable, to any individual for service as a Non-Employee Director with respect to any calendar year, including Awards granted and cash fees paid by the Company to such Non-Employee Director, will not exceed (i) $750,000 in total value or (ii) in the event such Non-Employee Director is first appointed or elected to the Board during such calendar year, $1,000,000 in total value, in each case calculating the value of any equity awards based on the grant date fair value of such equity awards for financial reporting purposes. 4. OPTIONS AND STOCK APPRECIATION RIGHTS. 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 (a) Term. Subject to Section 3(b) regarding Ten Percent Stockholders, no Option or SAR will be exercisable after the expiration of ten years from the date of grant of such Award or such shorter period specified in the Award Agreement. (b) Exercise or Strike Price. Subject to Section 3(b) regarding Ten Percent Stockholders, the exercise or strike price of each Option or SAR will not be less than 100% of the Fair Market Value on the date of grant of such Award. Notwithstanding the foregoing, an Option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 (c) Exercise Procedure and Payment of Exercise Price for Options.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 (i) by cash or check, bank draft or money order payable to the Company; (ii) 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 (iii) 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 (iv) 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 (v) in any other form of consideration that may be acceptable to the Board and permissible under Applicable Law. (d) Exercise Procedure and Payment of Appreciation Distribution for SARs. In order to exercise any SAR, the Participant must provide notice of exercise to the Plan Administrator in accordance with the SAR Agreement. The appreciation distribution payable to a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 (e) Transferability. The Board may, in its sole discretion, impose such limitations on the transferability of Options and SARs as the Board will determine. In the absence of such a determination by the Board to the contrary, the following restrictions on the transferability of Options and SARs will apply: (i) Restrictions on Transfer. An Option or SAR will not be transferable except by will or by the laws of descent and distribution, and will be exercisable during the lifetime of the Participant only by the Participant. The Board may permit transfer of the Option or SAR in a manner that is not prohibited by applicable laws or regulations. Except as explicitly provided in the Plan, neither an Option nor a SAR may be transferred for consideration. (ii) Domestic Relations Orders. Subject to the approval of the Board or a duly authorized Officer, an Option or SAR may be transferred pursuant to the terms of a domestic relations order, official marital settlement agreement or other divorce or separation instrument as permitted by Treasury Regulations Section 1.421-1(b)(2) or comparable non-U.S. law. If an Option is an Incentive Stock Option, such Option may be deemed to be a Nonstatutory Stock Option as a result of such transfer. (f) Vesting. The Board may impose such restrictions on or conditions to the vesting and/or 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 (g) Termination of Continuous Service for Cause. Except as explicitly otherwise provided in the 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 (h) Post-Termination Exercise Period Following Termination of Continuous Service for Reasons Other than Cause. If a Participant’s Continuous Service terminates for any reason other than for Cause, the Participant may exercise his or her Option or SAR, to the extent vested, prior to expiration of its maximum term (as set forth in Section 4(a)) or, if applicable, such shorter period of time provided in the Award Agreement or other written agreement between a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 Participant and the Company or an Affiliate. 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terminated Award, the shares of Common Stock subject to the terminated Award, or any consideration in respect of the terminated Award. (i) Non-Exempt Employees. 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4(h) is intended to operate so that any income derived by a non-exempt employee in connection with the exercise or vesting of an Option or SAR will be exempt from his or her regular rate of pay. (j) Whole Shares. Options and SARs may be exercised only with respect to whole shares of Common Stock or their equivalents. 5. AWARDS OTHER THAN OPTIONS AND STOCK APPRECIATION RIGHTS. (a) Restricted Stock Awards and RSU Awards. 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 (i) Form of Award. (1) 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(2) 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(ii) Consideration. (1) 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 (2) 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 (iii) Vesting. 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 (iv) Termination of Continuous Service. Except as otherwise provided in the Award Agreement or other written agreement between a 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 (v) Dividends and Dividend Equivalents. Dividends or dividend equivalents may be paid or credited, as applicable, with respect to any shares of Common Stock subject to a Restricted Stock Award or RSU Award, as determined by the Board and specified in the Award Agreement). (vi) Settlement of RSU Awards. A RSU Award may be settled by the issuance of shares of Common Stock or cash (or any combination thereof) or in any other form of payment, as determined by the Board and specified in the RSU Award Agreement. At the time of grant,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 the Board may determine to impose such restrictions or conditions that delay such delivery to a date following the vesting of the RSU Award. (b) Performance Awards.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 (c) Other Awards. Other forms of Awards valued in whole or in part by reference to, or otherwise based on, Common Stock, including 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 6. ADJUSTMENTS UPON CHANGES IN COMMON STOCK; OTHER CORPORATE EVENTS. (a) Capitalization Adjustments. In the event of a Capitalization Adjustment, the Board shall appropriately and proportionately 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 (b) Dissolution or Liquidation.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 (c) Corporate Transaction. The following provisions will apply to Awards in the event of a Corporate Transaction unless otherwise provided in the instrument evidencing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 Award or any other written agreement between the Company or any Affiliate and the Participant or unless otherwise expressly provided by the Board at the time of grant of an Award. (i) Awards May Be Assumed.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For the purposes of the Plan, an Award shall be considered assumed, continued or substituted if, following the Corporate Transaction, the Award confers the right to purchase or receive, for each share subject to the Award immediately prior to the Corporate Transaction, the consideration (whether stock, cash or other property) received in the Corporate Transaction by holders of shares for each share of Common Stock held on the effective time of such transaction (and if holders were offered a choice of consideration, the type of consideration chosen by the holders of a majority of the outstanding shares of Common Stock). The terms of any assumption, continuation or substitution will otherwise be set by the Board. (ii) Awards Held by Current Participants.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“Current Participants”),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any reacquisition or repurchase rights held by the Company with respect to such Awards will lapse (contingent upon the effectiveness of the Corporate Transaction), and such Awards will (A) terminate if not exercised (if applicable) prior to the effective time of the Corporate Transaction and (B) the Current Participants will have the right to receive a payment, in such form as may be determined by the Board, equal in value, at the effective time, to the excess, if any, of (1) the value of the property the Current Participant would have received upon exercise of the Award, over (2) any exercise price payable by the Current Participant in connection with such exercise.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(iii) Awards Held by Persons other than Current Participants. In the event of a Corporate Transaction in which the surviving corporation or acquiring corporation (or its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 parent company) does not assume or continue such outstanding Awards or substitute similar awards for such outstanding Awards, then with respect to Awards that have not been assumed, continued or substituted and that are held by persons other than Current Participants, any reacquisition or repurchase rights held by the Company with respect to such Awards will lapse (contingent upon the effectiveness of the Corporate Transaction) and such Awards will (A) terminate if not exercised (if applicable) prior to the effective time of the Corporate Transaction and (B) such persons will have the right to receive a payment, in such form as may be determined by the Board, equal in value, equal in value, at the effective time, to the excess, if any, of (1) the value of the property the person would have received upon the exercise of the Award, over (2) any exercise price payable by the person in connection with such exercise. (d) Appointment of Stockholder Representative.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 (e) No Restriction on Right to Undertake Transactions. The grant of any Award under the Plan and the 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7. ADMINISTRATION. (a) Administration by Board. The Board will administer the Plan unless and until the Board delegates administration of the Plan to a Committee or Committees, as provided in subsection (c) below. (b) Powers of Board. The Board will have the power, subject to, and within the limitations of, the express provisions of the Plan: (i) 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 Stock, including the amount of cash payment or other property that may be earned and the timing of payment. (ii) 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 (iii) To settle all controversies regarding the Plan and Awards granted under it. (iv) To accelerate the time at which an Award may first be exercised or the time during which an Award or any part thereof will vest, notwithstanding the provisions in the Award Agreement stating the time at which it may first be exercised or the time during which it will vest. (v) 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 (vi) To suspend or terminate the Plan at any time. Suspension or termination of the Plan will not Materially Impair rights and obligations under any Award granted while the Plan is in effect except with the written consent of the affected Participant. (vii) To amend the Plan in any respect the Board deems necessary or advisable; provided, however,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 (viii) To submit any amendment to the Plan for stockholder approval. (ix) 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a Participant’s rights under any Award will not be Materially Impaired by any such amendment unless (1) the Company requests the consent of the affected Participant, and (2) such Participant consents in writing. (x) Generally, to exercise such powers and to perform such acts as the Board deems necessary or expedient to promote the best interests of the Company and that are not in conflict with the provisions of the Plan or Awards.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 (xi) 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 (xii) 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 (c) Delegation to Committee. (i) General.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(ii) Rule 16b-3 Compliance.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 (d) Effect of Board’s Decision. All determinations, interpretations and constructions made by the Board or any Committee in good faith will not be subject to review by any person and will be final, binding and conclusive on all persons. (e) Delegation to an Officer. The Board or any Committee may delegate to one or more Officers the authority to do one or both of the following (i) designate Employees who are not Officers to be recipients of Options and SARs (and, to the extent permitted by Applicable Law,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 8. TAX WITHHOLDING (a) Withholding Authorization. As a condition to acceptance of any Award under the Plan, a Participant authorizes withholding from payroll and any other amounts payable to such Participant, and otherwise agree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 (b) Satisfaction of Withholding Obligation. To the extent permitted by the terms of an Award Agreement, the Company may, in its sole 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 (c) No Obligation to Notify or Minimize Taxes; No Liability to Claims. 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 (d) Withholding Indemnification.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9. MISCELLANEOUS. (a) Source of Shares. The stock issuable under the Plan will be shares of authorized but unissued or reacquired Common Stock, including shares repurchased by the Company on the open market or otherwise. (b) Use of Proceeds from Sales of Common Stock. Proceeds from the sale of shares of Common Stock pursuant to Awards will constitute general funds of the Company. (c) Corporate Action Constituting Grant of Awards.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 (d) Stockholder Rights.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 (e) No Employment or Other Service Rights.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 (f) Change in Time Commitment.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 (g) Execution of Additional Documents.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 (h) Electronic Delivery and Participation.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 (i) Clawback/Recovery.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16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 (j) Securities Law Compliance. 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 (k) Transfer or Assignment of Awards; Issued Shares. Except as expressly provided in the Plan or the form of 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 (l) Effect on Other Employee Benefit Plans. 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 (m) Deferrals. 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 (n) Section 409A. 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17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 (o) Choice of Law. 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 10. COVENANTS OF THE COMPANY. (a) Compliance with Law. 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 11. SEVERABILITY. 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 12. TERMINATION OF THE PLAN. 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18 13. DEFINITIONS. As used in the Plan, the following definitions apply to the capitalized terms indicated below: (a) “Acquiring Entity” means the surviving or acquiring corporation (or its parent company) in connection with a Corporate Transaction. (b) “Adoption Date” means the date the Plan is first approved by the Board. (c) “Affiliate” means, at the time of determination, any “parent” or “subsidiary” of the Company as such terms are defined in Rule 405 promulgated under the Securities Act. The Board may determine the time or times at which “parent” or “subsidiary” status is determined within the foregoing definition. (d) “Applicable Law”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 (e) “Award” means any right to receive Common Stock, cash or other property granted under the Plan (including an Incentive Stock Option, a Nonstatutory Stock Option, a Restricted Stock Award, a RSU Award, a SAR, a Performance Award or any Other Award). (f) “Award Agreement”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 (g) “Board”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 (h) “Capitalization Adjustment” 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19 (i) “Cause” has the meaning ascribed to such term in any written agreement between the Participant and the Company defining such term and, in the absence of such agreement, such term means, with respect to a Participant, the occurrence of any of the following events: (i) 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or (iv) such Participant’s gross misconduct.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 (j) “Change in Control” or “Change of Control”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 (i) 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“Subject Person”)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 (ii)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20 in each case in substantially the same proportions as their Ownership of the outstanding voting securities of the Company immediately prior to such transaction; (iii) the stockholders of the Company approve or the Board approves a plan of complete dissolution or liquidation of the Company, or a complete dissolution or liquidation of the Company shall otherwise occur, except for a liquidation into a parent corporation; (iv)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(v) individuals who, on the date the Plan is adopted by the Board, are members of the Board (the “Incumbent Board”)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(k) “Code” means the Internal Revenue Code of 1986, as amended, including any applicable regulations and guidance thereunder. (l) “Committee” means the Compensation Committee and any other committee of Directors to whom authority has been delegated by the Board or Compensation Committee in accordance with the Plan. (m) “Common Stock” means the Class A common stock of the Company. (n) “Company” means Asana, Inc., a Delaware corporation. (o) “Compensation Committee” means the Compensation Committee of the Board. (p) “Consultant”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21 foregoing, a person is treated as a Consultant under this Plan only if a Form S-8 Registration Statement under the Securities Act is available to register either the offer or the sale of the Company’s securities to such person. (q) “Continuous Service”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 (r) “Corporate Transaction” means the consummation, in a single transaction or in a series of related transactions, of any one or more of the following events: (i) a sale or other disposition of all or substantially all, as determined by the Board, of the consolidated assets of the Company and its Subsidiaries; (ii) a sale or other disposition of at least 50% of the outstanding securities of the Company; (iii) a merger, consolidation or similar transaction following which the Company is not the surviving corporation; or (iv)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(s) “Director” means a member of the Board.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22 (t) “determine” or “determined” means as determined by the Board or the Committee (or its designee) in its sole discretion. (u) “Disability”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(v) “Effective Date” means the effective date of a registration statement for an initial public offering of the Company’s common stock through a traditional initial public offering or a direct listing; provided, that this Plan is approved by the Company’s stockholders prior to such date. (w) “Employee” means any person employed by the Company or an Affiliate. However, service solely as a Director, or payment of a fee for such services, will not cause a Director to be considered an “Employee” for purposes of the Plan. (x) “Employer” means the Company or the Affiliate of the Company that employs the Participant. (y) “Entity” means a corporation, partnership, limited liability company or other entity. (z) “Exchange Act” means the Securities Exchange Act of 1934, as amended, and the rules and regulations promulgated thereunder. (aa) “Exchange Act Person”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 (bb) “Fair Market Value” means, as of any date, unless otherwise determined by the Board, the value of the Common Stock (as determined on a per share or aggregate basis, as applicable) determined as follows: (i) If the Common Stock is listed on any established stock exchange or traded on any established market, the Fair Market Value will be the closing sales price for such stock as quoted on such exchange or market (or the exchange or market with the greatest volume of trading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23 in the Common Stock) on the date of determination, as reported in a source the Board deems reliable. (ii) If there is no closing sales price for the Common Stock on the date of determination, then the Fair Market Value will be the closing selling price on the last preceding date for which such quotation exists. (iii) In the absence of such markets for the Common Stock, or if otherwise determined by the Board, the Fair Market Value will be determined by the Board in good faith and in a manner that complies with Sections 409A and 422 of the Code. (cc) “Governmental Body” means any: (a) nation, state, commonwealth, province, territory, county, municipality, district or other jurisdiction of any nature; (b) federal, state, local, municipal, foreign or other government; (c) governmental or regulatory body, or quasi- 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 (dd) “Grant Notice”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 (ee) “Incentive Stock Option” means an option granted pursuant to Section 4 of the Plan that is intended to be, and qualifies as, an “incentive stock option” within the meaning of Section 422 of the Code. (ff) “Materially Impair”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 (gg) “Non-Employee Director” means a Director who either (i) is not a current employee or officer of the Company or an Affiliate, does not receive compensation, either directly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24 or indirectly, from the Company or an Affiliate for services rendered as a consultant or in any capacity other than as a Director (except for an amount as to which disclosure would not be required under Item 404(a) of Regulation S-K promulgated pursuant to the Securities Act (“Regulation S-K”)),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(hh) “Nonstatutory Stock Option” means any option granted pursuant to Section 4 of the Plan that does not qualify as an Incentive Stock Option. (ii) “Officer” means a person who is an officer of the Company within the meaning of Section 16 of the Exchange Act. (jj) “Option” means an Incentive Stock Option or a Nonstatutory Stock Option to purchase shares of Common Stock granted pursuant to the Plan. (kk) “Option Agreement”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 (ll) “Optionholder” means a person to whom an Option is granted pursuant to the Plan or, if applicable, such other person who holds an outstanding Option. (mm) “Other Award” means an award based in whole or in part by reference to the Common Stock which is granted pursuant to the terms and conditions of Section 5(c). (nn) “Other Award Agreement” means a written agreement between the Company and a holder of an Other Award evidencing the terms and conditions of an Other Award grant. Each Other Award Agreement will be subject to the terms and conditions of the Plan. (oo) “Own,” “Owned,” “Owner,” “Ownership”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(pp) “Participant” means an Employee, Director or Consultant to whom an Award is granted pursuant to the Plan or, if applicable, such other person who holds an outstanding Award. (qq) “Performance Award”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25 may determine that cash or other property may be used in payment of Performance Awards. Performance Awards that are settled in cash or other property are not required to be valued in whole or in part by reference to, or otherwise based on, the Common Stock. (rr) “Performance Criteria” means the one or more criteria that the Board will select for purposes of establishing the Performance Goals for a Performance Period. The Performance Criteria that will be used to establish such Performance Goals may be based on any measure of performance selected by the Board. (ss) “Performance Goals”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 (tt) “Performance Period”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 (uu) “Plan” means this Asana, Inc. 2020 Equity Incentive Plan.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26 (vv) “Plan Administrator” means the person, persons, and/or third-party administrator designated by the Company to administer the day to day operations of the Plan and the Company’s other equity incentive programs. (ww) “Post-Termination Exercise Period” means the period following termination of a Participant’s Continuous Service within which an Option or SAR is exercisable, as specified in Section 4(g). (xx) “Prior Plans’ Available Reserve” means the number of shares available for the grant of new awards under the Prior Plans as of immediately prior to the Effective Date. (yy) “Prior Plans” means the Asana, Inc. 2009 Stock Plan, as amended, and the Asana, Inc. Amended and Restated 2012 Stock Plan. (zz) “Prospectus” means the document containing the Plan information specified in Section 10(a) of the Securities Act. (aaa) “Restricted Stock Award” or “RSA” means an Award of shares of Common Stock which is granted pursuant to the terms and conditions of Section 5(a). (bbb) “Restricted Stock Award Agreement”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 (ccc) “Returning Shares” means shares subject to outstanding stock awards granted under the Prior Plans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 (ddd) “RSU Award” or “RSU” means an Award of restricted stock units representing the right to receive an issuance of shares of Common Stock which is granted pursuant to the terms and conditions of Section 5(a). (eee) “RSU Award Agreement” means a written agreement between the Company and a holder of a RSU Award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27 (fff) “Rule 16b-3” means Rule 16b-3 promulgated under the Exchange Act or any successor to Rule 16b-3, as in effect from time to time. (ggg) “Rule 405” means Rule 405 promulgated under the Securities Act. (hhh) “Section 409A” means Section 409A of the Code and the regulations and other guidance thereunder. (iii) “Section 409A Change in Control” means a change in the ownership or effective control of the Company, or in the ownership of a substantial portion of the Company’s assets, as provided in Section 409A(a)(2)(A)(v) of the Code and Treasury Regulations Section 1.409A- 3(i)(5) (without regard to any alternative definition thereunder). (jjj) “Securities Act” means the Securities Act of 1933, as amended. (kkk) “Share Reserve” means the number of shares available for issuance under the Plan as set forth in Section 2(a). (lll) “Stock Appreciation Right” or “SAR” means a right to receive the appreciation on Common Stock that is granted pursuant to the terms and conditions of Section 4. (mmm) “SAR Agreement”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 (nnn) “Subsidiary”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(ooo) “Ten Percent Stockholder” means a person who Owns (or is deemed to Own pursuant to Section 424(d) of the Code) stock possessing more than 10% of the total combined voting power of all classes of stock of the Company or any Affiliate. (ppp) “Trading Policy” means the Company’s policy permitting certain individuals to sell Company shares only during certain "window" periods and/or otherwise restricts the ability of certain individuals to transfer or encumber Company shares, as in effect from time to time. </w:t>
      </w:r>
    </w:p>
    <w:p>
      <w:pPr>
        <w:pStyle w:val="HorizontalLine"/>
        <w:pBdr>
          <w:bottom w:val="single" w:sz="20" w:space="0" w:color="808080"/>
        </w:pBdr>
        <w:jc w:val="center"/>
        <w:rPr/>
      </w:pPr>
      <w:r>
        <w:rPr/>
      </w:r>
    </w:p>
    <w:p>
      <w:pPr>
        <w:pStyle w:val="TextBody"/>
        <w:jc w:val="center"/>
        <w:rPr/>
      </w:pPr>
      <w:r>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sans-serif" w:hAnsi="Times;sans-serif"/>
          <w:b/>
          <w:color w:val="000000"/>
          <w:sz w:val="24"/>
        </w:rPr>
      </w:pPr>
      <w:r>
        <w:rPr>
          <w:rFonts w:ascii="Times;sans-serif" w:hAnsi="Times;sans-serif"/>
          <w:b/>
          <w:color w:val="000000"/>
          <w:sz w:val="24"/>
        </w:rPr>
        <w:t>Asana, Inc.</w:t>
      </w:r>
    </w:p>
    <w:p>
      <w:pPr>
        <w:pStyle w:val="TextBody"/>
        <w:spacing w:before="0" w:after="0"/>
        <w:jc w:val="center"/>
        <w:rPr/>
      </w:pPr>
      <w:r>
        <w:rPr/>
      </w:r>
    </w:p>
    <w:p>
      <w:pPr>
        <w:pStyle w:val="TextBody"/>
        <w:spacing w:lineRule="auto" w:line="288" w:before="0" w:after="0"/>
        <w:jc w:val="center"/>
        <w:rPr>
          <w:rFonts w:ascii="Times;sans-serif" w:hAnsi="Times;sans-serif"/>
          <w:b/>
          <w:color w:val="000000"/>
          <w:sz w:val="24"/>
        </w:rPr>
      </w:pPr>
      <w:r>
        <w:rPr>
          <w:rFonts w:ascii="Times;sans-serif" w:hAnsi="Times;sans-serif"/>
          <w:b/>
          <w:color w:val="000000"/>
          <w:sz w:val="24"/>
        </w:rPr>
        <w:t>Non-Employee Director Compensation Policy</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4"/>
        </w:rPr>
        <w:t>Each member of the Board of Directors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who is not also serving as an employee of or consultant to Asana,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or any of its subsidiaries (each such member, an “</w:t>
      </w:r>
      <w:r>
        <w:rPr>
          <w:rFonts w:ascii="Times New Roman;sans-serif" w:hAnsi="Times New Roman;sans-serif"/>
          <w:b/>
          <w:i/>
          <w:color w:val="000000"/>
          <w:sz w:val="24"/>
        </w:rPr>
        <w:t>Eligible Director</w:t>
      </w:r>
      <w:r>
        <w:rPr>
          <w:color w:val="000000"/>
        </w:rPr>
        <w:t>”</w:t>
      </w:r>
      <w:r>
        <w:rPr>
          <w:rFonts w:ascii="Times New Roman;sans-serif" w:hAnsi="Times New Roman;sans-serif"/>
          <w:b w:val="false"/>
          <w:color w:val="000000"/>
          <w:sz w:val="24"/>
        </w:rPr>
        <w:t>) will receive the compensation described in this Non-Employee Director Compensation Policy for his or her Board service upon and following the listing date of the Company’s stock on a national stock exchange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An Eligible Director may decline all or any portion of his or her compensation by giving notice to the Company prior to the date cash may be paid or equity awards are to be granted, as the case may be. This policy is effective as of the Effective Date and may be amended at any time in the sole discretion of the Board or the Compensation Committee of the Board.</w:t>
      </w:r>
    </w:p>
    <w:p>
      <w:pPr>
        <w:pStyle w:val="TextBody"/>
        <w:spacing w:before="0" w:after="0"/>
        <w:rPr/>
      </w:pPr>
      <w:r>
        <w:rPr/>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I.    Annual Cash Compensation</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4"/>
        </w:rPr>
        <w:t>The annual cash compensation amount set forth below is payable to Eligible Directors in equal quarterly installments, payable in arrears on the last day of each fiscal quarter in which the service occurred (each such date, a “</w:t>
      </w:r>
      <w:r>
        <w:rPr>
          <w:rFonts w:ascii="Times New Roman;sans-serif" w:hAnsi="Times New Roman;sans-serif"/>
          <w:b/>
          <w:i/>
          <w:color w:val="000000"/>
          <w:sz w:val="24"/>
        </w:rPr>
        <w:t>Retainer Accrual Date</w:t>
      </w:r>
      <w:r>
        <w:rPr>
          <w:color w:val="000000"/>
        </w:rPr>
        <w:t>”</w:t>
      </w:r>
      <w:r>
        <w:rPr>
          <w:rFonts w:ascii="Times New Roman;sans-serif" w:hAnsi="Times New Roman;sans-serif"/>
          <w:b w:val="false"/>
          <w:color w:val="000000"/>
          <w:sz w:val="24"/>
        </w:rPr>
        <w:t xml:space="preserve">).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the last day of the first fiscal quarter in which the Eligible Director provides the service and regular full quarterly payments thereafter. All annual cash fees are vested upon payment. </w:t>
      </w:r>
    </w:p>
    <w:p>
      <w:pPr>
        <w:pStyle w:val="TextBody"/>
        <w:spacing w:before="0" w:after="0"/>
        <w:rPr/>
      </w:pPr>
      <w:r>
        <w:rPr/>
      </w:r>
    </w:p>
    <w:p>
      <w:pPr>
        <w:pStyle w:val="TextBody"/>
        <w:spacing w:lineRule="auto" w:line="288" w:before="0" w:after="0"/>
        <w:ind w:left="0" w:right="0" w:hanging="72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Annual Board Service Retainer</w:t>
      </w:r>
      <w:r>
        <w:rPr>
          <w:rFonts w:ascii="Times New Roman;sans-serif" w:hAnsi="Times New Roman;sans-serif"/>
          <w:b w:val="false"/>
          <w:color w:val="000000"/>
          <w:sz w:val="24"/>
        </w:rPr>
        <w:t xml:space="preserve">: </w: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All Eligible Directors: $30,000</w:t>
      </w:r>
    </w:p>
    <w:p>
      <w:pPr>
        <w:pStyle w:val="TextBody"/>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    Independent Chair of the Board Service Retainer (in addition to Eligible Director Service Retainer): $15,000</w:t>
      </w:r>
    </w:p>
    <w:p>
      <w:pPr>
        <w:pStyle w:val="TextBody"/>
        <w:spacing w:before="0" w:after="0"/>
        <w:jc w:val="both"/>
        <w:rPr/>
      </w:pPr>
      <w:r>
        <w:rPr/>
      </w:r>
    </w:p>
    <w:p>
      <w:pPr>
        <w:pStyle w:val="TextBody"/>
        <w:spacing w:lineRule="auto" w:line="288" w:before="0" w:after="0"/>
        <w:ind w:left="0" w:right="0" w:hanging="720"/>
        <w:jc w:val="both"/>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Annual Committee Chair Service Retainer</w:t>
      </w:r>
      <w:r>
        <w:rPr>
          <w:rFonts w:ascii="Times New Roman;sans-serif" w:hAnsi="Times New Roman;sans-serif"/>
          <w:b w:val="false"/>
          <w:color w:val="000000"/>
          <w:sz w:val="24"/>
        </w:rPr>
        <w:t>:</w: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Chair of the Audit Committee: $20,000</w: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Chair of the Compensation Committee: $12,000</w: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    Chair of the Nominating and Corporate Governance Committee: $7,500</w:t>
      </w:r>
    </w:p>
    <w:p>
      <w:pPr>
        <w:pStyle w:val="TextBody"/>
        <w:spacing w:before="0" w:after="0"/>
        <w:jc w:val="both"/>
        <w:rPr/>
      </w:pPr>
      <w:r>
        <w:rPr/>
      </w:r>
    </w:p>
    <w:p>
      <w:pPr>
        <w:pStyle w:val="TextBody"/>
        <w:spacing w:lineRule="auto" w:line="288" w:before="0" w:after="0"/>
        <w:ind w:left="0" w:right="0" w:hanging="72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Annual Committee Member Service Retainer (not applicable to Committee Chairs)</w:t>
      </w:r>
      <w:r>
        <w:rPr>
          <w:rFonts w:ascii="Times New Roman;sans-serif" w:hAnsi="Times New Roman;sans-serif"/>
          <w:b w:val="false"/>
          <w:color w:val="000000"/>
          <w:sz w:val="24"/>
        </w:rPr>
        <w:t>:</w: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Member of the Audit Committee: $10,000</w: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Member of the Compensation Committee: $6,000</w: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    Member of the Nominating and Corporate Governance Committee: $3,750</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II.    Equity Compensation</w:t>
      </w:r>
    </w:p>
    <w:p>
      <w:pPr>
        <w:pStyle w:val="TextBody"/>
        <w:spacing w:before="0" w:after="0"/>
        <w:jc w:val="both"/>
        <w:rPr/>
      </w:pPr>
      <w:r>
        <w:rPr/>
      </w:r>
    </w:p>
    <w:p>
      <w:pPr>
        <w:pStyle w:val="TextBody"/>
        <w:spacing w:lineRule="auto" w:line="288"/>
        <w:rPr/>
      </w:pPr>
      <w:r>
        <w:rPr>
          <w:rFonts w:ascii="Times New Roman;sans-serif" w:hAnsi="Times New Roman;sans-serif"/>
          <w:b w:val="false"/>
          <w:color w:val="000000"/>
          <w:sz w:val="24"/>
        </w:rPr>
        <w:t>Subject to its approval by the Company’s stockholders, the equity compensation set forth below will be granted pursuant to the Company’s 2020 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xml:space="preserve">), which provides, among other things, that the aggregate value of all compensation granted or paid, as </w:t>
      </w:r>
      <w:r>
        <w:br w:type="page"/>
      </w:r>
    </w:p>
    <w:p>
      <w:pPr>
        <w:pStyle w:val="TextBody"/>
        <w:spacing w:before="0" w:after="0"/>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2" name="Frame1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color w:val="000000"/>
                        </w:rPr>
                      </w:pPr>
                      <w:r>
                        <w:rPr>
                          <w:color w:val="000000"/>
                        </w:rPr>
                        <w:t>    </w:t>
                      </w:r>
                    </w:p>
                  </w:txbxContent>
                </v:textbox>
              </v:rect>
            </w:pict>
          </mc:Fallback>
        </mc:AlternateContent>
      </w:r>
    </w:p>
    <w:p>
      <w:pPr>
        <w:pStyle w:val="TextBody"/>
        <w:spacing w:lineRule="auto" w:line="288" w:before="0" w:after="0"/>
        <w:rPr/>
      </w:pPr>
      <w:r>
        <w:rPr>
          <w:rFonts w:ascii="Times New Roman;sans-serif" w:hAnsi="Times New Roman;sans-serif"/>
          <w:b w:val="false"/>
          <w:color w:val="000000"/>
          <w:sz w:val="24"/>
        </w:rPr>
        <w:t>applicable, to any individual for service as a non-employee director with respect to any calendar year, including awards granted and cash fees paid by the Company to such non-employee director, will not exceed (i) $750,000 in total value or (ii) in the event such non-employee director is first appointed or elected to the Board during such calendar year, $1,000,000 in total value, in each case, calculating the value of any equity awards based on the grant date fair value of such equity awards for financial reporting purposes (“</w:t>
      </w:r>
      <w:r>
        <w:rPr>
          <w:rFonts w:ascii="Times New Roman;sans-serif" w:hAnsi="Times New Roman;sans-serif"/>
          <w:b/>
          <w:i/>
          <w:color w:val="000000"/>
          <w:sz w:val="24"/>
        </w:rPr>
        <w:t>grant date fair value</w:t>
      </w:r>
      <w:r>
        <w:rPr>
          <w:color w:val="000000"/>
        </w:rPr>
        <w:t>”</w:t>
      </w:r>
      <w:r>
        <w:rPr>
          <w:rFonts w:ascii="Times New Roman;sans-serif" w:hAnsi="Times New Roman;sans-serif"/>
          <w:b w:val="false"/>
          <w:color w:val="000000"/>
          <w:sz w:val="24"/>
        </w:rPr>
        <w: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Initial Grant</w:t>
      </w:r>
      <w:r>
        <w:rPr>
          <w:rFonts w:ascii="Times New Roman;sans-serif" w:hAnsi="Times New Roman;sans-serif"/>
          <w:b w:val="false"/>
          <w:color w:val="000000"/>
          <w:sz w:val="24"/>
        </w:rPr>
        <w:t>: For each Eligible Director who is first elected or appointed to the Board following the Effective Date, on the date of such Eligible Director’s initial election or appointment to the Board (or, if such date is not a market trading day, the first market trading day thereafter), the Eligible Director will be automatically, and without further action by the Board or the Compensation Committee of the Board, granted a restricted stock unit award with a grant date fair value of $350,000 (the “</w:t>
      </w:r>
      <w:r>
        <w:rPr>
          <w:rFonts w:ascii="Times New Roman;sans-serif" w:hAnsi="Times New Roman;sans-serif"/>
          <w:b/>
          <w:i/>
          <w:color w:val="000000"/>
          <w:sz w:val="24"/>
        </w:rPr>
        <w:t>Initial Grant</w:t>
      </w:r>
      <w:r>
        <w:rPr>
          <w:color w:val="000000"/>
        </w:rPr>
        <w:t>”</w:t>
      </w:r>
      <w:r>
        <w:rPr>
          <w:rFonts w:ascii="Times New Roman;sans-serif" w:hAnsi="Times New Roman;sans-serif"/>
          <w:b w:val="false"/>
          <w:color w:val="000000"/>
          <w:sz w:val="24"/>
        </w:rPr>
        <w:t>). The shares subject to each Initial Grant (i) will vest in equal annual installments over a three-year period such that the Initial Grant is fully vested on the third anniversary of the date of grant and (ii) will vest in full upon a Change in Control (as defined in the Plan), in either case, subject to the Eligible Director’s Continuous Service (as defined in the Plan) through each such vesting date. Notwithstanding the foregoing, each share subject to the Initial Grant that vests shall be subject to a holding period and shall not be issued or delivered to the Eligible Director until the earlier to occur of (a) the first anniversary of the vesting date and (b) a “change in control event” within the meaning of Section 409A of the Internal Revenue Code of 1986, as amended (the “</w:t>
      </w:r>
      <w:r>
        <w:rPr>
          <w:rFonts w:ascii="Times New Roman;sans-serif" w:hAnsi="Times New Roman;sans-serif"/>
          <w:b/>
          <w:i/>
          <w:color w:val="000000"/>
          <w:sz w:val="24"/>
        </w:rPr>
        <w:t>Code</w:t>
      </w:r>
      <w:r>
        <w:rPr>
          <w:color w:val="000000"/>
        </w:rPr>
        <w:t>”</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Annual Grant</w:t>
      </w:r>
      <w:r>
        <w:rPr>
          <w:rFonts w:ascii="Times New Roman;sans-serif" w:hAnsi="Times New Roman;sans-serif"/>
          <w:b w:val="false"/>
          <w:color w:val="000000"/>
          <w:sz w:val="24"/>
        </w:rPr>
        <w:t>: On the date of each annual stockholder meeting of the Company held after the Effective Date, each Eligible Director who (i) has served as a non-employee member of the Board for more than six months as of such date and (ii) will continue to serve as a non-employee member of the Board following such stockholder meeting will be automatically, and without further action by the Board or the Compensation Committee of the Board, granted a restricted stock unit award with a grant date fair value of $175,000 (the “</w:t>
      </w:r>
      <w:r>
        <w:rPr>
          <w:rFonts w:ascii="Times New Roman;sans-serif" w:hAnsi="Times New Roman;sans-serif"/>
          <w:b/>
          <w:i/>
          <w:color w:val="000000"/>
          <w:sz w:val="24"/>
        </w:rPr>
        <w:t>Annual Grant</w:t>
      </w:r>
      <w:r>
        <w:rPr>
          <w:color w:val="000000"/>
        </w:rPr>
        <w:t>”</w:t>
      </w:r>
      <w:r>
        <w:rPr>
          <w:rFonts w:ascii="Times New Roman;sans-serif" w:hAnsi="Times New Roman;sans-serif"/>
          <w:b w:val="false"/>
          <w:color w:val="000000"/>
          <w:sz w:val="24"/>
        </w:rPr>
        <w:t>). The shares subject to the Annual Grant (a) will vest on the first anniversary of the date of grant, provided that the Annual Grant will in any case be fully vested on the date of Company’s next annual stockholder meeting, and (b) will vest in full upon a Change in Control (as defined in the Plan), in either case, subject to the Eligible Director’s Continuous Service (as defined in the Plan) through such vesting date. Notwithstanding the foregoing, each share subject to the Annual Grant that vests shall be subject to a holding period and shall not be issued or delivered to the Eligible Director until the earlier to occur of (1) the second anniversary of the vesting date and (2) a “change in control event” within the meaning of Section 409A of the Code.</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Elections to Receive an Equity Grant in Lieu of Cash Retainer</w:t>
      </w:r>
      <w:r>
        <w:rPr>
          <w:rFonts w:ascii="Times New Roman;sans-serif" w:hAnsi="Times New Roman;sans-serif"/>
          <w:b w:val="false"/>
          <w:color w:val="000000"/>
          <w:sz w:val="24"/>
        </w:rPr>
        <w:t>.</w:t>
      </w:r>
    </w:p>
    <w:p>
      <w:pPr>
        <w:pStyle w:val="TextBody"/>
        <w:spacing w:before="0" w:after="0"/>
        <w:ind w:left="0" w:right="0" w:firstLine="720"/>
        <w:rPr/>
      </w:pPr>
      <w:r>
        <w:rPr/>
      </w:r>
    </w:p>
    <w:p>
      <w:pPr>
        <w:pStyle w:val="TextBody"/>
        <w:spacing w:lineRule="auto" w:line="288" w:before="0" w:after="240"/>
        <w:ind w:left="0" w:right="0" w:firstLine="720"/>
        <w:rPr/>
      </w:pPr>
      <w:r>
        <w:rPr>
          <w:rFonts w:ascii="Times New Roman;sans-serif" w:hAnsi="Times New Roman;sans-serif"/>
          <w:b w:val="false"/>
          <w:color w:val="000000"/>
          <w:sz w:val="24"/>
        </w:rPr>
        <w:t>a.</w:t>
      </w:r>
      <w:r>
        <w:rPr>
          <w:rFonts w:ascii="Times New Roman;sans-serif" w:hAnsi="Times New Roman;sans-serif"/>
          <w:b w:val="false"/>
          <w:i/>
          <w:color w:val="000000"/>
          <w:sz w:val="24"/>
        </w:rPr>
        <w:t>Retainer Grant</w:t>
      </w:r>
      <w:r>
        <w:rPr>
          <w:rFonts w:ascii="Times New Roman;sans-serif" w:hAnsi="Times New Roman;sans-serif"/>
          <w:b w:val="false"/>
          <w:color w:val="000000"/>
          <w:sz w:val="24"/>
        </w:rPr>
        <w:t>. Each Eligible Director may elect to forego receiving payment of all of his or her compensation otherwise earned and payable in cash under Article I for any applicable period into a grant of fully vested shares of Common Stock (each, a “</w:t>
      </w:r>
      <w:r>
        <w:rPr>
          <w:rFonts w:ascii="Times New Roman;sans-serif" w:hAnsi="Times New Roman;sans-serif"/>
          <w:b/>
          <w:i/>
          <w:color w:val="000000"/>
          <w:sz w:val="24"/>
        </w:rPr>
        <w:t>Retainer Grant</w:t>
      </w:r>
      <w:r>
        <w:rPr>
          <w:color w:val="000000"/>
        </w:rPr>
        <w:t>”</w:t>
      </w:r>
      <w:r>
        <w:rPr>
          <w:rFonts w:ascii="Times New Roman;sans-serif" w:hAnsi="Times New Roman;sans-serif"/>
          <w:b w:val="false"/>
          <w:color w:val="000000"/>
          <w:sz w:val="24"/>
        </w:rPr>
        <w:t>) if such election is timely made in accordance with the requirements of this Section 3 (such election, a “</w:t>
      </w:r>
      <w:r>
        <w:rPr>
          <w:rFonts w:ascii="Times New Roman;sans-serif" w:hAnsi="Times New Roman;sans-serif"/>
          <w:b/>
          <w:i/>
          <w:color w:val="000000"/>
          <w:sz w:val="24"/>
        </w:rPr>
        <w:t>Retainer Grant Election</w:t>
      </w:r>
      <w:r>
        <w:rPr>
          <w:color w:val="000000"/>
        </w:rPr>
        <w:t>”</w:t>
      </w:r>
      <w:r>
        <w:rPr>
          <w:rFonts w:ascii="Times New Roman;sans-serif" w:hAnsi="Times New Roman;sans-serif"/>
          <w:b w:val="false"/>
          <w:color w:val="000000"/>
          <w:sz w:val="24"/>
        </w:rPr>
        <w:t xml:space="preserve">). If an Eligible Director timely makes a Retainer Grant Election pursuant to Section 3.b, on the first business day following each Retainer Accrual </w:t>
      </w:r>
      <w:r>
        <w:br w:type="page"/>
      </w:r>
    </w:p>
    <w:p>
      <w:pPr>
        <w:pStyle w:val="TextBody"/>
        <w:spacing w:before="0" w:after="0"/>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3" name="Frame1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color w:val="000000"/>
                        </w:rPr>
                      </w:pPr>
                      <w:r>
                        <w:rPr>
                          <w:color w:val="000000"/>
                        </w:rPr>
                        <w:t>    </w:t>
                      </w:r>
                    </w:p>
                  </w:txbxContent>
                </v:textbox>
              </v:rect>
            </w:pict>
          </mc:Fallback>
        </mc:AlternateContent>
      </w:r>
    </w:p>
    <w:p>
      <w:pPr>
        <w:pStyle w:val="TextBody"/>
        <w:spacing w:lineRule="auto" w:line="288" w:before="0" w:after="240"/>
        <w:rPr>
          <w:rFonts w:ascii="Times New Roman;sans-serif" w:hAnsi="Times New Roman;sans-serif"/>
          <w:b w:val="false"/>
          <w:color w:val="000000"/>
          <w:sz w:val="24"/>
        </w:rPr>
      </w:pPr>
      <w:r>
        <w:rPr>
          <w:rFonts w:ascii="Times New Roman;sans-serif" w:hAnsi="Times New Roman;sans-serif"/>
          <w:b w:val="false"/>
          <w:color w:val="000000"/>
          <w:sz w:val="24"/>
        </w:rPr>
        <w:t>Date to which the Retainer Grant Election applies, and without any further action by the Board or Compensation Committee, such Eligible Director automatically will be granted a number of fully vested shares of Common Stock equal to (A) the aggregate amount of cash compensation otherwise payable to such Eligible Director under Article I on the Retainer Accrual Date to which the Retainer Grant Election applies divided by (B) the closing sales price per share of the Common Stock on the applicable Retainer Accrual Date (or, if such date is not a business day, on the first business day thereafter), rounded down to the nearest whole share.</w:t>
      </w:r>
    </w:p>
    <w:p>
      <w:pPr>
        <w:pStyle w:val="TextBody"/>
        <w:spacing w:lineRule="auto" w:line="288" w:before="0" w:after="240"/>
        <w:ind w:left="0" w:right="0" w:firstLine="720"/>
        <w:rPr/>
      </w:pPr>
      <w:r>
        <w:rPr>
          <w:rFonts w:ascii="Times New Roman;sans-serif" w:hAnsi="Times New Roman;sans-serif"/>
          <w:b w:val="false"/>
          <w:color w:val="000000"/>
          <w:sz w:val="24"/>
        </w:rPr>
        <w:t>b.</w:t>
      </w:r>
      <w:r>
        <w:rPr>
          <w:rFonts w:ascii="Times New Roman;sans-serif" w:hAnsi="Times New Roman;sans-serif"/>
          <w:b w:val="false"/>
          <w:i/>
          <w:color w:val="000000"/>
          <w:sz w:val="24"/>
        </w:rPr>
        <w:t>Election Mechanics</w:t>
      </w:r>
      <w:r>
        <w:rPr>
          <w:rFonts w:ascii="Times New Roman;sans-serif" w:hAnsi="Times New Roman;sans-serif"/>
          <w:b w:val="false"/>
          <w:color w:val="000000"/>
          <w:sz w:val="24"/>
        </w:rPr>
        <w:t>. Each Retainer Grant Election must be submitted to the Company’s General Counsel (or such other individual as the Company designates) in writing prior to the applicable deadline specified by the Company’s General Counsel (or such other individual as the Company designates) for making such Retainer Grant Election. Notwithstanding the foregoing, if the Eligible Director participates in the Company’s Directors’ Deferred Compensation Plan (the “</w:t>
      </w:r>
      <w:r>
        <w:rPr>
          <w:rFonts w:ascii="Times New Roman;sans-serif" w:hAnsi="Times New Roman;sans-serif"/>
          <w:b/>
          <w:i/>
          <w:color w:val="000000"/>
          <w:sz w:val="24"/>
        </w:rPr>
        <w:t>DDCP</w:t>
      </w:r>
      <w:r>
        <w:rPr>
          <w:color w:val="000000"/>
        </w:rPr>
        <w:t>”</w:t>
      </w:r>
      <w:r>
        <w:rPr>
          <w:rFonts w:ascii="Times New Roman;sans-serif" w:hAnsi="Times New Roman;sans-serif"/>
          <w:b w:val="false"/>
          <w:color w:val="000000"/>
          <w:sz w:val="24"/>
        </w:rPr>
        <w:t>), such election deadline in all cases must be (i) within 30 days after the Eligible Director first becomes eligible to participate in the DDCP or (ii) a date preceding the first date of the calendar year during which the cash compensation would otherwise have been earned and which will be subject to such Retainer Grant Election, subject to any other conditions specified by the Board or Compensation Committee of the Board. An Eligible Director may only make a Retainer Grant Election during a period in which the Company is not in a quarterly or special blackout period and the Eligible Director is not aware of any material non-public information. Once a Retainer Grant Election is properly submitted, it will be in effect and automatically applicable to all cash compensation that would otherwise be earned and paid under Article I unless and until the Eligible Director timely revokes it in accordance with Section 3.c below. An Eligible Director who fails to make a timely Retainer Grant Election will not receive a Retainer Grant and instead will receive the cash compensation under Article I.</w:t>
      </w:r>
    </w:p>
    <w:p>
      <w:pPr>
        <w:pStyle w:val="TextBody"/>
        <w:spacing w:lineRule="auto" w:line="288" w:before="0" w:after="240"/>
        <w:ind w:left="0" w:right="0" w:firstLine="720"/>
        <w:rPr/>
      </w:pPr>
      <w:r>
        <w:rPr>
          <w:rFonts w:ascii="Times New Roman;sans-serif" w:hAnsi="Times New Roman;sans-serif"/>
          <w:b w:val="false"/>
          <w:color w:val="000000"/>
          <w:sz w:val="24"/>
        </w:rPr>
        <w:t>c.</w:t>
      </w:r>
      <w:r>
        <w:rPr>
          <w:rFonts w:ascii="Times New Roman;sans-serif" w:hAnsi="Times New Roman;sans-serif"/>
          <w:b w:val="false"/>
          <w:i/>
          <w:color w:val="000000"/>
          <w:sz w:val="24"/>
        </w:rPr>
        <w:t>Revocation Mechanics</w:t>
      </w:r>
      <w:r>
        <w:rPr>
          <w:rFonts w:ascii="Times New Roman;sans-serif" w:hAnsi="Times New Roman;sans-serif"/>
          <w:b w:val="false"/>
          <w:color w:val="000000"/>
          <w:sz w:val="24"/>
        </w:rPr>
        <w:t>. The revocation of any previously submitted Retainer Grant Election must be submitted to the Company’s General Counsel (or such other individual as the Company designates) in writing prior to the applicable deadline specified by the Company’s General Counsel (or such other individual as the Company designates) for making such revocation election. Notwithstanding the foregoing, if the Eligible Director participates in the DDCP, such revocation deadline in all cases must be a date preceding the first date of the calendar year during which the cash compensation would otherwise have been earned, subject to any other conditions specified by the Board or Compensation Committee. An Eligible Director may only revoke a Retainer Grant Election during a period in which the Company is not in a quarterly or special blackout period and the Eligible Director is not aware of any material non-public information. Following such revocation, no Retainer Grant Election will be in effect for such Eligible Director unless and until the Eligible Director timely makes a new Retainer Grant Election in accordance with the election procedures specified Section 3.b above.</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Effective Date: September 30, 2020</w:t>
      </w:r>
    </w:p>
    <w:p>
      <w:pPr>
        <w:pStyle w:val="TextBody"/>
        <w:spacing w:lineRule="auto" w:line="288"/>
        <w:rPr>
          <w:rFonts w:ascii="Times New Roman;sans-serif" w:hAnsi="Times New Roman;sans-serif"/>
          <w:b/>
          <w:color w:val="000000"/>
          <w:sz w:val="22"/>
        </w:rPr>
      </w:pPr>
      <w:r>
        <w:rPr>
          <w:rFonts w:ascii="Times New Roman;sans-serif" w:hAnsi="Times New Roman;sans-serif"/>
          <w:b/>
          <w:color w:val="000000"/>
          <w:sz w:val="22"/>
        </w:rPr>
        <w:t>Amended and Restated: January 25, 2021</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4" name="Frame1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color w:val="000000"/>
                        </w:rPr>
                      </w:pPr>
                      <w:r>
                        <w:rPr>
                          <w:color w:val="000000"/>
                        </w:rPr>
                        <w:t>    </w:t>
                      </w:r>
                    </w:p>
                  </w:txbxContent>
                </v:textbox>
              </v:rect>
            </w:pict>
          </mc:Fallback>
        </mc:AlternateContent>
      </w:r>
    </w:p>
    <w:p>
      <w:pPr>
        <w:pStyle w:val="TextBody"/>
        <w:spacing w:lineRule="auto" w:line="288" w:before="480" w:after="283"/>
        <w:jc w:val="center"/>
        <w:rPr>
          <w:rFonts w:ascii="Times New Roman;sans-serif" w:hAnsi="Times New Roman;sans-serif"/>
          <w:b/>
          <w:color w:val="000000"/>
          <w:sz w:val="24"/>
        </w:rPr>
      </w:pPr>
      <w:r>
        <w:rPr>
          <w:rFonts w:ascii="Times New Roman;sans-serif" w:hAnsi="Times New Roman;sans-serif"/>
          <w:b/>
          <w:color w:val="000000"/>
          <w:sz w:val="24"/>
        </w:rPr>
        <w:t>ASANA, INC.</w:t>
      </w:r>
    </w:p>
    <w:p>
      <w:pPr>
        <w:pStyle w:val="TextBody"/>
        <w:spacing w:lineRule="auto" w:line="288" w:before="480" w:after="283"/>
        <w:jc w:val="center"/>
        <w:rPr>
          <w:rFonts w:ascii="Times New Roman;sans-serif" w:hAnsi="Times New Roman;sans-serif"/>
          <w:b/>
          <w:color w:val="000000"/>
          <w:sz w:val="24"/>
        </w:rPr>
      </w:pPr>
      <w:r>
        <w:rPr>
          <w:rFonts w:ascii="Times New Roman;sans-serif" w:hAnsi="Times New Roman;sans-serif"/>
          <w:b/>
          <w:color w:val="000000"/>
          <w:sz w:val="24"/>
        </w:rPr>
        <w:t>DIRECTORS’ DEFERRED COMPENSATION PLAN</w:t>
      </w:r>
    </w:p>
    <w:p>
      <w:pPr>
        <w:pStyle w:val="TextBody"/>
        <w:spacing w:lineRule="auto" w:line="288" w:before="480" w:after="283"/>
        <w:jc w:val="center"/>
        <w:rPr>
          <w:rFonts w:ascii="Times New Roman;sans-serif" w:hAnsi="Times New Roman;sans-serif"/>
          <w:b/>
          <w:color w:val="000000"/>
          <w:sz w:val="24"/>
        </w:rPr>
      </w:pPr>
      <w:r>
        <w:rPr>
          <w:rFonts w:ascii="Times New Roman;sans-serif" w:hAnsi="Times New Roman;sans-serif"/>
          <w:b/>
          <w:color w:val="000000"/>
          <w:sz w:val="24"/>
        </w:rPr>
        <w:t>Adopted on by the Board of Directors on November 18, 2020</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5" name="Frame1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spacing w:lineRule="auto" w:line="288" w:before="0" w:after="0"/>
        <w:jc w:val="right"/>
        <w:rPr>
          <w:rFonts w:ascii="Times New Roman;sans-serif" w:hAnsi="Times New Roman;sans-serif"/>
          <w:b/>
          <w:color w:val="000000"/>
          <w:sz w:val="24"/>
          <w:u w:val="single"/>
        </w:rPr>
      </w:pPr>
      <w:r>
        <w:rPr>
          <w:rFonts w:ascii="Times New Roman;sans-serif" w:hAnsi="Times New Roman;sans-serif"/>
          <w:b/>
          <w:color w:val="000000"/>
          <w:sz w:val="24"/>
          <w:u w:val="single"/>
        </w:rPr>
        <w:t>Page</w:t>
      </w:r>
    </w:p>
    <w:p>
      <w:pPr>
        <w:pStyle w:val="TextBody"/>
        <w:spacing w:before="0" w:after="0"/>
        <w:rPr/>
      </w:pPr>
      <w:r>
        <w:rPr/>
      </w:r>
    </w:p>
    <w:p>
      <w:pPr>
        <w:pStyle w:val="TextBody"/>
        <w:spacing w:before="0" w:after="0"/>
        <w:rPr/>
      </w:pPr>
      <w:r>
        <w:rPr/>
      </w:r>
    </w:p>
    <w:p>
      <w:pPr>
        <w:pStyle w:val="TextBody"/>
        <w:spacing w:lineRule="auto" w:line="288" w:before="0" w:after="120"/>
        <w:ind w:left="0" w:right="0" w:hanging="1800"/>
        <w:rPr>
          <w:rFonts w:ascii="Times New Roman;sans-serif" w:hAnsi="Times New Roman;sans-serif"/>
          <w:b w:val="false"/>
          <w:color w:val="000000"/>
          <w:sz w:val="24"/>
        </w:rPr>
      </w:pPr>
      <w:r>
        <w:rPr>
          <w:rFonts w:ascii="Times New Roman;sans-serif" w:hAnsi="Times New Roman;sans-serif"/>
          <w:b w:val="false"/>
          <w:color w:val="000000"/>
          <w:sz w:val="24"/>
        </w:rPr>
        <w:t>ARTICLE 1 INTRODUCTION    1</w:t>
      </w:r>
    </w:p>
    <w:p>
      <w:pPr>
        <w:pStyle w:val="TextBody"/>
        <w:spacing w:lineRule="auto" w:line="288" w:before="0" w:after="120"/>
        <w:ind w:left="0" w:right="0" w:hanging="1800"/>
        <w:rPr>
          <w:rFonts w:ascii="Times New Roman;sans-serif" w:hAnsi="Times New Roman;sans-serif"/>
          <w:b w:val="false"/>
          <w:color w:val="000000"/>
          <w:sz w:val="24"/>
        </w:rPr>
      </w:pPr>
      <w:r>
        <w:rPr>
          <w:rFonts w:ascii="Times New Roman;sans-serif" w:hAnsi="Times New Roman;sans-serif"/>
          <w:b w:val="false"/>
          <w:color w:val="000000"/>
          <w:sz w:val="24"/>
        </w:rPr>
        <w:t>ARTICLE 2 ELIGIBILITY    1</w:t>
      </w:r>
    </w:p>
    <w:p>
      <w:pPr>
        <w:pStyle w:val="TextBody"/>
        <w:spacing w:lineRule="auto" w:line="288" w:before="0" w:after="120"/>
        <w:ind w:left="0" w:right="0" w:hanging="1800"/>
        <w:rPr>
          <w:rFonts w:ascii="Times New Roman;sans-serif" w:hAnsi="Times New Roman;sans-serif"/>
          <w:b w:val="false"/>
          <w:color w:val="000000"/>
          <w:sz w:val="24"/>
        </w:rPr>
      </w:pPr>
      <w:r>
        <w:rPr>
          <w:rFonts w:ascii="Times New Roman;sans-serif" w:hAnsi="Times New Roman;sans-serif"/>
          <w:b w:val="false"/>
          <w:color w:val="000000"/>
          <w:sz w:val="24"/>
        </w:rPr>
        <w:t>ARTICLE 3 DEFERRAL ELECTIONS    1</w:t>
      </w:r>
    </w:p>
    <w:p>
      <w:pPr>
        <w:pStyle w:val="TextBody"/>
        <w:spacing w:lineRule="auto" w:line="288" w:before="0" w:after="120"/>
        <w:ind w:left="0" w:right="0" w:hanging="1800"/>
        <w:rPr>
          <w:rFonts w:ascii="Times New Roman;sans-serif" w:hAnsi="Times New Roman;sans-serif"/>
          <w:b w:val="false"/>
          <w:color w:val="000000"/>
          <w:sz w:val="24"/>
        </w:rPr>
      </w:pPr>
      <w:r>
        <w:rPr>
          <w:rFonts w:ascii="Times New Roman;sans-serif" w:hAnsi="Times New Roman;sans-serif"/>
          <w:b w:val="false"/>
          <w:color w:val="000000"/>
          <w:sz w:val="24"/>
        </w:rPr>
        <w:t>ARTICLE 4 DEFERRED COMPENSATION ACCOUNTS    2</w:t>
      </w:r>
    </w:p>
    <w:p>
      <w:pPr>
        <w:pStyle w:val="TextBody"/>
        <w:spacing w:lineRule="auto" w:line="288" w:before="0" w:after="120"/>
        <w:ind w:left="0" w:right="0" w:hanging="1800"/>
        <w:rPr>
          <w:rFonts w:ascii="Times New Roman;sans-serif" w:hAnsi="Times New Roman;sans-serif"/>
          <w:b w:val="false"/>
          <w:color w:val="000000"/>
          <w:sz w:val="24"/>
        </w:rPr>
      </w:pPr>
      <w:r>
        <w:rPr>
          <w:rFonts w:ascii="Times New Roman;sans-serif" w:hAnsi="Times New Roman;sans-serif"/>
          <w:b w:val="false"/>
          <w:color w:val="000000"/>
          <w:sz w:val="24"/>
        </w:rPr>
        <w:t>ARTICLE 5 DISTRIBUTION OF DEFERRED COMPENSATION    3</w:t>
      </w:r>
    </w:p>
    <w:p>
      <w:pPr>
        <w:pStyle w:val="TextBody"/>
        <w:spacing w:lineRule="auto" w:line="288" w:before="0" w:after="120"/>
        <w:ind w:left="0" w:right="0" w:hanging="1800"/>
        <w:rPr>
          <w:rFonts w:ascii="Times New Roman;sans-serif" w:hAnsi="Times New Roman;sans-serif"/>
          <w:b w:val="false"/>
          <w:color w:val="000000"/>
          <w:sz w:val="24"/>
        </w:rPr>
      </w:pPr>
      <w:r>
        <w:rPr>
          <w:rFonts w:ascii="Times New Roman;sans-serif" w:hAnsi="Times New Roman;sans-serif"/>
          <w:b w:val="false"/>
          <w:color w:val="000000"/>
          <w:sz w:val="24"/>
        </w:rPr>
        <w:t>ARTICLE 6 UNFUNDED STATUS    4</w:t>
      </w:r>
    </w:p>
    <w:p>
      <w:pPr>
        <w:pStyle w:val="TextBody"/>
        <w:spacing w:lineRule="auto" w:line="288" w:before="0" w:after="120"/>
        <w:ind w:left="0" w:right="0" w:hanging="1800"/>
        <w:rPr>
          <w:rFonts w:ascii="Times New Roman;sans-serif" w:hAnsi="Times New Roman;sans-serif"/>
          <w:b w:val="false"/>
          <w:color w:val="000000"/>
          <w:sz w:val="24"/>
        </w:rPr>
      </w:pPr>
      <w:r>
        <w:rPr>
          <w:rFonts w:ascii="Times New Roman;sans-serif" w:hAnsi="Times New Roman;sans-serif"/>
          <w:b w:val="false"/>
          <w:color w:val="000000"/>
          <w:sz w:val="24"/>
        </w:rPr>
        <w:t>ARTICLE 7 DESIGNATION OF BENEFICIARY    4</w:t>
      </w:r>
    </w:p>
    <w:p>
      <w:pPr>
        <w:pStyle w:val="TextBody"/>
        <w:spacing w:lineRule="auto" w:line="288" w:before="0" w:after="120"/>
        <w:ind w:left="0" w:right="0" w:hanging="1800"/>
        <w:rPr>
          <w:rFonts w:ascii="Times New Roman;sans-serif" w:hAnsi="Times New Roman;sans-serif"/>
          <w:b w:val="false"/>
          <w:color w:val="000000"/>
          <w:sz w:val="24"/>
        </w:rPr>
      </w:pPr>
      <w:r>
        <w:rPr>
          <w:rFonts w:ascii="Times New Roman;sans-serif" w:hAnsi="Times New Roman;sans-serif"/>
          <w:b w:val="false"/>
          <w:color w:val="000000"/>
          <w:sz w:val="24"/>
        </w:rPr>
        <w:t>ARTICLE 8 ADMINISTRATION    4</w:t>
      </w:r>
    </w:p>
    <w:p>
      <w:pPr>
        <w:pStyle w:val="TextBody"/>
        <w:spacing w:lineRule="auto" w:line="288" w:before="0" w:after="120"/>
        <w:ind w:left="0" w:right="0" w:hanging="1800"/>
        <w:rPr>
          <w:rFonts w:ascii="Times New Roman;sans-serif" w:hAnsi="Times New Roman;sans-serif"/>
          <w:b w:val="false"/>
          <w:color w:val="000000"/>
          <w:sz w:val="24"/>
        </w:rPr>
      </w:pPr>
      <w:r>
        <w:rPr>
          <w:rFonts w:ascii="Times New Roman;sans-serif" w:hAnsi="Times New Roman;sans-serif"/>
          <w:b w:val="false"/>
          <w:color w:val="000000"/>
          <w:sz w:val="24"/>
        </w:rPr>
        <w:t>ARTICLE 9 TAXES    5</w:t>
      </w:r>
    </w:p>
    <w:p>
      <w:pPr>
        <w:pStyle w:val="TextBody"/>
        <w:spacing w:lineRule="auto" w:line="288" w:before="0" w:after="120"/>
        <w:ind w:left="0" w:right="0" w:hanging="1800"/>
        <w:rPr>
          <w:rFonts w:ascii="Times New Roman;sans-serif" w:hAnsi="Times New Roman;sans-serif"/>
          <w:b w:val="false"/>
          <w:color w:val="000000"/>
          <w:sz w:val="24"/>
        </w:rPr>
      </w:pPr>
      <w:r>
        <w:rPr>
          <w:rFonts w:ascii="Times New Roman;sans-serif" w:hAnsi="Times New Roman;sans-serif"/>
          <w:b w:val="false"/>
          <w:color w:val="000000"/>
          <w:sz w:val="24"/>
        </w:rPr>
        <w:t>ARTICLE 10 SECURITIES LAWS COMPLIANCE    5</w:t>
      </w:r>
    </w:p>
    <w:p>
      <w:pPr>
        <w:pStyle w:val="TextBody"/>
        <w:spacing w:lineRule="auto" w:line="288" w:before="0" w:after="120"/>
        <w:ind w:left="0" w:right="0" w:hanging="1800"/>
        <w:rPr>
          <w:rFonts w:ascii="Times New Roman;sans-serif" w:hAnsi="Times New Roman;sans-serif"/>
          <w:b w:val="false"/>
          <w:color w:val="000000"/>
          <w:sz w:val="24"/>
        </w:rPr>
      </w:pPr>
      <w:r>
        <w:rPr>
          <w:rFonts w:ascii="Times New Roman;sans-serif" w:hAnsi="Times New Roman;sans-serif"/>
          <w:b w:val="false"/>
          <w:color w:val="000000"/>
          <w:sz w:val="24"/>
        </w:rPr>
        <w:t>ARTICLE 11 GENERAL PROVISIONS    5</w:t>
      </w:r>
    </w:p>
    <w:p>
      <w:pPr>
        <w:pStyle w:val="TextBody"/>
        <w:spacing w:lineRule="auto" w:line="288" w:before="0" w:after="120"/>
        <w:ind w:left="0" w:right="0" w:hanging="1800"/>
        <w:rPr>
          <w:rFonts w:ascii="Times New Roman;sans-serif" w:hAnsi="Times New Roman;sans-serif"/>
          <w:b w:val="false"/>
          <w:color w:val="000000"/>
          <w:sz w:val="24"/>
        </w:rPr>
      </w:pPr>
      <w:r>
        <w:rPr>
          <w:rFonts w:ascii="Times New Roman;sans-serif" w:hAnsi="Times New Roman;sans-serif"/>
          <w:b w:val="false"/>
          <w:color w:val="000000"/>
          <w:sz w:val="24"/>
        </w:rPr>
        <w:t>ARTICLE 12 DEFINITIONS    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945515"/>
                <wp:effectExtent l="0" t="0" r="0" b="0"/>
                <wp:wrapNone/>
                <wp:docPr id="236" name="Frame129"/>
                <a:graphic xmlns:a="http://schemas.openxmlformats.org/drawingml/2006/main">
                  <a:graphicData uri="http://schemas.microsoft.com/office/word/2010/wordprocessingShape">
                    <wps:wsp>
                      <wps:cNvSpPr txBox="1"/>
                      <wps:spPr>
                        <a:xfrm>
                          <a:off x="0" y="0"/>
                          <a:ext cx="6480175" cy="945515"/>
                        </a:xfrm>
                        <a:prstGeom prst="rect"/>
                      </wps:spPr>
                      <wps:txbx>
                        <w:txbxContent>
                          <w:p>
                            <w:pPr>
                              <w:pStyle w:val="TextBody"/>
                              <w:spacing w:before="0" w:after="0"/>
                              <w:rPr/>
                            </w:pPr>
                            <w:r>
                              <w:rPr/>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0"/>
                                    <w:rPr/>
                                  </w:pPr>
                                  <w:r>
                                    <w:rPr/>
                                  </w:r>
                                </w:p>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0"/>
                              <w:rPr/>
                            </w:pPr>
                            <w:r>
                              <w:rPr/>
                            </w:r>
                          </w:p>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txbxContent>
                </v:textbox>
              </v:rect>
            </w:pict>
          </mc:Fallback>
        </mc:AlternateContent>
      </w:r>
    </w:p>
    <w:p>
      <w:pPr>
        <w:pStyle w:val="TextBody"/>
        <w:spacing w:lineRule="auto" w:line="288" w:before="0" w:after="240"/>
        <w:rPr/>
      </w:pPr>
      <w:r>
        <w:rPr>
          <w:rFonts w:ascii="Times New Roman;sans-serif" w:hAnsi="Times New Roman;sans-serif"/>
          <w:b/>
          <w:color w:val="000000"/>
          <w:sz w:val="24"/>
        </w:rPr>
        <w:t>ARTICLE 1.</w:t>
      </w:r>
      <w:r>
        <w:rPr>
          <w:rFonts w:ascii="Times New Roman;sans-serif" w:hAnsi="Times New Roman;sans-serif"/>
          <w:b/>
          <w:color w:val="000000"/>
          <w:sz w:val="22"/>
        </w:rPr>
        <w:t>INTRODUCTIONS</w:t>
      </w:r>
    </w:p>
    <w:p>
      <w:pPr>
        <w:pStyle w:val="TextBody"/>
        <w:spacing w:lineRule="auto" w:line="288"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i/>
          <w:color w:val="000000"/>
          <w:sz w:val="22"/>
          <w:u w:val="single"/>
        </w:rPr>
        <w:t>Establishment</w:t>
      </w:r>
      <w:r>
        <w:rPr>
          <w:rFonts w:ascii="Times New Roman;sans-serif" w:hAnsi="Times New Roman;sans-serif"/>
          <w:b w:val="false"/>
          <w:color w:val="000000"/>
          <w:sz w:val="22"/>
        </w:rPr>
        <w:t>. Asana, Inc.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established this Directors’ Deferred Compensation Plan (the “</w:t>
      </w:r>
      <w:r>
        <w:rPr>
          <w:rFonts w:ascii="Times New Roman;sans-serif" w:hAnsi="Times New Roman;sans-serif"/>
          <w:b/>
          <w:color w:val="000000"/>
          <w:sz w:val="22"/>
        </w:rPr>
        <w:t>Plan</w:t>
      </w:r>
      <w:r>
        <w:rPr>
          <w:color w:val="000000"/>
        </w:rPr>
        <w:t>”</w:t>
      </w:r>
      <w:r>
        <w:rPr>
          <w:rFonts w:ascii="Times New Roman;sans-serif" w:hAnsi="Times New Roman;sans-serif"/>
          <w:b w:val="false"/>
          <w:color w:val="000000"/>
          <w:sz w:val="22"/>
        </w:rPr>
        <w:t>) for those members of the Company’s Board of Directors who are not employees of the Company or any of its subsidiaries or affiliates. The Plan allows Eligible Directors to defer the receipt of Director Fees and to receive settlement of the right to receive payment of such amounts in the form of an issuance of Shares and/or cash. Capitalized terms used in the Plan have the definitions set forth in Article 12.</w:t>
      </w:r>
    </w:p>
    <w:p>
      <w:pPr>
        <w:pStyle w:val="TextBody"/>
        <w:spacing w:lineRule="auto" w:line="288"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i/>
          <w:color w:val="000000"/>
          <w:sz w:val="22"/>
          <w:u w:val="single"/>
        </w:rPr>
        <w:t>Purpose</w:t>
      </w:r>
      <w:r>
        <w:rPr>
          <w:rFonts w:ascii="Times New Roman;sans-serif" w:hAnsi="Times New Roman;sans-serif"/>
          <w:b w:val="false"/>
          <w:color w:val="000000"/>
          <w:sz w:val="22"/>
        </w:rPr>
        <w:t>. This Plan is intended to advance the interests of the Company and its stockholders by providing a means to attract and retain qualified persons to serve as Eligible Directors and to promote Company equity ownership by Eligible Directors, thereby aligning such Eligible Directors’ interests more closely with the interests of the stockholders of the Company.</w:t>
      </w:r>
    </w:p>
    <w:p>
      <w:pPr>
        <w:pStyle w:val="TextBody"/>
        <w:spacing w:lineRule="auto" w:line="288"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i/>
          <w:color w:val="000000"/>
          <w:sz w:val="22"/>
          <w:u w:val="single"/>
        </w:rPr>
        <w:t>Effective Date</w:t>
      </w:r>
      <w:r>
        <w:rPr>
          <w:rFonts w:ascii="Times New Roman;sans-serif" w:hAnsi="Times New Roman;sans-serif"/>
          <w:b w:val="false"/>
          <w:color w:val="000000"/>
          <w:sz w:val="22"/>
        </w:rPr>
        <w:t>. This Plan became effective as of November 18, 2020 (the “</w:t>
      </w:r>
      <w:r>
        <w:rPr>
          <w:rFonts w:ascii="Times New Roman;sans-serif" w:hAnsi="Times New Roman;sans-serif"/>
          <w:b/>
          <w:color w:val="000000"/>
          <w:sz w:val="22"/>
        </w:rPr>
        <w:t>Effective Date</w:t>
      </w:r>
      <w:r>
        <w:rPr>
          <w:color w:val="000000"/>
        </w:rPr>
        <w:t>”</w:t>
      </w:r>
      <w:r>
        <w:rPr>
          <w:rFonts w:ascii="Times New Roman;sans-serif" w:hAnsi="Times New Roman;sans-serif"/>
          <w:b w:val="false"/>
          <w:color w:val="000000"/>
          <w:sz w:val="22"/>
        </w:rPr>
        <w:t>).</w:t>
      </w:r>
    </w:p>
    <w:p>
      <w:pPr>
        <w:pStyle w:val="TextBody"/>
        <w:spacing w:lineRule="auto" w:line="288" w:before="120" w:after="240"/>
        <w:rPr/>
      </w:pPr>
      <w:r>
        <w:rPr>
          <w:rFonts w:ascii="Times New Roman;sans-serif" w:hAnsi="Times New Roman;sans-serif"/>
          <w:b/>
          <w:color w:val="000000"/>
          <w:sz w:val="24"/>
        </w:rPr>
        <w:t>ARTICLE 2.</w:t>
      </w:r>
      <w:r>
        <w:rPr>
          <w:rFonts w:ascii="Times New Roman;sans-serif" w:hAnsi="Times New Roman;sans-serif"/>
          <w:b/>
          <w:color w:val="000000"/>
          <w:sz w:val="22"/>
        </w:rPr>
        <w:t>ELIGIBILITY</w:t>
      </w:r>
    </w:p>
    <w:p>
      <w:pPr>
        <w:pStyle w:val="TextBody"/>
        <w:spacing w:lineRule="auto" w:line="288"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i/>
          <w:color w:val="000000"/>
          <w:sz w:val="22"/>
          <w:u w:val="single"/>
        </w:rPr>
        <w:t>Effective Date Eligibility</w:t>
      </w:r>
      <w:r>
        <w:rPr>
          <w:rFonts w:ascii="Times New Roman;sans-serif" w:hAnsi="Times New Roman;sans-serif"/>
          <w:b w:val="false"/>
          <w:color w:val="000000"/>
          <w:sz w:val="22"/>
        </w:rPr>
        <w:t xml:space="preserve">. Each person who was an Eligible Director on the Effective Date became eligible to participate in the Plan on the Effective Date. </w:t>
      </w:r>
    </w:p>
    <w:p>
      <w:pPr>
        <w:pStyle w:val="TextBody"/>
        <w:spacing w:lineRule="auto" w:line="288"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i/>
          <w:color w:val="000000"/>
          <w:sz w:val="22"/>
          <w:u w:val="single"/>
        </w:rPr>
        <w:t>Initial Board Appointment Eligibility</w:t>
      </w:r>
      <w:r>
        <w:rPr>
          <w:rFonts w:ascii="Times New Roman;sans-serif" w:hAnsi="Times New Roman;sans-serif"/>
          <w:b w:val="false"/>
          <w:color w:val="000000"/>
          <w:sz w:val="22"/>
        </w:rPr>
        <w:t>. Each person who becomes an Eligible Director following the Effective Date shall become eligible on the date of the Eligible Director’s initial appointment to the Board.</w:t>
      </w:r>
    </w:p>
    <w:p>
      <w:pPr>
        <w:pStyle w:val="TextBody"/>
        <w:spacing w:lineRule="auto" w:line="288"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i/>
          <w:color w:val="000000"/>
          <w:sz w:val="22"/>
          <w:u w:val="single"/>
        </w:rPr>
        <w:t>Change in Employment Status</w:t>
      </w:r>
      <w:r>
        <w:rPr>
          <w:rFonts w:ascii="Times New Roman;sans-serif" w:hAnsi="Times New Roman;sans-serif"/>
          <w:b w:val="false"/>
          <w:color w:val="000000"/>
          <w:sz w:val="22"/>
        </w:rPr>
        <w:t>. If any Participant subsequently becomes an employee of the Company or any of its subsidiaries or affiliates, such Participant shall not be eligible to defer any Director Fees earned during any calendar year that commences following such change in status, if applicable. Such change in status shall not otherwise impact the Participant’s Accounts, which will continue to be administered in accordance with the terms of the Plan and the Participant’s Deferral Election.</w:t>
      </w:r>
    </w:p>
    <w:p>
      <w:pPr>
        <w:pStyle w:val="TextBody"/>
        <w:spacing w:lineRule="auto" w:line="288" w:before="120" w:after="240"/>
        <w:rPr/>
      </w:pPr>
      <w:r>
        <w:rPr>
          <w:rFonts w:ascii="Times New Roman;sans-serif" w:hAnsi="Times New Roman;sans-serif"/>
          <w:b/>
          <w:color w:val="000000"/>
          <w:sz w:val="24"/>
        </w:rPr>
        <w:t>ARTICLE 3.</w:t>
      </w:r>
      <w:r>
        <w:rPr>
          <w:rFonts w:ascii="Times New Roman;sans-serif" w:hAnsi="Times New Roman;sans-serif"/>
          <w:b/>
          <w:color w:val="000000"/>
          <w:sz w:val="22"/>
        </w:rPr>
        <w:t>DEFERRAL ELECTIONS</w:t>
      </w:r>
    </w:p>
    <w:p>
      <w:pPr>
        <w:pStyle w:val="TextBody"/>
        <w:spacing w:lineRule="auto" w:line="288"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i/>
          <w:color w:val="000000"/>
          <w:sz w:val="22"/>
          <w:u w:val="single"/>
        </w:rPr>
        <w:t>Deferral Elections</w:t>
      </w:r>
      <w:r>
        <w:rPr>
          <w:rFonts w:ascii="Times New Roman;sans-serif" w:hAnsi="Times New Roman;sans-serif"/>
          <w:b w:val="false"/>
          <w:color w:val="000000"/>
          <w:sz w:val="22"/>
        </w:rPr>
        <w:t>. Each Eligible Director may elect to defer (a) either 0%, 25%, 50%, 75%, or 100% of such Eligible Director’s Cash Director Fees for a calendar year and/or (b) either 0% or 100% of such Eligible Director’s Stock Director Fees for a calendar year by submitting a completed Deferral Election form to the Administrator in accordance with the procedures set forth in this Article 3.</w:t>
      </w:r>
    </w:p>
    <w:p>
      <w:pPr>
        <w:pStyle w:val="TextBody"/>
        <w:spacing w:lineRule="auto" w:line="288"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i/>
          <w:color w:val="000000"/>
          <w:sz w:val="22"/>
          <w:u w:val="single"/>
        </w:rPr>
        <w:t>Timing of Deferral Election</w:t>
      </w:r>
      <w:r>
        <w:rPr>
          <w:rFonts w:ascii="Times New Roman;sans-serif" w:hAnsi="Times New Roman;sans-serif"/>
          <w:b w:val="false"/>
          <w:color w:val="000000"/>
          <w:sz w:val="22"/>
        </w:rPr>
        <w:t>. An Eligible Director may make a Deferral Election within thirty (30) days after the date on which such Eligible Director initially becomes eligible to participate in the Plan (the “</w:t>
      </w:r>
      <w:r>
        <w:rPr>
          <w:rFonts w:ascii="Times;sans-serif" w:hAnsi="Times;sans-serif"/>
          <w:b/>
          <w:color w:val="000000"/>
          <w:sz w:val="22"/>
        </w:rPr>
        <w:t>Initial Election Period</w:t>
      </w:r>
      <w:r>
        <w:rPr>
          <w:color w:val="000000"/>
        </w:rPr>
        <w:t>”</w:t>
      </w:r>
      <w:r>
        <w:rPr>
          <w:rFonts w:ascii="Times New Roman;sans-serif" w:hAnsi="Times New Roman;sans-serif"/>
          <w:b w:val="false"/>
          <w:color w:val="000000"/>
          <w:sz w:val="22"/>
        </w:rPr>
        <w:t>). An Eligible Director who does not make a Deferral Election within the Initial Election Period may make a Deferral Election in accordance with administrative procedures established by the Administrator.</w:t>
      </w:r>
    </w:p>
    <w:p>
      <w:pPr>
        <w:pStyle w:val="TextBody"/>
        <w:spacing w:lineRule="auto" w:line="288"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i/>
          <w:color w:val="000000"/>
          <w:sz w:val="22"/>
          <w:u w:val="single"/>
        </w:rPr>
        <w:t>Effect and Duration of Deferral Election</w:t>
      </w:r>
      <w:r>
        <w:rPr>
          <w:rFonts w:ascii="Times New Roman;sans-serif" w:hAnsi="Times New Roman;sans-serif"/>
          <w:b w:val="false"/>
          <w:color w:val="000000"/>
          <w:sz w:val="22"/>
        </w:rPr>
        <w:t xml:space="preserve">. A Deferral Election shall apply only to Director Fees earned after the date such election is made and is irrevocable consistent with the requirements of Section 409A. Any Deferral Election made within the Initial Election Period will be irrevocable upon expiration of the Initial Election Period and will apply to any Director Fees earned </w:t>
      </w:r>
      <w:r>
        <w:br w:type="page"/>
      </w:r>
    </w:p>
    <w:p>
      <w:pPr>
        <w:pStyle w:val="TextBody"/>
        <w:spacing w:before="0" w:after="0"/>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85445"/>
                <wp:effectExtent l="0" t="0" r="0" b="0"/>
                <wp:wrapNone/>
                <wp:docPr id="237" name="Frame130"/>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spacing w:lineRule="auto" w:line="288"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spacing w:lineRule="auto" w:line="288" w:before="0" w:after="0"/>
                        <w:rPr>
                          <w:color w:val="000000"/>
                        </w:rPr>
                      </w:pPr>
                      <w:r>
                        <w:rPr>
                          <w:color w:val="000000"/>
                        </w:rPr>
                        <w:t>    </w:t>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2"/>
        </w:rPr>
        <w:t>during calendar quarters that commence following expiration of such Initial Election Period, including calendar quarters in any subsequent calendar year. Any Deferral Election made after expiration of the Initial Election Period will be irrevocable as of December 31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of the calendar year in which it was made and will apply to any Director Fees earned in any subsequent calendar year. Deferral Elections shall evergreen so that they will continue in effect and will be applicable to Director Fees earned in all subsequent calendar years, unless and until such Deferral Election is modified as provided in Section 3.4.</w:t>
      </w:r>
    </w:p>
    <w:p>
      <w:pPr>
        <w:pStyle w:val="TextBody"/>
        <w:spacing w:lineRule="auto" w:line="288"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i/>
          <w:color w:val="000000"/>
          <w:sz w:val="22"/>
          <w:u w:val="single"/>
        </w:rPr>
        <w:t>Modifications to Deferral Elections</w:t>
      </w:r>
      <w:r>
        <w:rPr>
          <w:rFonts w:ascii="Times New Roman;sans-serif" w:hAnsi="Times New Roman;sans-serif"/>
          <w:b w:val="false"/>
          <w:color w:val="000000"/>
          <w:sz w:val="22"/>
        </w:rPr>
        <w:t xml:space="preserve">. A Participant may revoke or modify a prior Deferral Election by submitting a new Deferral Election to the Administrator at such time before the first day of any subsequent calendar year in accordance with procedures established by the Administrator. Any modified Deferral Election will commence effectiveness with respect to such subsequent calendar year and will evergreen and remain effective for calendar years commencing thereafter. </w:t>
      </w:r>
    </w:p>
    <w:p>
      <w:pPr>
        <w:pStyle w:val="TextBody"/>
        <w:spacing w:lineRule="auto" w:line="288"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i/>
          <w:color w:val="000000"/>
          <w:sz w:val="22"/>
          <w:u w:val="single"/>
        </w:rPr>
        <w:t>Form of Deferral Election</w:t>
      </w:r>
      <w:r>
        <w:rPr>
          <w:rFonts w:ascii="Times New Roman;sans-serif" w:hAnsi="Times New Roman;sans-serif"/>
          <w:b w:val="false"/>
          <w:color w:val="000000"/>
          <w:sz w:val="22"/>
        </w:rPr>
        <w:t xml:space="preserve">. A Deferral Election shall be made in a form approved by the Administrator (including in the form attached to the Plan as Appendix I). </w:t>
      </w:r>
    </w:p>
    <w:p>
      <w:pPr>
        <w:pStyle w:val="TextBody"/>
        <w:spacing w:lineRule="auto" w:line="288" w:before="120" w:after="240"/>
        <w:rPr/>
      </w:pPr>
      <w:r>
        <w:rPr>
          <w:rFonts w:ascii="Times New Roman;sans-serif" w:hAnsi="Times New Roman;sans-serif"/>
          <w:b/>
          <w:color w:val="000000"/>
          <w:sz w:val="24"/>
        </w:rPr>
        <w:t>ARTICLE 4.</w:t>
      </w:r>
      <w:r>
        <w:rPr>
          <w:rFonts w:ascii="Times New Roman;sans-serif" w:hAnsi="Times New Roman;sans-serif"/>
          <w:b/>
          <w:color w:val="000000"/>
          <w:sz w:val="22"/>
        </w:rPr>
        <w:t>DEFERRED COMPENSATION ACCOUNTS</w:t>
      </w:r>
    </w:p>
    <w:p>
      <w:pPr>
        <w:pStyle w:val="TextBody"/>
        <w:spacing w:lineRule="auto" w:line="288"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i/>
          <w:color w:val="000000"/>
          <w:sz w:val="22"/>
          <w:u w:val="single"/>
        </w:rPr>
        <w:t>Establishment of Stock Unit Accounts</w:t>
      </w:r>
      <w:r>
        <w:rPr>
          <w:rFonts w:ascii="Times New Roman;sans-serif" w:hAnsi="Times New Roman;sans-serif"/>
          <w:b w:val="false"/>
          <w:color w:val="000000"/>
          <w:sz w:val="22"/>
        </w:rPr>
        <w:t>. The Company shall establish a Stock Unit Account for each Participant. All Director Fees deferred pursuant to Article 3 by a Participant who has elected to receive deferred compensation in the form of Shares shall be converted to Stock Units which are credited to the Participant’s Stock Unit Account on the Deferral Date. Stock Director Fees deferred under the Plan will have the number of Shares subject to such deferral election converted into an equivalent number of Stock Units credited to the Participant’s Stock Unit Account. With respect to any Cash Director Fees deferred under the Plan, the number of Stock Units credited to a Participant’s Stock Unit Account as of a Deferral Date shall equal the amount of the deferred Director Fees divided by the Fair Market Value of a Share on such Deferral Date, with fractional Stock Units calculated to three decimal places. Fractional Stock Units shall be credited cumulatively, but any fractional Stock Unit credited to a Participant’s Stock Unit Account at the time of a distribution under Article 5 shall be converted into the right to receive a cash amount equal to the Fair Market Value of a corresponding fractional Share on the date of distribution. As of each dividend payment date with respect to Shares, if any, each Participant shall have credited to such Participant’s Stock Unit Account a dollar amount equal to the amount of cash dividends that would have been paid on the number of Shares equal to the number of Stock Units credited to the Participant’s Stock Unit Account as of the close of business on the record date for such dividend. Such dollar amount shall then be converted into a number of Stock Units equal to the number of whole and fractional Shares that could have been purchased with such dollar amount at Fair Market Value on the dividend payment date. In the event of a reorganization, recapitalization, stock split, stock dividend, spin off, combination, corporate exchange, merger, consolidation or other change in the Shares that does not qualify as a Change in Control, or any distribution to holders of Shares other than cash dividends or any transaction determined in good faith by the Administrator to be similar to the foregoing, the Administrator shall make appropriate equitable changes in the number of Stock Units credited to the Participant’s Stock Unit Account.</w:t>
      </w:r>
    </w:p>
    <w:p>
      <w:pPr>
        <w:pStyle w:val="TextBody"/>
        <w:spacing w:lineRule="auto" w:line="288"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i/>
          <w:color w:val="000000"/>
          <w:sz w:val="22"/>
          <w:u w:val="single"/>
        </w:rPr>
        <w:t>Establishment of Cash Account</w:t>
      </w:r>
      <w:r>
        <w:rPr>
          <w:rFonts w:ascii="Times New Roman;sans-serif" w:hAnsi="Times New Roman;sans-serif"/>
          <w:b w:val="false"/>
          <w:color w:val="000000"/>
          <w:sz w:val="22"/>
        </w:rPr>
        <w:t xml:space="preserve">. The Company shall establish a Cash Account for each Participant. The Company shall credit, on the Deferral Date, to the Cash Account of each Participant the deferred portion of any Cash Director Fees due the Participant as to which an election to defer the receipt of cash has been made. Fees deferred in the form of cash shall be held in the general funds of the Company and shall not accrue interest. </w:t>
      </w:r>
      <w:r>
        <w:br w:type="page"/>
      </w:r>
    </w:p>
    <w:p>
      <w:pPr>
        <w:pStyle w:val="TextBody"/>
        <w:spacing w:before="0" w:after="0"/>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385445"/>
                <wp:effectExtent l="0" t="0" r="0" b="0"/>
                <wp:wrapNone/>
                <wp:docPr id="238" name="Frame131"/>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lineRule="auto" w:line="288"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lineRule="auto" w:line="288" w:before="0" w:after="0"/>
                        <w:rPr>
                          <w:color w:val="000000"/>
                        </w:rPr>
                      </w:pPr>
                      <w:r>
                        <w:rPr>
                          <w:color w:val="000000"/>
                        </w:rPr>
                        <w:t>    </w:t>
                      </w:r>
                    </w:p>
                  </w:txbxContent>
                </v:textbox>
              </v:rect>
            </w:pict>
          </mc:Fallback>
        </mc:AlternateContent>
      </w:r>
    </w:p>
    <w:p>
      <w:pPr>
        <w:pStyle w:val="TextBody"/>
        <w:spacing w:lineRule="auto" w:line="288" w:before="120" w:after="240"/>
        <w:rPr/>
      </w:pPr>
      <w:r>
        <w:rPr>
          <w:rFonts w:ascii="Times New Roman;sans-serif" w:hAnsi="Times New Roman;sans-serif"/>
          <w:b/>
          <w:color w:val="000000"/>
          <w:sz w:val="24"/>
        </w:rPr>
        <w:t>ARTICLE 5.</w:t>
      </w:r>
      <w:r>
        <w:rPr>
          <w:rFonts w:ascii="Times New Roman;sans-serif" w:hAnsi="Times New Roman;sans-serif"/>
          <w:b/>
          <w:color w:val="000000"/>
          <w:sz w:val="22"/>
        </w:rPr>
        <w:t>DISTRIBUTION OF DEFERRED COMPENSATION</w:t>
      </w:r>
    </w:p>
    <w:p>
      <w:pPr>
        <w:pStyle w:val="TextBody"/>
        <w:spacing w:lineRule="auto" w:line="288"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i/>
          <w:color w:val="000000"/>
          <w:sz w:val="22"/>
          <w:u w:val="single"/>
        </w:rPr>
        <w:t>Settlement</w:t>
      </w:r>
      <w:r>
        <w:rPr>
          <w:rFonts w:ascii="Times New Roman;sans-serif" w:hAnsi="Times New Roman;sans-serif"/>
          <w:b w:val="false"/>
          <w:color w:val="000000"/>
          <w:sz w:val="22"/>
        </w:rPr>
        <w:t>. Settlement of a Participant’s Stock Unit Account will be effected by delivering to the Participant a number of Shares equal to the number of whole Stock Units credited to the Participant’s Stock Unit Account. The source of Shares distributed pursuant to this Plan shall be the Company’s 2020 Equity Incentive Plan or any successor equity incentive plan adopted by the Company. Any fractional Stock Units credited to a Participant’s Stock Unit Account at the time of a distribution and the full balance of the Participant’s Cash Account shall be paid in cash at the time of such distribution.</w:t>
      </w:r>
    </w:p>
    <w:p>
      <w:pPr>
        <w:pStyle w:val="TextBody"/>
        <w:spacing w:lineRule="auto" w:line="288"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i/>
          <w:color w:val="000000"/>
          <w:sz w:val="22"/>
          <w:u w:val="single"/>
        </w:rPr>
        <w:t>Time and Form of Distribution</w:t>
      </w:r>
      <w:r>
        <w:rPr>
          <w:rFonts w:ascii="Times New Roman;sans-serif" w:hAnsi="Times New Roman;sans-serif"/>
          <w:b w:val="false"/>
          <w:color w:val="000000"/>
          <w:sz w:val="22"/>
        </w:rPr>
        <w:t xml:space="preserve">. Amounts credited to a Participant’s Accounts will be distributed in a single lump sum to the Participant on the date, if any, selected by the Participant pursuant to the Participant’s election made pursuant to Article 3 (or as soon as administratively practicable thereafter); provided, however, that if the Participant has not selected a distribution date or the Participant’s selected distribution date is after the Participant’s Separation from Service, then distribution shall be made, in the form of a single lump sum, on the date of the Participant’s Separation from Service (or as soon as administratively practicable thereafter). </w:t>
      </w:r>
    </w:p>
    <w:p>
      <w:pPr>
        <w:pStyle w:val="TextBody"/>
        <w:spacing w:lineRule="auto" w:line="288"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i/>
          <w:color w:val="000000"/>
          <w:sz w:val="22"/>
          <w:u w:val="single"/>
        </w:rPr>
        <w:t>Specified Employee Delay in Distribution Upon Separation from Service</w:t>
      </w:r>
      <w:r>
        <w:rPr>
          <w:rFonts w:ascii="Times New Roman;sans-serif" w:hAnsi="Times New Roman;sans-serif"/>
          <w:b w:val="false"/>
          <w:color w:val="000000"/>
          <w:sz w:val="22"/>
        </w:rPr>
        <w:t xml:space="preserve">. The provisions of this Section 5.3 shall apply to the extent necessary to avoid adverse tax consequences to a Participant under Section 409A. Except as set forth in section 5.5, if a Participant is a Specified Employee no distribution to such Participant which is triggered by a Separation from Service will be made any earlier than six months and one day following the date of the Separation from Service. </w:t>
      </w:r>
    </w:p>
    <w:p>
      <w:pPr>
        <w:pStyle w:val="TextBody"/>
        <w:spacing w:lineRule="auto" w:line="288"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i/>
          <w:color w:val="000000"/>
          <w:sz w:val="22"/>
          <w:u w:val="single"/>
        </w:rPr>
        <w:t>Distribution upon Change in Control</w:t>
      </w:r>
      <w:r>
        <w:rPr>
          <w:rFonts w:ascii="Times New Roman;sans-serif" w:hAnsi="Times New Roman;sans-serif"/>
          <w:b w:val="false"/>
          <w:color w:val="000000"/>
          <w:sz w:val="22"/>
        </w:rPr>
        <w:t>. In the event of a Change in Control at any time prior to the distribution of the Participant’s Accounts, as soon as administratively feasible after such Change in Control, the entire balance of the Participant’s Accounts shall be immediately distributed to the Participant.</w:t>
      </w:r>
    </w:p>
    <w:p>
      <w:pPr>
        <w:pStyle w:val="TextBody"/>
        <w:spacing w:lineRule="auto" w:line="288"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i/>
          <w:color w:val="000000"/>
          <w:sz w:val="22"/>
          <w:u w:val="single"/>
        </w:rPr>
        <w:t>Distribution upon Death</w:t>
      </w:r>
      <w:r>
        <w:rPr>
          <w:rFonts w:ascii="Times New Roman;sans-serif" w:hAnsi="Times New Roman;sans-serif"/>
          <w:b w:val="false"/>
          <w:color w:val="000000"/>
          <w:sz w:val="22"/>
        </w:rPr>
        <w:t>. In the event of a Participant’s death at any time prior to distribution of the Participant’s Accounts, as soon as administratively feasible after the Participant’s death, the entire balance of the Participant’s Accounts shall be immediately distributed to the beneficiary designated by the Participant under Article 7.</w:t>
      </w:r>
    </w:p>
    <w:p>
      <w:pPr>
        <w:pStyle w:val="TextBody"/>
        <w:spacing w:lineRule="auto" w:line="288"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i/>
          <w:color w:val="000000"/>
          <w:sz w:val="22"/>
          <w:u w:val="single"/>
        </w:rPr>
        <w:t>Distribution upon Unforeseeable Emergency</w:t>
      </w:r>
      <w:r>
        <w:rPr>
          <w:rFonts w:ascii="Times New Roman;sans-serif" w:hAnsi="Times New Roman;sans-serif"/>
          <w:b w:val="false"/>
          <w:color w:val="000000"/>
          <w:sz w:val="22"/>
        </w:rPr>
        <w:t>. In the event the Participant experiences an unforeseeable emergency as defined in Treas. Reg. § 1.409A-3(i)(3), the Administrator may, at the request of the Participant, make a distribution from the Participant’s Accounts equivalent to the amount reasonably necessary to satisfy the emergency need. The balance of the Accounts will not be distributed until the occurrence of the earliest distribution event specified in this Article 5. Unforeseeable emergency distributions will be administered in manner compliant with the requirements of Section 409A.</w:t>
      </w:r>
    </w:p>
    <w:p>
      <w:pPr>
        <w:pStyle w:val="TextBody"/>
        <w:spacing w:lineRule="auto" w:line="288"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i/>
          <w:color w:val="000000"/>
          <w:sz w:val="22"/>
          <w:u w:val="single"/>
        </w:rPr>
        <w:t>Specified Date Distribution Downstream Election Changes</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 xml:space="preserve">A Participant who had elected to receive distribution in settlement of the Participant’s Accounts on a Specified Date is permitted to elect to delay a distribution or change the form of a distribution in accordance with procedures established by the Administrator so long as the following conditions are met: </w:t>
      </w:r>
    </w:p>
    <w:p>
      <w:pPr>
        <w:pStyle w:val="TextBody"/>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(a)Such election does not take effect until at least twelve (12) months after the date on which the election is made; </w:t>
      </w:r>
    </w:p>
    <w:p>
      <w:pPr>
        <w:pStyle w:val="TextBody"/>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(b)Such election must defer the distribution for a period of at least five (5) years from the date such distribution would otherwise have been made; and</w:t>
      </w:r>
      <w:r>
        <w:br w:type="page"/>
      </w:r>
    </w:p>
    <w:p>
      <w:pPr>
        <w:pStyle w:val="TextBody"/>
        <w:spacing w:before="0" w:after="0"/>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85445"/>
                <wp:effectExtent l="0" t="0" r="0" b="0"/>
                <wp:wrapNone/>
                <wp:docPr id="239" name="Frame132"/>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lineRule="auto" w:line="288"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lineRule="auto" w:line="288" w:before="0" w:after="0"/>
                        <w:rPr>
                          <w:color w:val="000000"/>
                        </w:rPr>
                      </w:pPr>
                      <w:r>
                        <w:rPr>
                          <w:color w:val="000000"/>
                        </w:rPr>
                        <w:t>    </w:t>
                      </w:r>
                    </w:p>
                  </w:txbxContent>
                </v:textbox>
              </v:rect>
            </w:pict>
          </mc:Fallback>
        </mc:AlternateContent>
      </w:r>
    </w:p>
    <w:p>
      <w:pPr>
        <w:pStyle w:val="TextBody"/>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(c)If the distribution is scheduled to be made at a specified time, then such election must be made no less than twelve (12) months before the date the distribution is scheduled to be made.</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Any subsequent deferral election shall become irrevocable as of the last permissible date for making such subsequent deferral election. </w:t>
      </w:r>
    </w:p>
    <w:p>
      <w:pPr>
        <w:pStyle w:val="TextBody"/>
        <w:spacing w:lineRule="auto" w:line="288" w:before="120" w:after="240"/>
        <w:rPr/>
      </w:pPr>
      <w:r>
        <w:rPr>
          <w:rFonts w:ascii="Times New Roman;sans-serif" w:hAnsi="Times New Roman;sans-serif"/>
          <w:b/>
          <w:color w:val="000000"/>
          <w:sz w:val="24"/>
        </w:rPr>
        <w:t>ARTICLE 6.</w:t>
      </w:r>
      <w:r>
        <w:rPr>
          <w:rFonts w:ascii="Times New Roman;sans-serif" w:hAnsi="Times New Roman;sans-serif"/>
          <w:b/>
          <w:color w:val="000000"/>
          <w:sz w:val="22"/>
        </w:rPr>
        <w:t>UNFUNDED STATUS</w:t>
      </w:r>
    </w:p>
    <w:p>
      <w:pPr>
        <w:pStyle w:val="TextBody"/>
        <w:spacing w:lineRule="auto" w:line="288"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i/>
          <w:color w:val="000000"/>
          <w:sz w:val="22"/>
          <w:u w:val="single"/>
        </w:rPr>
        <w:t>General</w:t>
      </w:r>
      <w:r>
        <w:rPr>
          <w:rFonts w:ascii="Times New Roman;sans-serif" w:hAnsi="Times New Roman;sans-serif"/>
          <w:b w:val="false"/>
          <w:color w:val="000000"/>
          <w:sz w:val="22"/>
        </w:rPr>
        <w:t>. The interest of each Participant in any Director Fees deferred under the Plan (and any Accounts relating thereto) shall be that of a general creditor of the Company. Accounts shall at all times be maintained by the Company as bookkeeping entries evidencing unfunded and unsecured general obligations of the Company. Except as provided in Section 6.2, no money or other assets shall be set aside for any Participant.</w:t>
      </w:r>
    </w:p>
    <w:p>
      <w:pPr>
        <w:pStyle w:val="TextBody"/>
        <w:spacing w:lineRule="auto" w:line="288"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i/>
          <w:color w:val="000000"/>
          <w:sz w:val="22"/>
          <w:u w:val="single"/>
        </w:rPr>
        <w:t>Trust</w:t>
      </w:r>
      <w:r>
        <w:rPr>
          <w:rFonts w:ascii="Times New Roman;sans-serif" w:hAnsi="Times New Roman;sans-serif"/>
          <w:b w:val="false"/>
          <w:color w:val="000000"/>
          <w:sz w:val="22"/>
        </w:rPr>
        <w:t>. To the extent determined by the Board, the Company may, but shall not be required to, transfer funds necessary to fund all or part of the payments under the Plan to a trust; provided, the assets held in such trust shall remain at all times subject to the claims of the general creditors of the Company. No participant or beneficiary shall have any interest in the assets held in such trust or in the general assets of the Company other than as a general, unsecured creditor. Accordingly, the Company shall not grant a security interest in the assets held by the trust in favor of any Participant, beneficiary or creditor.</w:t>
      </w:r>
    </w:p>
    <w:p>
      <w:pPr>
        <w:pStyle w:val="TextBody"/>
        <w:spacing w:lineRule="auto" w:line="288" w:before="120" w:after="240"/>
        <w:rPr/>
      </w:pPr>
      <w:r>
        <w:rPr>
          <w:rFonts w:ascii="Times New Roman;sans-serif" w:hAnsi="Times New Roman;sans-serif"/>
          <w:b/>
          <w:color w:val="000000"/>
          <w:sz w:val="24"/>
        </w:rPr>
        <w:t>ARTICLE 7.</w:t>
      </w:r>
      <w:r>
        <w:rPr>
          <w:rFonts w:ascii="Times New Roman;sans-serif" w:hAnsi="Times New Roman;sans-serif"/>
          <w:b/>
          <w:color w:val="000000"/>
          <w:sz w:val="22"/>
        </w:rPr>
        <w:t>DESIGNATION OF BENEFICIARY</w:t>
      </w:r>
    </w:p>
    <w:p>
      <w:pPr>
        <w:pStyle w:val="TextBody"/>
        <w:spacing w:lineRule="auto" w:line="288"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i/>
          <w:color w:val="000000"/>
          <w:sz w:val="22"/>
          <w:u w:val="single"/>
        </w:rPr>
        <w:t>Beneficiary Designation</w:t>
      </w:r>
      <w:r>
        <w:rPr>
          <w:rFonts w:ascii="Times New Roman;sans-serif" w:hAnsi="Times New Roman;sans-serif"/>
          <w:b w:val="false"/>
          <w:color w:val="000000"/>
          <w:sz w:val="22"/>
        </w:rPr>
        <w:t>. Each Participant may designate one or more beneficiaries to receive settlement of the Participant’s Accounts in the event of such Participant’s death. The Company may rely upon the beneficiary designation filed with the Administrator, provided that such form was executed by the Participant or the Participant’s legal representative and filed with the Administrator prior to the Participant’s death. If a Participant has not designated a beneficiary, or if the designated beneficiary is not surviving when a payment is to be made to such person under the Plan, the beneficiary with respect to such payment shall be the Participant’s surviving spouse, or if there is no surviving spouse, the Participant’s estate.</w:t>
      </w:r>
    </w:p>
    <w:p>
      <w:pPr>
        <w:pStyle w:val="TextBody"/>
        <w:spacing w:lineRule="auto" w:line="288" w:before="120" w:after="240"/>
        <w:rPr/>
      </w:pPr>
      <w:r>
        <w:rPr>
          <w:rFonts w:ascii="Times New Roman;sans-serif" w:hAnsi="Times New Roman;sans-serif"/>
          <w:b/>
          <w:color w:val="000000"/>
          <w:sz w:val="24"/>
        </w:rPr>
        <w:t>ARTICLE 8.</w:t>
      </w:r>
      <w:r>
        <w:rPr>
          <w:rFonts w:ascii="Times New Roman;sans-serif" w:hAnsi="Times New Roman;sans-serif"/>
          <w:b/>
          <w:color w:val="000000"/>
          <w:sz w:val="22"/>
        </w:rPr>
        <w:t>ADMINISTRATION</w:t>
      </w:r>
    </w:p>
    <w:p>
      <w:pPr>
        <w:pStyle w:val="TextBody"/>
        <w:spacing w:lineRule="auto" w:line="288"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i/>
          <w:color w:val="000000"/>
          <w:sz w:val="22"/>
          <w:u w:val="single"/>
        </w:rPr>
        <w:t>Administrator</w:t>
      </w:r>
      <w:r>
        <w:rPr>
          <w:rFonts w:ascii="Times New Roman;sans-serif" w:hAnsi="Times New Roman;sans-serif"/>
          <w:b w:val="false"/>
          <w:color w:val="000000"/>
          <w:sz w:val="22"/>
        </w:rPr>
        <w:t>. The Plan shall be administered by the Administrator appointed by the Board. Unless the Board determines otherwise, the Administrator shall be a committee of Company employees consisting of at least the General Counsel, Head of People, and the Chief Financial Officer, or one or more Company employees selected by them as their delegates as evidenced in writing. The Administrator shall have the authority to make all determinations it deems necessary or advisable for administering the Plan, subject to the express provisions of the Plan, and to delegate its authority to one or more Company employees.</w:t>
      </w:r>
    </w:p>
    <w:p>
      <w:pPr>
        <w:pStyle w:val="TextBody"/>
        <w:spacing w:lineRule="auto" w:line="288"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i/>
          <w:color w:val="000000"/>
          <w:sz w:val="22"/>
          <w:u w:val="single"/>
        </w:rPr>
        <w:t>Binding Effect of Decisions</w:t>
      </w:r>
      <w:r>
        <w:rPr>
          <w:rFonts w:ascii="Times New Roman;sans-serif" w:hAnsi="Times New Roman;sans-serif"/>
          <w:b w:val="false"/>
          <w:color w:val="000000"/>
          <w:sz w:val="22"/>
        </w:rPr>
        <w:t>. The decision or action of the Administrator with respect to any question arising out of or in connection with the administration, interpretation and application of the Plan and the rules and regulations promulgated hereunder shall be final and conclusive and binding upon the Participants and any other persons having any interest in the Plan.</w:t>
      </w:r>
      <w:r>
        <w:br w:type="page"/>
      </w:r>
    </w:p>
    <w:p>
      <w:pPr>
        <w:pStyle w:val="TextBody"/>
        <w:spacing w:before="0" w:after="0"/>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385445"/>
                <wp:effectExtent l="0" t="0" r="0" b="0"/>
                <wp:wrapNone/>
                <wp:docPr id="240" name="Frame133"/>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lineRule="auto" w:line="288"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lineRule="auto" w:line="288" w:before="0" w:after="0"/>
                        <w:rPr>
                          <w:color w:val="000000"/>
                        </w:rPr>
                      </w:pPr>
                      <w:r>
                        <w:rPr>
                          <w:color w:val="000000"/>
                        </w:rPr>
                        <w:t>    </w:t>
                      </w:r>
                    </w:p>
                  </w:txbxContent>
                </v:textbox>
              </v:rect>
            </w:pict>
          </mc:Fallback>
        </mc:AlternateContent>
      </w:r>
    </w:p>
    <w:p>
      <w:pPr>
        <w:pStyle w:val="TextBody"/>
        <w:spacing w:lineRule="auto" w:line="288"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i/>
          <w:color w:val="000000"/>
          <w:sz w:val="22"/>
          <w:u w:val="single"/>
        </w:rPr>
        <w:t>Indemnification of Administrato</w:t>
      </w:r>
      <w:r>
        <w:rPr>
          <w:rFonts w:ascii="Times New Roman;sans-serif" w:hAnsi="Times New Roman;sans-serif"/>
          <w:b w:val="false"/>
          <w:i/>
          <w:color w:val="000000"/>
          <w:sz w:val="22"/>
        </w:rPr>
        <w:t>r.</w:t>
      </w:r>
      <w:r>
        <w:rPr>
          <w:color w:val="000000"/>
        </w:rPr>
        <w:t xml:space="preserve"> </w:t>
      </w:r>
      <w:r>
        <w:rPr>
          <w:rFonts w:ascii="Times New Roman;sans-serif" w:hAnsi="Times New Roman;sans-serif"/>
          <w:b w:val="false"/>
          <w:color w:val="000000"/>
          <w:sz w:val="22"/>
        </w:rPr>
        <w:t>The Company shall indemnify and hold harmless the members of the committee comprising the Administrator, and any Company employee to whom the duties of the Administrator are delegated, against any and all claims, losses, damages, expenses or liabilities arising from any action or failure to act with respect to this Plan, except in the case of willful misconduct.</w:t>
      </w:r>
    </w:p>
    <w:p>
      <w:pPr>
        <w:pStyle w:val="TextBody"/>
        <w:spacing w:lineRule="auto" w:line="288" w:before="120" w:after="240"/>
        <w:rPr/>
      </w:pPr>
      <w:r>
        <w:rPr>
          <w:rFonts w:ascii="Times New Roman;sans-serif" w:hAnsi="Times New Roman;sans-serif"/>
          <w:b/>
          <w:color w:val="000000"/>
          <w:sz w:val="24"/>
        </w:rPr>
        <w:t>ARTICLE 9.</w:t>
      </w:r>
      <w:r>
        <w:rPr>
          <w:rFonts w:ascii="Times New Roman;sans-serif" w:hAnsi="Times New Roman;sans-serif"/>
          <w:b/>
          <w:color w:val="000000"/>
          <w:sz w:val="24"/>
        </w:rPr>
        <w:t>TAXES</w:t>
      </w:r>
    </w:p>
    <w:p>
      <w:pPr>
        <w:pStyle w:val="TextBody"/>
        <w:spacing w:lineRule="auto" w:line="288"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i/>
          <w:color w:val="000000"/>
          <w:sz w:val="22"/>
          <w:u w:val="single"/>
        </w:rPr>
        <w:t>409A Savings</w:t>
      </w:r>
      <w:r>
        <w:rPr>
          <w:rFonts w:ascii="Times New Roman;sans-serif" w:hAnsi="Times New Roman;sans-serif"/>
          <w:b w:val="false"/>
          <w:color w:val="000000"/>
          <w:sz w:val="22"/>
        </w:rPr>
        <w:t>. This Plan is intended to comply with the requirements of Section 409A. The Administrator shall interpret the Plan provisions in a manner consistent with the requirements of Section 409A. To the extent one or more provisions of this Plan do not comply with Section 409A, such provision shall be automatically and immediately voided, and shall be amended as soon as administratively feasible and shall be administered to so comply. Notwithstanding the foregoing or anything else to the contrary in the Plan, the Company and its representatives shall have no liability to any Participant should any provision of the Plan fail to satisfy the requirements of Section 409A.</w:t>
      </w:r>
    </w:p>
    <w:p>
      <w:pPr>
        <w:pStyle w:val="TextBody"/>
        <w:spacing w:lineRule="auto" w:line="288" w:before="120" w:after="240"/>
        <w:rPr/>
      </w:pPr>
      <w:r>
        <w:rPr>
          <w:rFonts w:ascii="Times New Roman;sans-serif" w:hAnsi="Times New Roman;sans-serif"/>
          <w:b/>
          <w:color w:val="000000"/>
          <w:sz w:val="24"/>
        </w:rPr>
        <w:t>ARTICLE 10.</w:t>
      </w:r>
      <w:r>
        <w:rPr>
          <w:rFonts w:ascii="Times New Roman;sans-serif" w:hAnsi="Times New Roman;sans-serif"/>
          <w:b/>
          <w:color w:val="000000"/>
          <w:sz w:val="22"/>
        </w:rPr>
        <w:t>SECURITIES LAW COMPLIANCE</w:t>
      </w:r>
    </w:p>
    <w:p>
      <w:pPr>
        <w:pStyle w:val="TextBody"/>
        <w:spacing w:lineRule="auto" w:line="288"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i/>
          <w:color w:val="000000"/>
          <w:sz w:val="22"/>
          <w:u w:val="single"/>
        </w:rPr>
        <w:t>Action by Administrator</w:t>
      </w:r>
      <w:r>
        <w:rPr>
          <w:rFonts w:ascii="Times New Roman;sans-serif" w:hAnsi="Times New Roman;sans-serif"/>
          <w:b w:val="false"/>
          <w:color w:val="000000"/>
          <w:sz w:val="22"/>
        </w:rPr>
        <w:t>. With respect to any Participant who is then subject to Section 16 of the Exchange Act, notwithstanding anything to the contrary set forth herein, any function of the Administrator under the Plan relating to such Participant shall be performed solely by the Board or its Compensation Committee, if and to the extent required to ensure the availability of an exemption under Section 16 of the Exchange Act for any transaction relating to such Participant under the Plan.</w:t>
      </w:r>
    </w:p>
    <w:p>
      <w:pPr>
        <w:pStyle w:val="TextBody"/>
        <w:spacing w:lineRule="auto" w:line="288"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i/>
          <w:color w:val="000000"/>
          <w:sz w:val="22"/>
          <w:u w:val="single"/>
        </w:rPr>
        <w:t>Compliance with Section 16</w:t>
      </w:r>
      <w:r>
        <w:rPr>
          <w:rFonts w:ascii="Times New Roman;sans-serif" w:hAnsi="Times New Roman;sans-serif"/>
          <w:b w:val="false"/>
          <w:color w:val="000000"/>
          <w:sz w:val="22"/>
        </w:rPr>
        <w:t>. Notwithstanding any other provision of the Plan or any rule, instruction, election form or other form, the Plan and any such rule, instruction or form shall be subject to any additional conditions or limitations set forth in any applicable exemptive rule under Section 16 of the Exchange Act (including any amendment to Rule 16b-3) that are requirements for the application of such exemptive rule. To the extent permitted by applicable law, such provision, rule, instruction or form shall be deemed amended to the extent necessary to conform to such applicable exemptive rule.</w:t>
      </w:r>
    </w:p>
    <w:p>
      <w:pPr>
        <w:pStyle w:val="TextBody"/>
        <w:spacing w:lineRule="auto" w:line="288" w:before="120" w:after="240"/>
        <w:rPr/>
      </w:pPr>
      <w:r>
        <w:rPr>
          <w:rFonts w:ascii="Times New Roman;sans-serif" w:hAnsi="Times New Roman;sans-serif"/>
          <w:b/>
          <w:color w:val="000000"/>
          <w:sz w:val="24"/>
        </w:rPr>
        <w:t>ARTICLE 11.</w:t>
      </w:r>
      <w:r>
        <w:rPr>
          <w:rFonts w:ascii="Times New Roman;sans-serif" w:hAnsi="Times New Roman;sans-serif"/>
          <w:b/>
          <w:color w:val="000000"/>
          <w:sz w:val="22"/>
        </w:rPr>
        <w:t>GENERAL PROVISIONS</w:t>
      </w:r>
    </w:p>
    <w:p>
      <w:pPr>
        <w:pStyle w:val="TextBody"/>
        <w:spacing w:lineRule="auto" w:line="288"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i/>
          <w:color w:val="000000"/>
          <w:sz w:val="22"/>
          <w:u w:val="single"/>
        </w:rPr>
        <w:t>No Stockholder Rights Conferred</w:t>
      </w:r>
      <w:r>
        <w:rPr>
          <w:rFonts w:ascii="Times New Roman;sans-serif" w:hAnsi="Times New Roman;sans-serif"/>
          <w:b w:val="false"/>
          <w:color w:val="000000"/>
          <w:sz w:val="22"/>
        </w:rPr>
        <w:t>. Nothing contained in the Plan will confer upon any Participant or beneficiary any rights of a stockholder of the Company, unless and until Shares are in fact issued or transferred to such Participant or beneficiary in accordance with Article 5.</w:t>
      </w:r>
    </w:p>
    <w:p>
      <w:pPr>
        <w:pStyle w:val="TextBody"/>
        <w:spacing w:lineRule="auto" w:line="288"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i/>
          <w:color w:val="000000"/>
          <w:sz w:val="22"/>
          <w:u w:val="single"/>
        </w:rPr>
        <w:t>Changes to the Plan</w:t>
      </w:r>
      <w:r>
        <w:rPr>
          <w:rFonts w:ascii="Times New Roman;sans-serif" w:hAnsi="Times New Roman;sans-serif"/>
          <w:b w:val="false"/>
          <w:color w:val="000000"/>
          <w:sz w:val="22"/>
        </w:rPr>
        <w:t>. The Administrator may amend, alter, suspend, discontinue, extend, or terminate the Plan without the consent of Participants; provided, no action taken without the consent of an affected Participant may materially impair the rights of such Participant with respect to any Stock Units or cash amounts credited to the Participant’s Accounts at the time of such change or termination.</w:t>
      </w:r>
    </w:p>
    <w:p>
      <w:pPr>
        <w:pStyle w:val="TextBody"/>
        <w:spacing w:lineRule="auto" w:line="288"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i/>
          <w:color w:val="000000"/>
          <w:sz w:val="22"/>
          <w:u w:val="single"/>
        </w:rPr>
        <w:t>Compliance With Laws and Obligations</w:t>
      </w:r>
      <w:r>
        <w:rPr>
          <w:rFonts w:ascii="Times New Roman;sans-serif" w:hAnsi="Times New Roman;sans-serif"/>
          <w:b w:val="false"/>
          <w:color w:val="000000"/>
          <w:sz w:val="22"/>
        </w:rPr>
        <w:t xml:space="preserve">. The Company will not be obligated to issue or deliver Shares in connection with the Plan in a transaction subject to the registration requirements of the Securities Act of 1933, as amended, or any other federal or state securities law, any requirement under any listing agreement between the Company and any national securities exchange or automated quotation system or any other laws, regulations, or contractual obligations of the Company, until the Company is satisfied that such laws, regulations and other obligations of the Company have been complied with in </w:t>
      </w:r>
      <w:r>
        <w:br w:type="page"/>
      </w:r>
    </w:p>
    <w:p>
      <w:pPr>
        <w:pStyle w:val="TextBody"/>
        <w:spacing w:before="0" w:after="0"/>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385445"/>
                <wp:effectExtent l="0" t="0" r="0" b="0"/>
                <wp:wrapNone/>
                <wp:docPr id="241" name="Frame134"/>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lineRule="auto" w:line="288"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lineRule="auto" w:line="288" w:before="0" w:after="0"/>
                        <w:rPr>
                          <w:color w:val="000000"/>
                        </w:rPr>
                      </w:pPr>
                      <w:r>
                        <w:rPr>
                          <w:color w:val="000000"/>
                        </w:rPr>
                        <w:t>    </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full. Certificates representing Shares delivered under the Plan will be subject to such restrictions as may be applicable under such laws, regulations and other obligations of the Company.</w:t>
      </w:r>
    </w:p>
    <w:p>
      <w:pPr>
        <w:pStyle w:val="TextBody"/>
        <w:spacing w:lineRule="auto" w:line="288"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i/>
          <w:color w:val="000000"/>
          <w:sz w:val="22"/>
          <w:u w:val="single"/>
        </w:rPr>
        <w:t>Limitations on Transferability</w:t>
      </w:r>
      <w:r>
        <w:rPr>
          <w:rFonts w:ascii="Times New Roman;sans-serif" w:hAnsi="Times New Roman;sans-serif"/>
          <w:b w:val="false"/>
          <w:color w:val="000000"/>
          <w:sz w:val="22"/>
        </w:rPr>
        <w:t>. Stock Units and other rights under the Plan may not be pledged, mortgaged, hypothecated or otherwise encumbered, and shall not be subject to the claims of creditors of any Participant. Stock Units and other rights under the Plan may be transferred only if such transfer is (i) permitted by Section 409A without triggering adverse tax consequences to the Participant (</w:t>
      </w:r>
      <w:r>
        <w:rPr>
          <w:rFonts w:ascii="Times New Roman;sans-serif" w:hAnsi="Times New Roman;sans-serif"/>
          <w:b w:val="false"/>
          <w:i/>
          <w:color w:val="000000"/>
          <w:sz w:val="22"/>
        </w:rPr>
        <w:t>e.g.,</w:t>
      </w:r>
      <w:r>
        <w:rPr>
          <w:color w:val="000000"/>
        </w:rPr>
        <w:t xml:space="preserve"> </w:t>
      </w:r>
      <w:r>
        <w:rPr>
          <w:rFonts w:ascii="Times New Roman;sans-serif" w:hAnsi="Times New Roman;sans-serif"/>
          <w:b w:val="false"/>
          <w:color w:val="000000"/>
          <w:sz w:val="22"/>
        </w:rPr>
        <w:t>a gratuitous transfer), and (ii) approved by the Administrator.</w:t>
      </w:r>
    </w:p>
    <w:p>
      <w:pPr>
        <w:pStyle w:val="TextBody"/>
        <w:spacing w:lineRule="auto" w:line="288"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i/>
          <w:color w:val="000000"/>
          <w:sz w:val="22"/>
          <w:u w:val="single"/>
        </w:rPr>
        <w:t>Governing Law</w:t>
      </w:r>
      <w:r>
        <w:rPr>
          <w:rFonts w:ascii="Times New Roman;sans-serif" w:hAnsi="Times New Roman;sans-serif"/>
          <w:b w:val="false"/>
          <w:color w:val="000000"/>
          <w:sz w:val="22"/>
        </w:rPr>
        <w:t>. The validity, construction and effect of the Plan and any agreement hereunder will be determined in accordance with laws of the State of Delaware.</w:t>
      </w:r>
    </w:p>
    <w:p>
      <w:pPr>
        <w:pStyle w:val="TextBody"/>
        <w:spacing w:lineRule="auto" w:line="288"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i/>
          <w:color w:val="000000"/>
          <w:sz w:val="22"/>
          <w:u w:val="single"/>
        </w:rPr>
        <w:t>Plan Termination</w:t>
      </w:r>
      <w:r>
        <w:rPr>
          <w:rFonts w:ascii="Times New Roman;sans-serif" w:hAnsi="Times New Roman;sans-serif"/>
          <w:b w:val="false"/>
          <w:color w:val="000000"/>
          <w:sz w:val="22"/>
        </w:rPr>
        <w:t>. The Administrator reserves the right to terminate the Plan at any time to the extent such termination is in compliance with the requirements of Section 409A. Unless earlier terminated by action of the Board, the Plan will remain in effect until such time as the Company and the Participants have no further rights or obligations under the Plan.</w:t>
      </w:r>
    </w:p>
    <w:p>
      <w:pPr>
        <w:pStyle w:val="TextBody"/>
        <w:spacing w:lineRule="auto" w:line="288"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i/>
          <w:color w:val="000000"/>
          <w:sz w:val="22"/>
          <w:u w:val="single"/>
        </w:rPr>
        <w:t>Acceleration of Plan Distributions</w:t>
      </w:r>
      <w:r>
        <w:rPr>
          <w:rFonts w:ascii="Times New Roman;sans-serif" w:hAnsi="Times New Roman;sans-serif"/>
          <w:b w:val="false"/>
          <w:color w:val="000000"/>
          <w:sz w:val="22"/>
        </w:rPr>
        <w:t>. The Administrator reserves the right to accelerate the distribution of amounts in settlement of Accounts to the extent compliant with the requirements of Section 409A, including any accelerated distribution permitted by Treas. Reg. § 1.409A-3(j)(4).</w:t>
      </w:r>
    </w:p>
    <w:p>
      <w:pPr>
        <w:pStyle w:val="TextBody"/>
        <w:spacing w:lineRule="auto" w:line="288" w:before="120" w:after="240"/>
        <w:rPr/>
      </w:pPr>
      <w:r>
        <w:rPr>
          <w:rFonts w:ascii="Times New Roman;sans-serif" w:hAnsi="Times New Roman;sans-serif"/>
          <w:b/>
          <w:color w:val="000000"/>
          <w:sz w:val="24"/>
        </w:rPr>
        <w:t>ARTICLE 12.</w:t>
      </w:r>
      <w:r>
        <w:rPr>
          <w:rFonts w:ascii="Times New Roman;sans-serif" w:hAnsi="Times New Roman;sans-serif"/>
          <w:b/>
          <w:color w:val="000000"/>
          <w:sz w:val="22"/>
        </w:rPr>
        <w:t>DEFINITIONS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Wherever used herein, the following terms shall have the meanings set forth below:</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2"/>
        </w:rPr>
        <w:t>Accounts</w:t>
      </w:r>
      <w:r>
        <w:rPr>
          <w:color w:val="000000"/>
        </w:rPr>
        <w:t xml:space="preserve">” </w:t>
      </w:r>
      <w:r>
        <w:rPr>
          <w:rFonts w:ascii="Times New Roman;sans-serif" w:hAnsi="Times New Roman;sans-serif"/>
          <w:b w:val="false"/>
          <w:color w:val="000000"/>
          <w:sz w:val="22"/>
        </w:rPr>
        <w:t>means a Participant’s Stock Unit Account and Cash Account.</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2"/>
        </w:rPr>
        <w:t>Administrator</w:t>
      </w:r>
      <w:r>
        <w:rPr>
          <w:color w:val="000000"/>
        </w:rPr>
        <w:t xml:space="preserve">” </w:t>
      </w:r>
      <w:r>
        <w:rPr>
          <w:rFonts w:ascii="Times New Roman;sans-serif" w:hAnsi="Times New Roman;sans-serif"/>
          <w:b w:val="false"/>
          <w:color w:val="000000"/>
          <w:sz w:val="22"/>
        </w:rPr>
        <w:t>means the committee appointed to administer the Plan under Article 8.</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2"/>
        </w:rPr>
        <w:t>Board</w:t>
      </w:r>
      <w:r>
        <w:rPr>
          <w:color w:val="000000"/>
        </w:rPr>
        <w:t xml:space="preserve">” </w:t>
      </w:r>
      <w:r>
        <w:rPr>
          <w:rFonts w:ascii="Times New Roman;sans-serif" w:hAnsi="Times New Roman;sans-serif"/>
          <w:b w:val="false"/>
          <w:color w:val="000000"/>
          <w:sz w:val="22"/>
        </w:rPr>
        <w:t>means the Board of Directors of the Company.</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2"/>
        </w:rPr>
        <w:t>Cash Account</w:t>
      </w:r>
      <w:r>
        <w:rPr>
          <w:color w:val="000000"/>
        </w:rPr>
        <w:t xml:space="preserve">” </w:t>
      </w:r>
      <w:r>
        <w:rPr>
          <w:rFonts w:ascii="Times New Roman;sans-serif" w:hAnsi="Times New Roman;sans-serif"/>
          <w:b w:val="false"/>
          <w:color w:val="000000"/>
          <w:sz w:val="22"/>
        </w:rPr>
        <w:t>means the bookkeeping account established by the Company pursuant to Section 4.2.</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2"/>
        </w:rPr>
        <w:t>Cash Director Fees</w:t>
      </w:r>
      <w:r>
        <w:rPr>
          <w:color w:val="000000"/>
        </w:rPr>
        <w:t xml:space="preserve">” </w:t>
      </w:r>
      <w:r>
        <w:rPr>
          <w:rFonts w:ascii="Times New Roman;sans-serif" w:hAnsi="Times New Roman;sans-serif"/>
          <w:b w:val="false"/>
          <w:color w:val="000000"/>
          <w:sz w:val="22"/>
        </w:rPr>
        <w:t xml:space="preserve">means all or part of any annual or quarterly retainer or meeting fees payable in cash to an Eligible Director as consideration for services provided as an Eligible Director. </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2"/>
        </w:rPr>
        <w:t>Change in Control</w:t>
      </w:r>
      <w:r>
        <w:rPr>
          <w:color w:val="000000"/>
        </w:rPr>
        <w:t xml:space="preserve">” </w:t>
      </w:r>
      <w:r>
        <w:rPr>
          <w:rFonts w:ascii="Times New Roman;sans-serif" w:hAnsi="Times New Roman;sans-serif"/>
          <w:b w:val="false"/>
          <w:color w:val="000000"/>
          <w:sz w:val="22"/>
        </w:rPr>
        <w:t>means a change in the ownership or effective control of the Company, or in the ownership of a substantial portion of the assets of the Company, as defined in Section 409A(a)(2)(A)(v) of the Code. Whether a Change in Control has occurred will be determined in manner consistent with the requirements of Section 409A.</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2"/>
        </w:rPr>
        <w:t>Code</w:t>
      </w:r>
      <w:r>
        <w:rPr>
          <w:color w:val="000000"/>
        </w:rPr>
        <w:t xml:space="preserve">” </w:t>
      </w:r>
      <w:r>
        <w:rPr>
          <w:rFonts w:ascii="Times New Roman;sans-serif" w:hAnsi="Times New Roman;sans-serif"/>
          <w:b w:val="false"/>
          <w:color w:val="000000"/>
          <w:sz w:val="22"/>
        </w:rPr>
        <w:t>means the Internal Revenue Code of 1986, as amended.</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2"/>
        </w:rPr>
        <w:t>Company</w:t>
      </w:r>
      <w:r>
        <w:rPr>
          <w:color w:val="000000"/>
        </w:rPr>
        <w:t xml:space="preserve">” </w:t>
      </w:r>
      <w:r>
        <w:rPr>
          <w:rFonts w:ascii="Times New Roman;sans-serif" w:hAnsi="Times New Roman;sans-serif"/>
          <w:b w:val="false"/>
          <w:color w:val="000000"/>
          <w:sz w:val="22"/>
        </w:rPr>
        <w:t>means Asana, Inc., a Delaware corporation, or any successor thereto.</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2"/>
        </w:rPr>
        <w:t>Deferral Date</w:t>
      </w:r>
      <w:r>
        <w:rPr>
          <w:color w:val="000000"/>
        </w:rPr>
        <w:t xml:space="preserve">” </w:t>
      </w:r>
      <w:r>
        <w:rPr>
          <w:rFonts w:ascii="Times New Roman;sans-serif" w:hAnsi="Times New Roman;sans-serif"/>
          <w:b w:val="false"/>
          <w:color w:val="000000"/>
          <w:sz w:val="22"/>
        </w:rPr>
        <w:t>means the date Director Fees would otherwise have been paid to the Participant in the absence of a Deferral Election.</w:t>
      </w:r>
      <w:r>
        <w:br w:type="page"/>
      </w:r>
    </w:p>
    <w:p>
      <w:pPr>
        <w:pStyle w:val="TextBody"/>
        <w:spacing w:before="0" w:after="0"/>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85445"/>
                <wp:effectExtent l="0" t="0" r="0" b="0"/>
                <wp:wrapNone/>
                <wp:docPr id="242" name="Frame135"/>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lineRule="auto" w:line="288"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lineRule="auto" w:line="288" w:before="0" w:after="0"/>
                        <w:rPr>
                          <w:color w:val="000000"/>
                        </w:rPr>
                      </w:pPr>
                      <w:r>
                        <w:rPr>
                          <w:color w:val="000000"/>
                        </w:rPr>
                        <w:t>    </w:t>
                      </w:r>
                    </w:p>
                  </w:txbxContent>
                </v:textbox>
              </v:rect>
            </w:pict>
          </mc:Fallback>
        </mc:AlternateConten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2"/>
        </w:rPr>
        <w:t>Deferral Election</w:t>
      </w:r>
      <w:r>
        <w:rPr>
          <w:color w:val="000000"/>
        </w:rPr>
        <w:t xml:space="preserve">” </w:t>
      </w:r>
      <w:r>
        <w:rPr>
          <w:rFonts w:ascii="Times New Roman;sans-serif" w:hAnsi="Times New Roman;sans-serif"/>
          <w:b w:val="false"/>
          <w:color w:val="000000"/>
          <w:sz w:val="22"/>
        </w:rPr>
        <w:t>means a written election by a Participant to defer Director Fees under the Plan.</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2"/>
        </w:rPr>
        <w:t>Director Fees</w:t>
      </w:r>
      <w:r>
        <w:rPr>
          <w:color w:val="000000"/>
        </w:rPr>
        <w:t xml:space="preserve">” </w:t>
      </w:r>
      <w:r>
        <w:rPr>
          <w:rFonts w:ascii="Times New Roman;sans-serif" w:hAnsi="Times New Roman;sans-serif"/>
          <w:b w:val="false"/>
          <w:color w:val="000000"/>
          <w:sz w:val="22"/>
        </w:rPr>
        <w:t xml:space="preserve">means Cash Director Fees and/or Stock Director Fees. Director Fees shall not include any expenses paid directly or through reimbursement. </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2"/>
        </w:rPr>
        <w:t>Eligible Director</w:t>
      </w:r>
      <w:r>
        <w:rPr>
          <w:color w:val="000000"/>
        </w:rPr>
        <w:t xml:space="preserve">” </w:t>
      </w:r>
      <w:r>
        <w:rPr>
          <w:rFonts w:ascii="Times New Roman;sans-serif" w:hAnsi="Times New Roman;sans-serif"/>
          <w:b w:val="false"/>
          <w:color w:val="000000"/>
          <w:sz w:val="22"/>
        </w:rPr>
        <w:t xml:space="preserve">means any individual who is a member of the Board who is not an employee of the Company or any of its subsidiaries or affiliates. </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2"/>
        </w:rPr>
        <w:t>Exchange Act</w:t>
      </w:r>
      <w:r>
        <w:rPr>
          <w:color w:val="000000"/>
        </w:rPr>
        <w:t xml:space="preserve">” </w:t>
      </w:r>
      <w:r>
        <w:rPr>
          <w:rFonts w:ascii="Times New Roman;sans-serif" w:hAnsi="Times New Roman;sans-serif"/>
          <w:b w:val="false"/>
          <w:color w:val="000000"/>
          <w:sz w:val="22"/>
        </w:rPr>
        <w:t>means the Securities Exchange Act of 1934, as amended.</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2"/>
        </w:rPr>
        <w:t>Fair Market Value</w:t>
      </w:r>
      <w:r>
        <w:rPr>
          <w:color w:val="000000"/>
        </w:rPr>
        <w:t xml:space="preserve">” </w:t>
      </w:r>
      <w:r>
        <w:rPr>
          <w:rFonts w:ascii="Times New Roman;sans-serif" w:hAnsi="Times New Roman;sans-serif"/>
          <w:b w:val="false"/>
          <w:color w:val="000000"/>
          <w:sz w:val="22"/>
        </w:rPr>
        <w:t>of a Share means on a given date (a) if the principal market for the Shares is the New York Stock Exchange, a national securities exchange or other recognized national market or service reporting sales, the closing price of a Share on the date of the determination on the principal market on which the Shares are then listed or admitted to trading, (b) if the Shares are not listed on the New York Stock Exchange, a national securities exchange or other recognized national market or service reporting sales, the closing price of a Share on the date of the determination as reported by the system then regarded as the most reliable source of such quotations, (c) if Shares are listed on a domestic stock exchange or market or quoted in a domestic market or service, but there are not reported sales or quotations, as the case may be, on the given date, the value determined pursuant to (a) or (b) above using the reported sale prices or quotations on the last previous day on which so reported, or (d) if none of the foregoing clauses apply, the fair market value of a Share as determined in good faith by the Administrator.</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2"/>
        </w:rPr>
        <w:t>Participant</w:t>
      </w:r>
      <w:r>
        <w:rPr>
          <w:color w:val="000000"/>
        </w:rPr>
        <w:t xml:space="preserve">” </w:t>
      </w:r>
      <w:r>
        <w:rPr>
          <w:rFonts w:ascii="Times New Roman;sans-serif" w:hAnsi="Times New Roman;sans-serif"/>
          <w:b w:val="false"/>
          <w:color w:val="000000"/>
          <w:sz w:val="22"/>
        </w:rPr>
        <w:t>means an Eligible Director who elects to defer Director Fees under the Plan.</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2"/>
        </w:rPr>
        <w:t>Section 409A</w:t>
      </w:r>
      <w:r>
        <w:rPr>
          <w:color w:val="000000"/>
        </w:rPr>
        <w:t xml:space="preserve">” </w:t>
      </w:r>
      <w:r>
        <w:rPr>
          <w:rFonts w:ascii="Times New Roman;sans-serif" w:hAnsi="Times New Roman;sans-serif"/>
          <w:b w:val="false"/>
          <w:color w:val="000000"/>
          <w:sz w:val="22"/>
        </w:rPr>
        <w:t>shall mean Section 409A of the Code and the regulations and other guidance thereunder.</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2"/>
        </w:rPr>
        <w:t>Separation from Service</w:t>
      </w:r>
      <w:r>
        <w:rPr>
          <w:color w:val="000000"/>
        </w:rPr>
        <w:t xml:space="preserve">” </w:t>
      </w:r>
      <w:r>
        <w:rPr>
          <w:rFonts w:ascii="Times New Roman;sans-serif" w:hAnsi="Times New Roman;sans-serif"/>
          <w:b w:val="false"/>
          <w:color w:val="000000"/>
          <w:sz w:val="22"/>
        </w:rPr>
        <w:t>means the termination of an individual’s service as an Eligible Director for any reason within the meaning of Treas. Reg. § 1.409A-1(h). Whether a Separation from Service has occurred will be determined by the Administrator in manner consistent with the requirements of Section 409A.</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2"/>
        </w:rPr>
        <w:t>Shares</w:t>
      </w:r>
      <w:r>
        <w:rPr>
          <w:color w:val="000000"/>
        </w:rPr>
        <w:t xml:space="preserve">” </w:t>
      </w:r>
      <w:r>
        <w:rPr>
          <w:rFonts w:ascii="Times New Roman;sans-serif" w:hAnsi="Times New Roman;sans-serif"/>
          <w:b w:val="false"/>
          <w:color w:val="000000"/>
          <w:sz w:val="22"/>
        </w:rPr>
        <w:t>means shares of the Company’s Class A common stock, par value $0.00001 per share, or, in the event that the outstanding shares of the Company’s Class A common stock are recapitalized, converted into or exchanged for different stock or securities of the Company, such other stock or securities.</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2"/>
        </w:rPr>
        <w:t>Specified Date</w:t>
      </w:r>
      <w:r>
        <w:rPr>
          <w:color w:val="000000"/>
        </w:rPr>
        <w:t xml:space="preserve">” </w:t>
      </w:r>
      <w:r>
        <w:rPr>
          <w:rFonts w:ascii="Times New Roman;sans-serif" w:hAnsi="Times New Roman;sans-serif"/>
          <w:b w:val="false"/>
          <w:color w:val="000000"/>
          <w:sz w:val="22"/>
        </w:rPr>
        <w:t>means the date elected by the Participant on the Deferral Form for commencement of distribution of amounts in settlement of the Participant’s Accounts.</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2"/>
        </w:rPr>
        <w:t>Specified Employee</w:t>
      </w:r>
      <w:r>
        <w:rPr>
          <w:color w:val="000000"/>
        </w:rPr>
        <w:t xml:space="preserve">” </w:t>
      </w:r>
      <w:r>
        <w:rPr>
          <w:rFonts w:ascii="Times New Roman;sans-serif" w:hAnsi="Times New Roman;sans-serif"/>
          <w:b w:val="false"/>
          <w:color w:val="000000"/>
          <w:sz w:val="22"/>
        </w:rPr>
        <w:t xml:space="preserve">means a “specified employee” as defined in Treas. Reg. § 1.409A-1(i). </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2"/>
        </w:rPr>
        <w:t>Stock Units</w:t>
      </w:r>
      <w:r>
        <w:rPr>
          <w:color w:val="000000"/>
        </w:rPr>
        <w:t xml:space="preserve">” </w:t>
      </w:r>
      <w:r>
        <w:rPr>
          <w:rFonts w:ascii="Times New Roman;sans-serif" w:hAnsi="Times New Roman;sans-serif"/>
          <w:b w:val="false"/>
          <w:color w:val="000000"/>
          <w:sz w:val="22"/>
        </w:rPr>
        <w:t>means the credits made to a Participant’s Stock Unit Account under Section 4.1. Each Stock Unit represents the right to receive one Share upon settlement of the Stock Unit Account.</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2"/>
        </w:rPr>
        <w:t>Stock Unit Account</w:t>
      </w:r>
      <w:r>
        <w:rPr>
          <w:color w:val="000000"/>
        </w:rPr>
        <w:t xml:space="preserve">” </w:t>
      </w:r>
      <w:r>
        <w:rPr>
          <w:rFonts w:ascii="Times New Roman;sans-serif" w:hAnsi="Times New Roman;sans-serif"/>
          <w:b w:val="false"/>
          <w:color w:val="000000"/>
          <w:sz w:val="22"/>
        </w:rPr>
        <w:t>means the bookkeeping account established by the Company pursuant to Section 4.1.</w:t>
      </w:r>
      <w:r>
        <w:br w:type="page"/>
      </w:r>
    </w:p>
    <w:p>
      <w:pPr>
        <w:pStyle w:val="TextBody"/>
        <w:spacing w:before="0" w:after="0"/>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85445"/>
                <wp:effectExtent l="0" t="0" r="0" b="0"/>
                <wp:wrapNone/>
                <wp:docPr id="243" name="Frame136"/>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lineRule="auto" w:line="288"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lineRule="auto" w:line="288" w:before="0" w:after="0"/>
                        <w:rPr>
                          <w:color w:val="000000"/>
                        </w:rPr>
                      </w:pPr>
                      <w:r>
                        <w:rPr>
                          <w:color w:val="000000"/>
                        </w:rPr>
                        <w:t>    </w:t>
                      </w:r>
                    </w:p>
                  </w:txbxContent>
                </v:textbox>
              </v:rect>
            </w:pict>
          </mc:Fallback>
        </mc:AlternateConten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2"/>
        </w:rPr>
        <w:t>Stock Director Fees</w:t>
      </w:r>
      <w:r>
        <w:rPr>
          <w:color w:val="000000"/>
        </w:rPr>
        <w:t xml:space="preserve">” </w:t>
      </w:r>
      <w:r>
        <w:rPr>
          <w:rFonts w:ascii="Times New Roman;sans-serif" w:hAnsi="Times New Roman;sans-serif"/>
          <w:b w:val="false"/>
          <w:color w:val="000000"/>
          <w:sz w:val="22"/>
        </w:rPr>
        <w:t xml:space="preserve">means all or part of any (i) award providing for an issuance of Shares granted to an Eligible Director as consideration for services provided as an Eligible Director and (ii) Shares issued in lieu of Cash Director Fees at an Eligible Director’s election.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385445"/>
                <wp:effectExtent l="0" t="0" r="0" b="0"/>
                <wp:wrapNone/>
                <wp:docPr id="244" name="Frame137"/>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lineRule="auto" w:line="288"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lineRule="auto" w:line="288" w:before="0" w:after="0"/>
                        <w:rPr>
                          <w:color w:val="000000"/>
                        </w:rPr>
                      </w:pPr>
                      <w:r>
                        <w:rPr>
                          <w:color w:val="000000"/>
                        </w:rPr>
                        <w:t>    </w:t>
                      </w:r>
                    </w:p>
                  </w:txbxContent>
                </v:textbox>
              </v:rect>
            </w:pict>
          </mc:Fallback>
        </mc:AlternateContent>
      </w:r>
    </w:p>
    <w:p>
      <w:pPr>
        <w:pStyle w:val="TextBody"/>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I</w:t>
      </w:r>
    </w:p>
    <w:p>
      <w:pPr>
        <w:pStyle w:val="TextBody"/>
        <w:spacing w:before="0" w:after="0"/>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FORM OF NOTICE OF ELECTION TO DEFER DIRECTOR FEES</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[Date]</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Head of Corporate Legal</w:t>
      </w:r>
    </w:p>
    <w:p>
      <w:pPr>
        <w:pStyle w:val="TextBody"/>
        <w:spacing w:lineRule="auto" w:line="288"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Asana, Inc.</w:t>
      </w:r>
    </w:p>
    <w:p>
      <w:pPr>
        <w:pStyle w:val="TextBody"/>
        <w:spacing w:lineRule="auto" w:line="288"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1550 Bryant Street, Suite 200</w:t>
      </w:r>
    </w:p>
    <w:p>
      <w:pPr>
        <w:pStyle w:val="TextBody"/>
        <w:spacing w:lineRule="auto" w:line="288"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San Francisco, CA 94103</w:t>
      </w:r>
    </w:p>
    <w:p>
      <w:pPr>
        <w:pStyle w:val="TextBody"/>
        <w:spacing w:lineRule="auto" w:line="288" w:before="0" w:after="2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(415) 525-3888</w:t>
      </w:r>
    </w:p>
    <w:p>
      <w:pPr>
        <w:pStyle w:val="TextBody"/>
        <w:spacing w:before="0" w:after="20"/>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 Notice of Election to Defer Board of Director Compensation</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Dear [________]:</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Asana, Inc. Directors’ Deferred Compensation Plan (the “Plan”), I hereby elect to defer receipt of my director fees that I earn in future periods, whether otherwise payable to me in cash (“Cash Director Fees”) or in shares of the Company’s stock (“Stock Director Fees” and, collectively with the Cash Director Fees, the “Director Fees”), commencing with the Director Fees that I earn on or after January 1, 2021 in accordance with my elections below. I understand that this election will remain in effect with respect to any Director Fees that I earn in future taxable years unless and until changed by me in a manner permitted by Section 409A of the Internal Revenue Code of 1986, as amended (“Section 409A”).</w:t>
      </w:r>
    </w:p>
    <w:p>
      <w:pPr>
        <w:pStyle w:val="TextBody"/>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Deferral Elections</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 elect to have my Director Fees credited as follows (fill in appropriate percentages for options a, b, c, d and e below):</w:t>
      </w:r>
    </w:p>
    <w:p>
      <w:pPr>
        <w:pStyle w:val="TextBody"/>
        <w:spacing w:lineRule="auto" w:line="288" w:before="0" w:after="240"/>
        <w:ind w:left="0" w:right="0" w:hanging="135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Cash Director Fees (percentages must be in 25% increments and total to 100%):</w:t>
      </w:r>
    </w:p>
    <w:p>
      <w:pPr>
        <w:pStyle w:val="TextBody"/>
        <w:spacing w:lineRule="auto" w:line="288" w:before="0" w:after="24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(a)    _____% of my aggregate Cash Director Fees shall be credited to my Stock Unit Account as provided for in the Plan;</w:t>
      </w:r>
    </w:p>
    <w:p>
      <w:pPr>
        <w:pStyle w:val="TextBody"/>
        <w:spacing w:lineRule="auto" w:line="288" w:before="0" w:after="24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(b)    _____% of my aggregate Cash Director Fees shall be credited to my Cash Account as provided for in the Plan;</w:t>
      </w:r>
    </w:p>
    <w:p>
      <w:pPr>
        <w:pStyle w:val="TextBody"/>
        <w:spacing w:lineRule="auto" w:line="288" w:before="0" w:after="24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(c)    _____% of my aggregate Cash Director Fees shall not be deferred;</w:t>
      </w:r>
    </w:p>
    <w:p>
      <w:pPr>
        <w:pStyle w:val="TextBody"/>
        <w:spacing w:lineRule="auto" w:line="288" w:before="0" w:after="240"/>
        <w:ind w:left="0" w:right="0" w:hanging="135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Stock Director Fees (percentage must be either 0% or 100%):</w:t>
      </w:r>
    </w:p>
    <w:p>
      <w:pPr>
        <w:pStyle w:val="TextBody"/>
        <w:spacing w:lineRule="auto" w:line="288" w:before="0" w:after="24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(d)    _____% of my aggregate Stock Director Fees shall be credited to my Stock Unit Account as provided for in the Plan; and</w:t>
      </w:r>
    </w:p>
    <w:p>
      <w:pPr>
        <w:pStyle w:val="TextBody"/>
        <w:spacing w:lineRule="auto" w:line="288" w:before="0" w:after="24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(e)    _____% of my aggregate Stock Director Fees shall not be deferred.</w:t>
      </w:r>
    </w:p>
    <w:p>
      <w:pPr>
        <w:pStyle w:val="TextBody"/>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Timing of Distributions</w:t>
      </w:r>
      <w:r>
        <w:br w:type="page"/>
      </w:r>
    </w:p>
    <w:p>
      <w:pPr>
        <w:pStyle w:val="TextBody"/>
        <w:spacing w:before="0" w:after="0"/>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50520"/>
                <wp:effectExtent l="0" t="0" r="0" b="0"/>
                <wp:wrapNone/>
                <wp:docPr id="245" name="Frame13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lineRule="auto" w:line="288"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color w:val="000000"/>
                        </w:rPr>
                      </w:pPr>
                      <w:r>
                        <w:rPr>
                          <w:color w:val="000000"/>
                        </w:rPr>
                        <w:t>    </w:t>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2"/>
        </w:rPr>
        <w:t xml:space="preserve">I elect to receive a lump sum payment of my deferred compensation on the first day of the month next following the </w:t>
      </w:r>
      <w:r>
        <w:rPr>
          <w:rFonts w:ascii="Times New Roman;sans-serif" w:hAnsi="Times New Roman;sans-serif"/>
          <w:b w:val="false"/>
          <w:color w:val="000000"/>
          <w:sz w:val="22"/>
          <w:u w:val="single"/>
        </w:rPr>
        <w:t>earlier</w:t>
      </w:r>
      <w:r>
        <w:rPr>
          <w:color w:val="000000"/>
        </w:rPr>
        <w:t xml:space="preserve"> </w:t>
      </w:r>
      <w:r>
        <w:rPr>
          <w:rFonts w:ascii="Times New Roman;sans-serif" w:hAnsi="Times New Roman;sans-serif"/>
          <w:b w:val="false"/>
          <w:color w:val="000000"/>
          <w:sz w:val="22"/>
        </w:rPr>
        <w:t>of the following to occur:</w:t>
      </w:r>
    </w:p>
    <w:p>
      <w:pPr>
        <w:pStyle w:val="TextBody"/>
        <w:spacing w:lineRule="auto" w:line="288" w:before="0" w:after="240"/>
        <w:ind w:left="0" w:right="0" w:hanging="720"/>
        <w:jc w:val="both"/>
        <w:rPr/>
      </w:pPr>
      <w:r>
        <w:rPr>
          <w:rFonts w:ascii="Times New Roman;sans-serif" w:hAnsi="Times New Roman;sans-serif"/>
          <w:b w:val="false"/>
          <w:color w:val="343434"/>
          <w:sz w:val="20"/>
        </w:rPr>
        <w:t>(a)</w:t>
      </w:r>
      <w:r>
        <w:rPr>
          <w:rFonts w:ascii="Times New Roman;sans-serif" w:hAnsi="Times New Roman;sans-serif"/>
          <w:b w:val="false"/>
          <w:color w:val="000000"/>
          <w:sz w:val="22"/>
        </w:rPr>
        <w:t>My _______ birthday, which is ____________, 20___ (indicate the age you would like to trigger the distribution and the date upon which you will be that age); or</w:t>
      </w:r>
    </w:p>
    <w:p>
      <w:pPr>
        <w:pStyle w:val="TextBody"/>
        <w:spacing w:lineRule="auto" w:line="288" w:before="0" w:after="240"/>
        <w:ind w:left="0" w:right="0" w:hanging="810"/>
        <w:jc w:val="both"/>
        <w:rPr/>
      </w:pPr>
      <w:r>
        <w:rPr>
          <w:rFonts w:ascii="Times New Roman;sans-serif" w:hAnsi="Times New Roman;sans-serif"/>
          <w:b w:val="false"/>
          <w:color w:val="343434"/>
          <w:sz w:val="20"/>
        </w:rPr>
        <w:t>(b)</w:t>
      </w:r>
      <w:r>
        <w:rPr>
          <w:rFonts w:ascii="Times New Roman;sans-serif" w:hAnsi="Times New Roman;sans-serif"/>
          <w:b w:val="false"/>
          <w:color w:val="000000"/>
          <w:sz w:val="22"/>
        </w:rPr>
        <w:t>____________ (indicate date that you would like to trigger distribution).</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understand that if I do not elect to receive my deferred compensation on a date specified above or my Separation from Service (as defined in the Plan) occurs prior to the date specified above, my deferred compensation will be paid in a lump sum on the first day of the month next following my Separation from Service, except as otherwise provided below and in the Plan. </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 further understand that in order to give effect to the intent of this election as compliant with the requirements of Section 409A, the following shall apply: (1) the Plan terms and this election will become effective with respect to Stock Director Fees only to the extent the underlying shares of the Company’s stock subject to this election are or become vested, and the Plan does not create any right to any payment or benefit with respect to any unvested Company shares; (2) to the extent the Stock Director Fees subject to this election are shares of Company stock to be issued in settlement of a Company a restricted stock unit award (“RSU Award”), nothing to the contrary set forth in the Plan will provide for a distribution date of the Stock Director Fees that is in any event earlier than the earliest date that the shares of Company stock were permitted to be issued in settlement of such RSU Award, in accordance with its terms, which is in all cases the earliest distribution date permitted under the Plan with respect to such Stock Director Fees; and (3) the Company shall make appropriate adjustments, as necessary, to fully implement the intended economic consequences of this irrevocable deferral election, notwithstanding any subsequent change to the form of payment of my Director Fees which may be implemented by the Company after I make this election.</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 further understand that an election to defer my Director Fees is irrevocable as of each December 31 with respect to fees earned for services performed in the immediately following calendar year.</w:t>
      </w:r>
    </w:p>
    <w:p>
      <w:pPr>
        <w:pStyle w:val="TextBody"/>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Designation of Beneficiaries</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of my death prior to the receipt of my deferred compensation, I designate the following one or more individuals as my beneficiary or beneficiaries to receive any accumulated but unpaid funds from my deferred compensation accounts:</w:t>
      </w:r>
    </w:p>
    <w:tbl>
      <w:tblPr>
        <w:tblW w:w="2485" w:type="dxa"/>
        <w:jc w:val="left"/>
        <w:tblInd w:w="0" w:type="dxa"/>
        <w:tblCellMar>
          <w:top w:w="28" w:type="dxa"/>
          <w:left w:w="28" w:type="dxa"/>
          <w:bottom w:w="28" w:type="dxa"/>
          <w:right w:w="28" w:type="dxa"/>
        </w:tblCellMar>
      </w:tblPr>
      <w:tblGrid>
        <w:gridCol w:w="286"/>
        <w:gridCol w:w="251"/>
        <w:gridCol w:w="251"/>
        <w:gridCol w:w="251"/>
        <w:gridCol w:w="251"/>
        <w:gridCol w:w="251"/>
        <w:gridCol w:w="276"/>
        <w:gridCol w:w="276"/>
        <w:gridCol w:w="392"/>
      </w:tblGrid>
      <w:tr>
        <w:trPr/>
        <w:tc>
          <w:tcPr>
            <w:tcW w:w="28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r>
      <w:tr>
        <w:trPr/>
        <w:tc>
          <w:tcPr>
            <w:tcW w:w="1541" w:type="dxa"/>
            <w:gridSpan w:val="6"/>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4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Name (First, M.I. Last)</w:t>
            </w:r>
          </w:p>
        </w:tc>
        <w:tc>
          <w:tcPr>
            <w:tcW w:w="94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4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Relationship</w:t>
            </w:r>
          </w:p>
        </w:tc>
      </w:tr>
      <w:tr>
        <w:trPr/>
        <w:tc>
          <w:tcPr>
            <w:tcW w:w="1541" w:type="dxa"/>
            <w:gridSpan w:val="6"/>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4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Social Security #</w:t>
            </w:r>
          </w:p>
        </w:tc>
        <w:tc>
          <w:tcPr>
            <w:tcW w:w="94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4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Date of Birth</w:t>
            </w:r>
          </w:p>
        </w:tc>
      </w:tr>
      <w:tr>
        <w:trPr/>
        <w:tc>
          <w:tcPr>
            <w:tcW w:w="1541" w:type="dxa"/>
            <w:gridSpan w:val="6"/>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4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Street Address</w:t>
            </w:r>
          </w:p>
        </w:tc>
        <w:tc>
          <w:tcPr>
            <w:tcW w:w="94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4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Percent</w:t>
            </w:r>
          </w:p>
        </w:tc>
      </w:tr>
      <w:tr>
        <w:trPr/>
        <w:tc>
          <w:tcPr>
            <w:tcW w:w="788"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4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City</w:t>
            </w:r>
          </w:p>
        </w:tc>
        <w:tc>
          <w:tcPr>
            <w:tcW w:w="75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4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State</w:t>
            </w:r>
          </w:p>
        </w:tc>
        <w:tc>
          <w:tcPr>
            <w:tcW w:w="94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40" w:after="283"/>
              <w:jc w:val="left"/>
              <w:rPr>
                <w:rFonts w:ascii="Times New Roman;sans-serif" w:hAnsi="Times New Roman;sans-serif"/>
                <w:b w:val="false"/>
                <w:color w:val="000000"/>
                <w:sz w:val="14"/>
              </w:rPr>
            </w:pPr>
            <w:r>
              <w:rPr>
                <w:rFonts w:ascii="Times New Roman;sans-serif" w:hAnsi="Times New Roman;sans-serif"/>
                <w:b w:val="false"/>
                <w:color w:val="000000"/>
                <w:sz w:val="14"/>
              </w:rPr>
              <w:t>Zip Code</w:t>
            </w:r>
          </w:p>
        </w:tc>
      </w:tr>
    </w:tbl>
    <w:p>
      <w:pPr>
        <w:pStyle w:val="TextBody"/>
        <w:spacing w:before="0" w:after="0"/>
        <w:jc w:val="both"/>
        <w:rPr/>
      </w:pPr>
      <w:r>
        <w:rPr/>
      </w:r>
    </w:p>
    <w:tbl>
      <w:tblPr>
        <w:tblW w:w="2485" w:type="dxa"/>
        <w:jc w:val="left"/>
        <w:tblInd w:w="0" w:type="dxa"/>
        <w:tblCellMar>
          <w:top w:w="28" w:type="dxa"/>
          <w:left w:w="28" w:type="dxa"/>
          <w:bottom w:w="28" w:type="dxa"/>
          <w:right w:w="28" w:type="dxa"/>
        </w:tblCellMar>
      </w:tblPr>
      <w:tblGrid>
        <w:gridCol w:w="286"/>
        <w:gridCol w:w="251"/>
        <w:gridCol w:w="251"/>
        <w:gridCol w:w="251"/>
        <w:gridCol w:w="251"/>
        <w:gridCol w:w="251"/>
        <w:gridCol w:w="276"/>
        <w:gridCol w:w="276"/>
        <w:gridCol w:w="392"/>
      </w:tblGrid>
      <w:tr>
        <w:trPr/>
        <w:tc>
          <w:tcPr>
            <w:tcW w:w="28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r>
      <w:tr>
        <w:trPr/>
        <w:tc>
          <w:tcPr>
            <w:tcW w:w="1541" w:type="dxa"/>
            <w:gridSpan w:val="6"/>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4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Name (First, M.I. Last)</w:t>
            </w:r>
          </w:p>
        </w:tc>
        <w:tc>
          <w:tcPr>
            <w:tcW w:w="94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4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Relationship</w:t>
            </w:r>
          </w:p>
        </w:tc>
      </w:tr>
      <w:tr>
        <w:trPr/>
        <w:tc>
          <w:tcPr>
            <w:tcW w:w="1541" w:type="dxa"/>
            <w:gridSpan w:val="6"/>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4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Social Security #</w:t>
            </w:r>
          </w:p>
        </w:tc>
        <w:tc>
          <w:tcPr>
            <w:tcW w:w="94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4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Date of Birth</w:t>
            </w:r>
          </w:p>
        </w:tc>
      </w:tr>
      <w:tr>
        <w:trPr/>
        <w:tc>
          <w:tcPr>
            <w:tcW w:w="1541" w:type="dxa"/>
            <w:gridSpan w:val="6"/>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4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Street Address</w:t>
            </w:r>
          </w:p>
        </w:tc>
        <w:tc>
          <w:tcPr>
            <w:tcW w:w="94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4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Percent</w:t>
            </w:r>
          </w:p>
        </w:tc>
      </w:tr>
      <w:tr>
        <w:trPr/>
        <w:tc>
          <w:tcPr>
            <w:tcW w:w="788"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4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City</w:t>
            </w:r>
          </w:p>
        </w:tc>
        <w:tc>
          <w:tcPr>
            <w:tcW w:w="75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4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State</w:t>
            </w:r>
          </w:p>
        </w:tc>
        <w:tc>
          <w:tcPr>
            <w:tcW w:w="94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40" w:after="283"/>
              <w:jc w:val="left"/>
              <w:rPr>
                <w:rFonts w:ascii="Times New Roman;sans-serif" w:hAnsi="Times New Roman;sans-serif"/>
                <w:b w:val="false"/>
                <w:color w:val="000000"/>
                <w:sz w:val="14"/>
              </w:rPr>
            </w:pPr>
            <w:r>
              <w:rPr>
                <w:rFonts w:ascii="Times New Roman;sans-serif" w:hAnsi="Times New Roman;sans-serif"/>
                <w:b w:val="false"/>
                <w:color w:val="000000"/>
                <w:sz w:val="14"/>
              </w:rPr>
              <w:t>Zip Code</w:t>
            </w:r>
          </w:p>
        </w:tc>
      </w:tr>
    </w:tbl>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350520"/>
                <wp:effectExtent l="0" t="0" r="0" b="0"/>
                <wp:wrapNone/>
                <wp:docPr id="246" name="Frame13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lineRule="auto" w:line="288"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color w:val="000000"/>
                        </w:rPr>
                      </w:pPr>
                      <w:r>
                        <w:rPr>
                          <w:color w:val="000000"/>
                        </w:rPr>
                        <w:t>    </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Sincerely,</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Signature of Director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Printed Name of Director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w:t>
      </w:r>
    </w:p>
    <w:p>
      <w:pPr>
        <w:pStyle w:val="TextBody"/>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Date</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350520"/>
                <wp:effectExtent l="0" t="0" r="0" b="0"/>
                <wp:wrapNone/>
                <wp:docPr id="247" name="Frame14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lineRule="auto" w:line="288"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color w:val="000000"/>
                        </w:rPr>
                      </w:pPr>
                      <w:r>
                        <w:rPr>
                          <w:color w:val="000000"/>
                        </w:rPr>
                        <w:t>    </w:t>
                      </w:r>
                    </w:p>
                  </w:txbxContent>
                </v:textbox>
              </v:rect>
            </w:pict>
          </mc:Fallback>
        </mc:AlternateContent>
      </w:r>
    </w:p>
    <w:p>
      <w:pPr>
        <w:pStyle w:val="TextBody"/>
        <w:spacing w:lineRule="auto" w:line="319" w:before="0" w:after="0"/>
        <w:jc w:val="center"/>
        <w:rPr>
          <w:rFonts w:ascii="Arial;sans-serif" w:hAnsi="Arial;sans-serif"/>
          <w:b/>
          <w:color w:val="000000"/>
          <w:sz w:val="22"/>
        </w:rPr>
      </w:pPr>
      <w:r>
        <w:rPr>
          <w:rFonts w:ascii="Arial;sans-serif" w:hAnsi="Arial;sans-serif"/>
          <w:b/>
          <w:color w:val="000000"/>
          <w:sz w:val="22"/>
        </w:rPr>
        <w:t>Form of French Equity Sub-Plan</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196"/>
        <w:gridCol w:w="1395"/>
        <w:gridCol w:w="1346"/>
        <w:gridCol w:w="1539"/>
        <w:gridCol w:w="1539"/>
        <w:gridCol w:w="2190"/>
      </w:tblGrid>
      <w:tr>
        <w:trPr/>
        <w:tc>
          <w:tcPr>
            <w:tcW w:w="2196" w:type="dxa"/>
            <w:tcBorders/>
            <w:shd w:fill="auto" w:val="clear"/>
            <w:vAlign w:val="center"/>
          </w:tcPr>
          <w:p>
            <w:pPr>
              <w:pStyle w:val="TableContents"/>
              <w:spacing w:before="0" w:after="283"/>
              <w:rPr>
                <w:sz w:val="4"/>
                <w:szCs w:val="4"/>
              </w:rPr>
            </w:pPr>
            <w:r>
              <w:rPr>
                <w:sz w:val="4"/>
                <w:szCs w:val="4"/>
              </w:rPr>
            </w:r>
          </w:p>
        </w:tc>
        <w:tc>
          <w:tcPr>
            <w:tcW w:w="1395"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539" w:type="dxa"/>
            <w:tcBorders/>
            <w:shd w:fill="auto" w:val="clear"/>
            <w:vAlign w:val="center"/>
          </w:tcPr>
          <w:p>
            <w:pPr>
              <w:pStyle w:val="TableContents"/>
              <w:spacing w:before="0" w:after="283"/>
              <w:rPr>
                <w:sz w:val="4"/>
                <w:szCs w:val="4"/>
              </w:rPr>
            </w:pPr>
            <w:r>
              <w:rPr>
                <w:sz w:val="4"/>
                <w:szCs w:val="4"/>
              </w:rPr>
            </w:r>
          </w:p>
        </w:tc>
        <w:tc>
          <w:tcPr>
            <w:tcW w:w="1539" w:type="dxa"/>
            <w:tcBorders/>
            <w:shd w:fill="auto" w:val="clear"/>
            <w:vAlign w:val="center"/>
          </w:tcPr>
          <w:p>
            <w:pPr>
              <w:pStyle w:val="TableContents"/>
              <w:spacing w:before="0" w:after="283"/>
              <w:rPr>
                <w:sz w:val="4"/>
                <w:szCs w:val="4"/>
              </w:rPr>
            </w:pPr>
            <w:r>
              <w:rPr>
                <w:sz w:val="4"/>
                <w:szCs w:val="4"/>
              </w:rPr>
            </w:r>
          </w:p>
        </w:tc>
        <w:tc>
          <w:tcPr>
            <w:tcW w:w="2190" w:type="dxa"/>
            <w:tcBorders/>
            <w:shd w:fill="auto" w:val="clear"/>
            <w:vAlign w:val="center"/>
          </w:tcPr>
          <w:p>
            <w:pPr>
              <w:pStyle w:val="TableContents"/>
              <w:spacing w:before="0" w:after="283"/>
              <w:rPr>
                <w:sz w:val="4"/>
                <w:szCs w:val="4"/>
              </w:rPr>
            </w:pPr>
            <w:r>
              <w:rPr>
                <w:sz w:val="4"/>
                <w:szCs w:val="4"/>
              </w:rPr>
            </w:r>
          </w:p>
        </w:tc>
      </w:tr>
      <w:tr>
        <w:trPr/>
        <w:tc>
          <w:tcPr>
            <w:tcW w:w="493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center"/>
              <w:rPr>
                <w:rFonts w:ascii="Arial;sans-serif" w:hAnsi="Arial;sans-serif"/>
                <w:b/>
                <w:color w:val="000000"/>
                <w:sz w:val="20"/>
              </w:rPr>
            </w:pPr>
            <w:r>
              <w:rPr>
                <w:rFonts w:ascii="Arial;sans-serif" w:hAnsi="Arial;sans-serif"/>
                <w:b/>
                <w:color w:val="000000"/>
                <w:sz w:val="20"/>
              </w:rPr>
              <w:t>English version</w:t>
            </w:r>
          </w:p>
        </w:tc>
        <w:tc>
          <w:tcPr>
            <w:tcW w:w="526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center"/>
              <w:rPr>
                <w:rFonts w:ascii="Arial;sans-serif" w:hAnsi="Arial;sans-serif"/>
                <w:b/>
                <w:color w:val="000000"/>
                <w:sz w:val="20"/>
              </w:rPr>
            </w:pPr>
            <w:r>
              <w:rPr>
                <w:rFonts w:ascii="Arial;sans-serif" w:hAnsi="Arial;sans-serif"/>
                <w:b/>
                <w:color w:val="000000"/>
                <w:sz w:val="20"/>
              </w:rPr>
              <w:t>French version</w:t>
            </w:r>
          </w:p>
        </w:tc>
      </w:tr>
      <w:tr>
        <w:trPr/>
        <w:tc>
          <w:tcPr>
            <w:tcW w:w="493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color w:val="000000"/>
                <w:sz w:val="20"/>
              </w:rPr>
            </w:pPr>
            <w:r>
              <w:rPr>
                <w:rFonts w:ascii="Arial;sans-serif" w:hAnsi="Arial;sans-serif"/>
                <w:b/>
                <w:color w:val="000000"/>
                <w:sz w:val="20"/>
              </w:rPr>
              <w:t>2020 EQUITY INCENTIVE PLAN</w:t>
            </w:r>
          </w:p>
        </w:tc>
        <w:tc>
          <w:tcPr>
            <w:tcW w:w="526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color w:val="000000"/>
                <w:sz w:val="20"/>
              </w:rPr>
            </w:pPr>
            <w:r>
              <w:rPr>
                <w:rFonts w:ascii="Arial;sans-serif" w:hAnsi="Arial;sans-serif"/>
                <w:b/>
                <w:color w:val="000000"/>
                <w:sz w:val="20"/>
              </w:rPr>
              <w:t>PLAN D’INTERESSEMENT 2020</w:t>
            </w:r>
          </w:p>
        </w:tc>
      </w:tr>
      <w:tr>
        <w:trPr/>
        <w:tc>
          <w:tcPr>
            <w:tcW w:w="493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ASANA, INC.</w:t>
            </w:r>
          </w:p>
        </w:tc>
        <w:tc>
          <w:tcPr>
            <w:tcW w:w="526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ASANA, INC.</w:t>
            </w:r>
          </w:p>
        </w:tc>
      </w:tr>
      <w:tr>
        <w:trPr/>
        <w:tc>
          <w:tcPr>
            <w:tcW w:w="493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FRENCH QUALIFYING SUB-PLAN (the “</w:t>
            </w:r>
            <w:r>
              <w:rPr>
                <w:rFonts w:ascii="Arial;sans-serif" w:hAnsi="Arial;sans-serif"/>
                <w:b/>
                <w:color w:val="000000"/>
                <w:sz w:val="20"/>
              </w:rPr>
              <w:t>Sub-Plan</w:t>
            </w:r>
            <w:r>
              <w:rPr>
                <w:color w:val="000000"/>
              </w:rPr>
              <w:t>”</w:t>
            </w:r>
            <w:r>
              <w:rPr>
                <w:rFonts w:ascii="Arial;sans-serif" w:hAnsi="Arial;sans-serif"/>
                <w:b w:val="false"/>
                <w:color w:val="000000"/>
                <w:sz w:val="20"/>
              </w:rPr>
              <w:t>)</w:t>
            </w:r>
          </w:p>
        </w:tc>
        <w:tc>
          <w:tcPr>
            <w:tcW w:w="526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left"/>
              <w:rPr/>
            </w:pPr>
            <w:r>
              <w:rPr>
                <w:rFonts w:ascii="Arial;sans-serif" w:hAnsi="Arial;sans-serif"/>
                <w:b w:val="false"/>
                <w:color w:val="000000"/>
                <w:sz w:val="20"/>
              </w:rPr>
              <w:t>SOUS-PLAN CONFORME AU DROIT FRANÇAIS (le « </w:t>
            </w:r>
            <w:r>
              <w:rPr>
                <w:rFonts w:ascii="Arial;sans-serif" w:hAnsi="Arial;sans-serif"/>
                <w:b/>
                <w:color w:val="000000"/>
                <w:sz w:val="20"/>
              </w:rPr>
              <w:t>Sous-Plan</w:t>
            </w:r>
            <w:r>
              <w:rPr>
                <w:color w:val="000000"/>
              </w:rPr>
              <w:t> </w:t>
            </w:r>
            <w:r>
              <w:rPr>
                <w:rFonts w:ascii="Arial;sans-serif" w:hAnsi="Arial;sans-serif"/>
                <w:b w:val="false"/>
                <w:color w:val="000000"/>
                <w:sz w:val="20"/>
              </w:rPr>
              <w:t>»)</w:t>
            </w:r>
          </w:p>
        </w:tc>
      </w:tr>
      <w:tr>
        <w:trPr/>
        <w:tc>
          <w:tcPr>
            <w:tcW w:w="493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 company incorporated under the laws of Delaware - United States of America</w:t>
            </w:r>
          </w:p>
        </w:tc>
        <w:tc>
          <w:tcPr>
            <w:tcW w:w="526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Société de droit de l'État [___] - États-Unis d'Amérique</w:t>
            </w:r>
          </w:p>
        </w:tc>
      </w:tr>
      <w:tr>
        <w:trPr/>
        <w:tc>
          <w:tcPr>
            <w:tcW w:w="493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Registered office: 1550 Bryant St #200, San Francisco, CA 94103</w:t>
            </w:r>
          </w:p>
        </w:tc>
        <w:tc>
          <w:tcPr>
            <w:tcW w:w="526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Siège social : [__]</w:t>
            </w:r>
          </w:p>
        </w:tc>
      </w:tr>
      <w:tr>
        <w:trPr/>
        <w:tc>
          <w:tcPr>
            <w:tcW w:w="493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Date : January 25, 2021</w:t>
            </w:r>
          </w:p>
        </w:tc>
        <w:tc>
          <w:tcPr>
            <w:tcW w:w="526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Date : [__]</w:t>
            </w:r>
          </w:p>
        </w:tc>
      </w:tr>
      <w:tr>
        <w:trPr/>
        <w:tc>
          <w:tcPr>
            <w:tcW w:w="493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Presentation</w:t>
            </w:r>
          </w:p>
        </w:tc>
        <w:tc>
          <w:tcPr>
            <w:tcW w:w="526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Présentation</w:t>
            </w:r>
          </w:p>
        </w:tc>
      </w:tr>
      <w:tr>
        <w:trPr/>
        <w:tc>
          <w:tcPr>
            <w:tcW w:w="493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1.    Introduction</w:t>
            </w:r>
          </w:p>
        </w:tc>
        <w:tc>
          <w:tcPr>
            <w:tcW w:w="526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1.    Introduction</w:t>
            </w:r>
          </w:p>
        </w:tc>
      </w:tr>
      <w:tr>
        <w:trPr/>
        <w:tc>
          <w:tcPr>
            <w:tcW w:w="493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2.    Applicable laws</w:t>
            </w:r>
          </w:p>
        </w:tc>
        <w:tc>
          <w:tcPr>
            <w:tcW w:w="526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2.    Lois applicables</w:t>
            </w:r>
          </w:p>
        </w:tc>
      </w:tr>
      <w:tr>
        <w:trPr/>
        <w:tc>
          <w:tcPr>
            <w:tcW w:w="493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3.    Description of Sub-Plan</w:t>
            </w:r>
          </w:p>
        </w:tc>
        <w:tc>
          <w:tcPr>
            <w:tcW w:w="526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3.    Description du Sous-Plan</w:t>
            </w:r>
          </w:p>
        </w:tc>
      </w:tr>
      <w:tr>
        <w:trPr/>
        <w:tc>
          <w:tcPr>
            <w:tcW w:w="493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4.    Administration of Sub-Plan</w:t>
            </w:r>
          </w:p>
        </w:tc>
        <w:tc>
          <w:tcPr>
            <w:tcW w:w="526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4.    Administration du Sous-Plan</w:t>
            </w:r>
          </w:p>
        </w:tc>
      </w:tr>
      <w:tr>
        <w:trPr/>
        <w:tc>
          <w:tcPr>
            <w:tcW w:w="493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5.    Exercise of options</w:t>
            </w:r>
          </w:p>
        </w:tc>
        <w:tc>
          <w:tcPr>
            <w:tcW w:w="526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5.    Exercice des Options</w:t>
            </w:r>
          </w:p>
        </w:tc>
      </w:tr>
      <w:tr>
        <w:trPr/>
        <w:tc>
          <w:tcPr>
            <w:tcW w:w="493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6.    Delivery of the Common Stocks resulting from RSUs</w:t>
            </w:r>
          </w:p>
        </w:tc>
        <w:tc>
          <w:tcPr>
            <w:tcW w:w="526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6.    Livraison des Actions Ordinaires résultant des AGAs</w:t>
            </w:r>
          </w:p>
        </w:tc>
      </w:tr>
      <w:tr>
        <w:trPr/>
        <w:tc>
          <w:tcPr>
            <w:tcW w:w="493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7.    Taxes</w:t>
            </w:r>
          </w:p>
        </w:tc>
        <w:tc>
          <w:tcPr>
            <w:tcW w:w="526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7.    Taxes</w:t>
            </w:r>
          </w:p>
        </w:tc>
      </w:tr>
      <w:tr>
        <w:trPr/>
        <w:tc>
          <w:tcPr>
            <w:tcW w:w="493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8.    Data Protection</w:t>
            </w:r>
          </w:p>
        </w:tc>
        <w:tc>
          <w:tcPr>
            <w:tcW w:w="526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8.    Protection des données personnelles</w:t>
            </w:r>
          </w:p>
        </w:tc>
      </w:tr>
      <w:tr>
        <w:trPr/>
        <w:tc>
          <w:tcPr>
            <w:tcW w:w="493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7.    Miscellaneous</w:t>
            </w:r>
          </w:p>
        </w:tc>
        <w:tc>
          <w:tcPr>
            <w:tcW w:w="526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9.    Divers</w:t>
            </w:r>
          </w:p>
        </w:tc>
      </w:tr>
      <w:tr>
        <w:trPr/>
        <w:tc>
          <w:tcPr>
            <w:tcW w:w="493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Appendix 1</w:t>
            </w:r>
          </w:p>
        </w:tc>
        <w:tc>
          <w:tcPr>
            <w:tcW w:w="526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Annexe 1</w:t>
            </w:r>
          </w:p>
        </w:tc>
      </w:tr>
      <w:tr>
        <w:trPr/>
        <w:tc>
          <w:tcPr>
            <w:tcW w:w="493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1.    </w:t>
            </w:r>
            <w:r>
              <w:rPr>
                <w:rFonts w:ascii="Arial;sans-serif" w:hAnsi="Arial;sans-serif"/>
                <w:b/>
                <w:color w:val="000000"/>
                <w:sz w:val="20"/>
              </w:rPr>
              <w:t>Introduction</w:t>
            </w:r>
          </w:p>
        </w:tc>
        <w:tc>
          <w:tcPr>
            <w:tcW w:w="526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left"/>
              <w:rPr/>
            </w:pPr>
            <w:r>
              <w:rPr>
                <w:rFonts w:ascii="Arial;sans-serif" w:hAnsi="Arial;sans-serif"/>
                <w:b w:val="false"/>
                <w:color w:val="000000"/>
                <w:sz w:val="20"/>
              </w:rPr>
              <w:t>1.    </w:t>
            </w:r>
            <w:r>
              <w:rPr>
                <w:rFonts w:ascii="Arial;sans-serif" w:hAnsi="Arial;sans-serif"/>
                <w:b/>
                <w:color w:val="000000"/>
                <w:sz w:val="20"/>
              </w:rPr>
              <w:t>Introduction</w:t>
            </w:r>
          </w:p>
        </w:tc>
      </w:tr>
      <w:tr>
        <w:trPr/>
        <w:tc>
          <w:tcPr>
            <w:tcW w:w="493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both"/>
              <w:rPr/>
            </w:pPr>
            <w:r>
              <w:rPr>
                <w:rFonts w:ascii="Arial;sans-serif" w:hAnsi="Arial;sans-serif"/>
                <w:b w:val="false"/>
                <w:color w:val="000000"/>
                <w:sz w:val="20"/>
              </w:rPr>
              <w:t>On September 21, 2020, Asana, Inc. (the “</w:t>
            </w:r>
            <w:r>
              <w:rPr>
                <w:rFonts w:ascii="Arial;sans-serif" w:hAnsi="Arial;sans-serif"/>
                <w:b/>
                <w:color w:val="000000"/>
                <w:sz w:val="20"/>
              </w:rPr>
              <w:t>Company</w:t>
            </w:r>
            <w:r>
              <w:rPr>
                <w:color w:val="000000"/>
              </w:rPr>
              <w:t>”</w:t>
            </w:r>
            <w:r>
              <w:rPr>
                <w:rFonts w:ascii="Arial;sans-serif" w:hAnsi="Arial;sans-serif"/>
                <w:b w:val="false"/>
                <w:color w:val="000000"/>
                <w:sz w:val="20"/>
              </w:rPr>
              <w:t>) adopted an equity incentive plan (the “</w:t>
            </w:r>
            <w:r>
              <w:rPr>
                <w:rFonts w:ascii="Arial;sans-serif" w:hAnsi="Arial;sans-serif"/>
                <w:b/>
                <w:color w:val="000000"/>
                <w:sz w:val="20"/>
              </w:rPr>
              <w:t>Plan</w:t>
            </w:r>
            <w:r>
              <w:rPr>
                <w:color w:val="000000"/>
              </w:rPr>
              <w:t>”</w:t>
            </w:r>
            <w:r>
              <w:rPr>
                <w:rFonts w:ascii="Arial;sans-serif" w:hAnsi="Arial;sans-serif"/>
                <w:b w:val="false"/>
                <w:color w:val="000000"/>
                <w:sz w:val="20"/>
              </w:rPr>
              <w:t>) as a way to provide incentives and awards to selected key employees, directors, consultants, and key persons of the Company and its Affiliates.</w:t>
            </w:r>
          </w:p>
        </w:tc>
        <w:tc>
          <w:tcPr>
            <w:tcW w:w="526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both"/>
              <w:rPr/>
            </w:pPr>
            <w:r>
              <w:rPr>
                <w:rFonts w:ascii="Arial;sans-serif" w:hAnsi="Arial;sans-serif"/>
                <w:b w:val="false"/>
                <w:color w:val="000000"/>
                <w:sz w:val="20"/>
              </w:rPr>
              <w:t>Le [__], Asana, Inc. (la « </w:t>
            </w:r>
            <w:r>
              <w:rPr>
                <w:rFonts w:ascii="Arial;sans-serif" w:hAnsi="Arial;sans-serif"/>
                <w:b/>
                <w:color w:val="000000"/>
                <w:sz w:val="20"/>
              </w:rPr>
              <w:t>Société</w:t>
            </w:r>
            <w:r>
              <w:rPr>
                <w:color w:val="000000"/>
              </w:rPr>
              <w:t> </w:t>
            </w:r>
            <w:r>
              <w:rPr>
                <w:rFonts w:ascii="Arial;sans-serif" w:hAnsi="Arial;sans-serif"/>
                <w:b w:val="false"/>
                <w:color w:val="000000"/>
                <w:sz w:val="20"/>
              </w:rPr>
              <w:t>») a adopté un plan d’intéressement (le « </w:t>
            </w:r>
            <w:r>
              <w:rPr>
                <w:rFonts w:ascii="Arial;sans-serif" w:hAnsi="Arial;sans-serif"/>
                <w:b/>
                <w:color w:val="000000"/>
                <w:sz w:val="20"/>
              </w:rPr>
              <w:t>Plan</w:t>
            </w:r>
            <w:r>
              <w:rPr>
                <w:color w:val="000000"/>
              </w:rPr>
              <w:t> </w:t>
            </w:r>
            <w:r>
              <w:rPr>
                <w:rFonts w:ascii="Arial;sans-serif" w:hAnsi="Arial;sans-serif"/>
                <w:b w:val="false"/>
                <w:color w:val="000000"/>
                <w:sz w:val="20"/>
              </w:rPr>
              <w:t>») afin d’intéresser certains salariés, mandataires sociaux, consultants et personnes clés de la Société et de ses sociétés Affiliées dans le cadre de mesures d’intéressement.</w:t>
            </w:r>
          </w:p>
        </w:tc>
      </w:tr>
      <w:tr>
        <w:trPr/>
        <w:tc>
          <w:tcPr>
            <w:tcW w:w="493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This Plan is the successor to and continuation of the Prior Plans</w:t>
            </w:r>
          </w:p>
        </w:tc>
        <w:tc>
          <w:tcPr>
            <w:tcW w:w="526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Le Plan est le plan faisant suite aux Plans Précédents.</w:t>
            </w:r>
          </w:p>
        </w:tc>
      </w:tr>
      <w:tr>
        <w:trPr/>
        <w:tc>
          <w:tcPr>
            <w:tcW w:w="4937"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The purposes of the Plan are more precisely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tc>
        <w:tc>
          <w:tcPr>
            <w:tcW w:w="5268"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Les objectifs du plan sont plus précisément d'inciter ces personnes à déployer un maximum d'efforts pour le succès de la Société et de toute société Affiliée et de fournir un moyen par lequel ces personnes peuvent avoir la possibilité de bénéficier d'augmentations de la valeur des actions ordinaires par l'octroi d'[Instruments].</w:t>
            </w:r>
          </w:p>
        </w:tc>
      </w:tr>
    </w:tbl>
    <w:p>
      <w:pPr>
        <w:pStyle w:val="TextBody"/>
        <w:spacing w:before="0" w:after="0"/>
        <w:rPr/>
      </w:pPr>
      <w:r>
        <w:br w:type="page"/>
      </w: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350520"/>
                <wp:effectExtent l="0" t="0" r="0" b="0"/>
                <wp:wrapNone/>
                <wp:docPr id="248" name="Frame14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spacing w:before="0" w:after="20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117"/>
        <w:gridCol w:w="1420"/>
        <w:gridCol w:w="1431"/>
        <w:gridCol w:w="1531"/>
        <w:gridCol w:w="1531"/>
        <w:gridCol w:w="2175"/>
      </w:tblGrid>
      <w:tr>
        <w:trPr/>
        <w:tc>
          <w:tcPr>
            <w:tcW w:w="2117" w:type="dxa"/>
            <w:tcBorders/>
            <w:shd w:fill="auto" w:val="clear"/>
            <w:vAlign w:val="center"/>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c>
          <w:tcPr>
            <w:tcW w:w="1431"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sz w:val="4"/>
                <w:szCs w:val="4"/>
              </w:rPr>
            </w:pPr>
            <w:r>
              <w:rPr>
                <w:sz w:val="4"/>
                <w:szCs w:val="4"/>
              </w:rPr>
            </w:r>
          </w:p>
        </w:tc>
        <w:tc>
          <w:tcPr>
            <w:tcW w:w="2175" w:type="dxa"/>
            <w:tcBorders/>
            <w:shd w:fill="auto" w:val="clear"/>
            <w:vAlign w:val="center"/>
          </w:tcPr>
          <w:p>
            <w:pPr>
              <w:pStyle w:val="TableContents"/>
              <w:spacing w:before="0" w:after="283"/>
              <w:rPr>
                <w:sz w:val="4"/>
                <w:szCs w:val="4"/>
              </w:rPr>
            </w:pPr>
            <w:r>
              <w:rPr>
                <w:sz w:val="4"/>
                <w:szCs w:val="4"/>
              </w:rPr>
            </w:r>
          </w:p>
        </w:tc>
      </w:tr>
      <w:tr>
        <w:trPr/>
        <w:tc>
          <w:tcPr>
            <w:tcW w:w="496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both"/>
              <w:rPr/>
            </w:pPr>
            <w:r>
              <w:rPr>
                <w:rFonts w:ascii="Arial;sans-serif" w:hAnsi="Arial;sans-serif"/>
                <w:b w:val="false"/>
                <w:color w:val="000000"/>
                <w:sz w:val="20"/>
              </w:rPr>
              <w:t>The Plan permits the granting of the awards, including the following types of awards (“</w:t>
            </w:r>
            <w:r>
              <w:rPr>
                <w:rFonts w:ascii="Arial;sans-serif" w:hAnsi="Arial;sans-serif"/>
                <w:b/>
                <w:color w:val="000000"/>
                <w:sz w:val="20"/>
              </w:rPr>
              <w:t>Awards</w:t>
            </w:r>
            <w:r>
              <w:rPr>
                <w:color w:val="000000"/>
              </w:rPr>
              <w:t>”</w:t>
            </w:r>
            <w:r>
              <w:rPr>
                <w:rFonts w:ascii="Arial;sans-serif" w:hAnsi="Arial;sans-serif"/>
                <w:b w:val="false"/>
                <w:color w:val="000000"/>
                <w:sz w:val="20"/>
              </w:rPr>
              <w:t>):</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options to subscribe and/or purchase Common stock (the “</w:t>
            </w:r>
            <w:r>
              <w:rPr>
                <w:rFonts w:ascii="Arial;sans-serif" w:hAnsi="Arial;sans-serif"/>
                <w:b/>
                <w:color w:val="000000"/>
                <w:sz w:val="20"/>
              </w:rPr>
              <w:t>Options</w:t>
            </w:r>
            <w:r>
              <w:rPr>
                <w:color w:val="000000"/>
              </w:rPr>
              <w:t>”</w:t>
            </w:r>
            <w:r>
              <w:rPr>
                <w:rFonts w:ascii="Arial;sans-serif" w:hAnsi="Arial;sans-serif"/>
                <w:b w:val="false"/>
                <w:color w:val="000000"/>
                <w:sz w:val="20"/>
              </w:rPr>
              <w:t>); and/or</w:t>
            </w:r>
          </w:p>
          <w:p>
            <w:pPr>
              <w:pStyle w:val="TableContents"/>
              <w:spacing w:lineRule="auto" w:line="319" w:before="0" w:after="200"/>
              <w:ind w:left="0" w:right="0" w:hanging="360"/>
              <w:jc w:val="both"/>
              <w:rPr/>
            </w:pPr>
            <w:r>
              <w:rPr>
                <w:color w:val="000000"/>
              </w:rPr>
              <w:t>–</w:t>
            </w:r>
            <w:r>
              <w:rPr>
                <w:rFonts w:ascii="Arial;sans-serif" w:hAnsi="Arial;sans-serif"/>
                <w:b w:val="false"/>
                <w:color w:val="000000"/>
                <w:sz w:val="20"/>
              </w:rPr>
              <w:t>restricted stock units (the “</w:t>
            </w:r>
            <w:r>
              <w:rPr>
                <w:rFonts w:ascii="Arial;sans-serif" w:hAnsi="Arial;sans-serif"/>
                <w:b/>
                <w:color w:val="000000"/>
                <w:sz w:val="20"/>
              </w:rPr>
              <w:t>RSUs</w:t>
            </w:r>
            <w:r>
              <w:rPr>
                <w:color w:val="000000"/>
              </w:rPr>
              <w:t>”</w:t>
            </w:r>
            <w:r>
              <w:rPr>
                <w:rFonts w:ascii="Arial;sans-serif" w:hAnsi="Arial;sans-serif"/>
                <w:b w:val="false"/>
                <w:color w:val="000000"/>
                <w:sz w:val="20"/>
              </w:rPr>
              <w:t>).</w:t>
            </w:r>
          </w:p>
        </w:tc>
        <w:tc>
          <w:tcPr>
            <w:tcW w:w="5237"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both"/>
              <w:rPr/>
            </w:pPr>
            <w:r>
              <w:rPr>
                <w:rFonts w:ascii="Arial;sans-serif" w:hAnsi="Arial;sans-serif"/>
                <w:b w:val="false"/>
                <w:color w:val="000000"/>
                <w:sz w:val="20"/>
              </w:rPr>
              <w:t>Le Plan permet l'octroi des instruments suivants (les « I</w:t>
            </w:r>
            <w:r>
              <w:rPr>
                <w:rFonts w:ascii="Arial;sans-serif" w:hAnsi="Arial;sans-serif"/>
                <w:b/>
                <w:color w:val="000000"/>
                <w:sz w:val="20"/>
              </w:rPr>
              <w:t>nstruments</w:t>
            </w:r>
            <w:r>
              <w:rPr>
                <w:color w:val="000000"/>
              </w:rPr>
              <w:t> </w:t>
            </w:r>
            <w:r>
              <w:rPr>
                <w:rFonts w:ascii="Arial;sans-serif" w:hAnsi="Arial;sans-serif"/>
                <w:b w:val="false"/>
                <w:color w:val="000000"/>
                <w:sz w:val="20"/>
              </w:rPr>
              <w:t>») :</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Options de souscriptions et/ou d’achat d’Actions Ordinaires (les « </w:t>
            </w:r>
            <w:r>
              <w:rPr>
                <w:rFonts w:ascii="Arial;sans-serif" w:hAnsi="Arial;sans-serif"/>
                <w:b/>
                <w:color w:val="000000"/>
                <w:sz w:val="20"/>
              </w:rPr>
              <w:t>Options</w:t>
            </w:r>
            <w:r>
              <w:rPr>
                <w:color w:val="000000"/>
              </w:rPr>
              <w:t> </w:t>
            </w:r>
            <w:r>
              <w:rPr>
                <w:rFonts w:ascii="Arial;sans-serif" w:hAnsi="Arial;sans-serif"/>
                <w:b w:val="false"/>
                <w:color w:val="000000"/>
                <w:sz w:val="20"/>
              </w:rPr>
              <w:t>»); et/ou</w:t>
            </w:r>
          </w:p>
          <w:p>
            <w:pPr>
              <w:pStyle w:val="TableContents"/>
              <w:spacing w:lineRule="auto" w:line="319" w:before="0" w:after="200"/>
              <w:ind w:left="0" w:right="0" w:hanging="360"/>
              <w:jc w:val="both"/>
              <w:rPr/>
            </w:pPr>
            <w:r>
              <w:rPr>
                <w:color w:val="000000"/>
              </w:rPr>
              <w:t>–</w:t>
            </w:r>
            <w:r>
              <w:rPr>
                <w:rFonts w:ascii="Arial;sans-serif" w:hAnsi="Arial;sans-serif"/>
                <w:b w:val="false"/>
                <w:color w:val="000000"/>
                <w:sz w:val="20"/>
              </w:rPr>
              <w:t>attributions gratuites d’actions (les « </w:t>
            </w:r>
            <w:r>
              <w:rPr>
                <w:rFonts w:ascii="Arial;sans-serif" w:hAnsi="Arial;sans-serif"/>
                <w:b/>
                <w:color w:val="000000"/>
                <w:sz w:val="20"/>
              </w:rPr>
              <w:t>AGAs</w:t>
            </w:r>
            <w:r>
              <w:rPr>
                <w:color w:val="000000"/>
              </w:rPr>
              <w:t> </w:t>
            </w:r>
            <w:r>
              <w:rPr>
                <w:rFonts w:ascii="Arial;sans-serif" w:hAnsi="Arial;sans-serif"/>
                <w:b w:val="false"/>
                <w:color w:val="000000"/>
                <w:sz w:val="20"/>
              </w:rPr>
              <w:t>»).</w:t>
            </w:r>
          </w:p>
        </w:tc>
      </w:tr>
      <w:tr>
        <w:trPr/>
        <w:tc>
          <w:tcPr>
            <w:tcW w:w="496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The Plan (and its translation in French for information purpose) is attached as an Appendix I to this Sub-Plan.</w:t>
            </w:r>
          </w:p>
        </w:tc>
        <w:tc>
          <w:tcPr>
            <w:tcW w:w="5237"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Le Plan (en anglais ainsi que sa traduction française à seule fin d’information) est joint en annexe I au présent Sous-Plan.</w:t>
            </w:r>
          </w:p>
        </w:tc>
      </w:tr>
      <w:tr>
        <w:trPr/>
        <w:tc>
          <w:tcPr>
            <w:tcW w:w="496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Based on these considerations, the Compensation Committee of the Board adopted the Sub-Plan, which shall only and exclusively apply to qualifying Employees and Officers residents of France who work for the Company of any its Relevant Affiliates.</w:t>
            </w:r>
          </w:p>
        </w:tc>
        <w:tc>
          <w:tcPr>
            <w:tcW w:w="5237"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Dans ce cadre, le Conseil d'administration a adopté le Sous-Plan du Plan, qui s'appliquera exclusivement à l’égard des Salariés et Mandataires Sociaux résidents en France et qui travaillent pour la Société ou toute autre Filiale Pertinente.</w:t>
            </w:r>
          </w:p>
        </w:tc>
      </w:tr>
      <w:tr>
        <w:trPr/>
        <w:tc>
          <w:tcPr>
            <w:tcW w:w="496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With regards to the Employees and Officers as described above, the provisions of this Sub-Plan prevail over those of the Plan and the provisions of the Plan shall only apply to the extent they do not contravene the French laws required to be complied with in order to benefit from the domestic favourable social and tax treatment applicable to the Awards.</w:t>
            </w:r>
          </w:p>
        </w:tc>
        <w:tc>
          <w:tcPr>
            <w:tcW w:w="5237"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À l’égard des Salariés et Mandataires Sociaux tels que décrits ci-dessus, les dispositions du Sous-Plan prévalent sur celles du Plan, qui ne peuvent s'appliquer que dans la mesure où elles ne contreviennent pas aux lois françaises auxquelles elles doivent se conformer pour bénéficier du régime social et fiscal favorable en France lié aux Instruments.</w:t>
            </w:r>
          </w:p>
        </w:tc>
      </w:tr>
      <w:tr>
        <w:trPr/>
        <w:tc>
          <w:tcPr>
            <w:tcW w:w="496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Under the Sub-Plan, qualifying Employees and Officers may be selected by the Board or a sub-committee of the Board to be granted Options and/or RSUs.</w:t>
            </w:r>
          </w:p>
        </w:tc>
        <w:tc>
          <w:tcPr>
            <w:tcW w:w="5237"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En vertu du Sous-Plan, les Salariés et Mandataires Sociaux remplissant les conditions requises se verront attribuer des Options et des AGAs.</w:t>
            </w:r>
          </w:p>
        </w:tc>
      </w:tr>
      <w:tr>
        <w:trPr/>
        <w:tc>
          <w:tcPr>
            <w:tcW w:w="4968"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Definitions: the following terms shall have the following meanings for the purposes of the Sub-Plan:</w:t>
            </w:r>
          </w:p>
        </w:tc>
        <w:tc>
          <w:tcPr>
            <w:tcW w:w="5237"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Définitions : les termes suivants auront la signification qui leur est attribuée ci-dessous :</w:t>
            </w:r>
          </w:p>
        </w:tc>
      </w:tr>
    </w:tbl>
    <w:p>
      <w:pPr>
        <w:pStyle w:val="TextBody"/>
        <w:spacing w:before="0" w:after="0"/>
        <w:rPr/>
      </w:pPr>
      <w:r>
        <w:br w:type="page"/>
      </w: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50520"/>
                <wp:effectExtent l="0" t="0" r="0" b="0"/>
                <wp:wrapNone/>
                <wp:docPr id="249" name="Frame14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spacing w:before="0" w:after="20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714"/>
        <w:gridCol w:w="1506"/>
        <w:gridCol w:w="1513"/>
        <w:gridCol w:w="1601"/>
        <w:gridCol w:w="1601"/>
        <w:gridCol w:w="2270"/>
      </w:tblGrid>
      <w:tr>
        <w:trPr/>
        <w:tc>
          <w:tcPr>
            <w:tcW w:w="1714" w:type="dxa"/>
            <w:tcBorders/>
            <w:shd w:fill="auto" w:val="clear"/>
            <w:vAlign w:val="center"/>
          </w:tcPr>
          <w:p>
            <w:pPr>
              <w:pStyle w:val="TableContents"/>
              <w:spacing w:before="0" w:after="283"/>
              <w:rPr>
                <w:sz w:val="4"/>
                <w:szCs w:val="4"/>
              </w:rPr>
            </w:pPr>
            <w:r>
              <w:rPr>
                <w:sz w:val="4"/>
                <w:szCs w:val="4"/>
              </w:rPr>
            </w:r>
          </w:p>
        </w:tc>
        <w:tc>
          <w:tcPr>
            <w:tcW w:w="1506" w:type="dxa"/>
            <w:tcBorders/>
            <w:shd w:fill="auto" w:val="clear"/>
            <w:vAlign w:val="center"/>
          </w:tcPr>
          <w:p>
            <w:pPr>
              <w:pStyle w:val="TableContents"/>
              <w:spacing w:before="0" w:after="283"/>
              <w:rPr>
                <w:sz w:val="4"/>
                <w:szCs w:val="4"/>
              </w:rPr>
            </w:pPr>
            <w:r>
              <w:rPr>
                <w:sz w:val="4"/>
                <w:szCs w:val="4"/>
              </w:rPr>
            </w:r>
          </w:p>
        </w:tc>
        <w:tc>
          <w:tcPr>
            <w:tcW w:w="1513" w:type="dxa"/>
            <w:tcBorders/>
            <w:shd w:fill="auto" w:val="clear"/>
            <w:vAlign w:val="center"/>
          </w:tcPr>
          <w:p>
            <w:pPr>
              <w:pStyle w:val="TableContents"/>
              <w:spacing w:before="0" w:after="283"/>
              <w:rPr>
                <w:sz w:val="4"/>
                <w:szCs w:val="4"/>
              </w:rPr>
            </w:pPr>
            <w:r>
              <w:rPr>
                <w:sz w:val="4"/>
                <w:szCs w:val="4"/>
              </w:rPr>
            </w:r>
          </w:p>
        </w:tc>
        <w:tc>
          <w:tcPr>
            <w:tcW w:w="1601" w:type="dxa"/>
            <w:tcBorders/>
            <w:shd w:fill="auto" w:val="clear"/>
            <w:vAlign w:val="center"/>
          </w:tcPr>
          <w:p>
            <w:pPr>
              <w:pStyle w:val="TableContents"/>
              <w:spacing w:before="0" w:after="283"/>
              <w:rPr>
                <w:sz w:val="4"/>
                <w:szCs w:val="4"/>
              </w:rPr>
            </w:pPr>
            <w:r>
              <w:rPr>
                <w:sz w:val="4"/>
                <w:szCs w:val="4"/>
              </w:rPr>
            </w:r>
          </w:p>
        </w:tc>
        <w:tc>
          <w:tcPr>
            <w:tcW w:w="1601" w:type="dxa"/>
            <w:tcBorders/>
            <w:shd w:fill="auto" w:val="clear"/>
            <w:vAlign w:val="center"/>
          </w:tcPr>
          <w:p>
            <w:pPr>
              <w:pStyle w:val="TableContents"/>
              <w:spacing w:before="0" w:after="283"/>
              <w:rPr>
                <w:sz w:val="4"/>
                <w:szCs w:val="4"/>
              </w:rPr>
            </w:pPr>
            <w:r>
              <w:rPr>
                <w:sz w:val="4"/>
                <w:szCs w:val="4"/>
              </w:rPr>
            </w:r>
          </w:p>
        </w:tc>
        <w:tc>
          <w:tcPr>
            <w:tcW w:w="2270" w:type="dxa"/>
            <w:tcBorders/>
            <w:shd w:fill="auto" w:val="clear"/>
            <w:vAlign w:val="center"/>
          </w:tcPr>
          <w:p>
            <w:pPr>
              <w:pStyle w:val="TableContents"/>
              <w:spacing w:before="0" w:after="283"/>
              <w:rPr>
                <w:sz w:val="4"/>
                <w:szCs w:val="4"/>
              </w:rPr>
            </w:pPr>
            <w:r>
              <w:rPr>
                <w:sz w:val="4"/>
                <w:szCs w:val="4"/>
              </w:rPr>
            </w:r>
          </w:p>
        </w:tc>
      </w:tr>
      <w:tr>
        <w:trPr/>
        <w:tc>
          <w:tcPr>
            <w:tcW w:w="4733"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319" w:before="0" w:after="0"/>
              <w:ind w:left="0" w:right="0" w:hanging="360"/>
              <w:jc w:val="both"/>
              <w:rPr/>
            </w:pPr>
            <w:r>
              <w:rPr>
                <w:color w:val="000000"/>
              </w:rPr>
              <w:t>–“</w:t>
            </w:r>
            <w:r>
              <w:rPr>
                <w:rFonts w:ascii="Arial;sans-serif" w:hAnsi="Arial;sans-serif"/>
                <w:b/>
                <w:color w:val="000000"/>
                <w:sz w:val="20"/>
              </w:rPr>
              <w:t>Affiliates</w:t>
            </w:r>
            <w:r>
              <w:rPr>
                <w:color w:val="000000"/>
              </w:rPr>
              <w:t xml:space="preserve">” </w:t>
            </w:r>
            <w:r>
              <w:rPr>
                <w:rFonts w:ascii="Arial;sans-serif" w:hAnsi="Arial;sans-serif"/>
                <w:b w:val="false"/>
                <w:color w:val="000000"/>
                <w:sz w:val="20"/>
              </w:rPr>
              <w:t>has the meaning set forth in the Plan.</w:t>
            </w:r>
          </w:p>
          <w:p>
            <w:pPr>
              <w:pStyle w:val="TableContents"/>
              <w:spacing w:lineRule="auto" w:line="319" w:before="0" w:after="0"/>
              <w:ind w:left="0" w:right="0" w:hanging="360"/>
              <w:jc w:val="both"/>
              <w:rPr/>
            </w:pPr>
            <w:r>
              <w:rPr>
                <w:color w:val="000000"/>
              </w:rPr>
              <w:t>–“</w:t>
            </w:r>
            <w:r>
              <w:rPr>
                <w:rFonts w:ascii="Arial;sans-serif" w:hAnsi="Arial;sans-serif"/>
                <w:b/>
                <w:color w:val="000000"/>
                <w:sz w:val="20"/>
              </w:rPr>
              <w:t>Awards</w:t>
            </w:r>
            <w:r>
              <w:rPr>
                <w:color w:val="000000"/>
              </w:rPr>
              <w:t xml:space="preserve">” </w:t>
            </w:r>
            <w:r>
              <w:rPr>
                <w:rFonts w:ascii="Arial;sans-serif" w:hAnsi="Arial;sans-serif"/>
                <w:b w:val="false"/>
                <w:color w:val="000000"/>
                <w:sz w:val="20"/>
              </w:rPr>
              <w:t>means either an Option or an RSU.</w:t>
            </w:r>
          </w:p>
          <w:p>
            <w:pPr>
              <w:pStyle w:val="TableContents"/>
              <w:spacing w:lineRule="auto" w:line="319" w:before="0" w:after="0"/>
              <w:ind w:left="0" w:right="0" w:hanging="360"/>
              <w:jc w:val="both"/>
              <w:rPr/>
            </w:pPr>
            <w:r>
              <w:rPr>
                <w:color w:val="000000"/>
              </w:rPr>
              <w:t>–“</w:t>
            </w:r>
            <w:r>
              <w:rPr>
                <w:rFonts w:ascii="Arial;sans-serif" w:hAnsi="Arial;sans-serif"/>
                <w:b/>
                <w:color w:val="000000"/>
                <w:sz w:val="20"/>
              </w:rPr>
              <w:t>Commencement Date</w:t>
            </w:r>
            <w:r>
              <w:rPr>
                <w:color w:val="000000"/>
              </w:rPr>
              <w:t xml:space="preserve">” </w:t>
            </w:r>
            <w:r>
              <w:rPr>
                <w:rFonts w:ascii="Arial;sans-serif" w:hAnsi="Arial;sans-serif"/>
                <w:b w:val="false"/>
                <w:color w:val="000000"/>
                <w:sz w:val="20"/>
              </w:rPr>
              <w:t>means the first date following Grant Date between March 20, June 20, September 20, and December 20, of any relevant civil year, subject to the fact that the Participant agree to the grant.</w:t>
            </w:r>
          </w:p>
          <w:p>
            <w:pPr>
              <w:pStyle w:val="TableContents"/>
              <w:spacing w:lineRule="auto" w:line="319" w:before="0" w:after="0"/>
              <w:ind w:left="0" w:right="0" w:hanging="360"/>
              <w:jc w:val="both"/>
              <w:rPr/>
            </w:pPr>
            <w:r>
              <w:rPr>
                <w:color w:val="000000"/>
              </w:rPr>
              <w:t>–“</w:t>
            </w:r>
            <w:r>
              <w:rPr>
                <w:rFonts w:ascii="Arial;sans-serif" w:hAnsi="Arial;sans-serif"/>
                <w:b/>
                <w:color w:val="000000"/>
                <w:sz w:val="20"/>
              </w:rPr>
              <w:t>Common Stock</w:t>
            </w:r>
            <w:r>
              <w:rPr>
                <w:color w:val="000000"/>
              </w:rPr>
              <w:t xml:space="preserve">” </w:t>
            </w:r>
            <w:r>
              <w:rPr>
                <w:rFonts w:ascii="Arial;sans-serif" w:hAnsi="Arial;sans-serif"/>
                <w:b w:val="false"/>
                <w:color w:val="000000"/>
                <w:sz w:val="20"/>
              </w:rPr>
              <w:t>means the shares of common stock of the Company.</w:t>
            </w:r>
          </w:p>
          <w:p>
            <w:pPr>
              <w:pStyle w:val="TableContents"/>
              <w:spacing w:lineRule="auto" w:line="319" w:before="0" w:after="0"/>
              <w:ind w:left="0" w:right="0" w:hanging="360"/>
              <w:jc w:val="both"/>
              <w:rPr/>
            </w:pPr>
            <w:r>
              <w:rPr>
                <w:color w:val="000000"/>
              </w:rPr>
              <w:t>–“</w:t>
            </w:r>
            <w:r>
              <w:rPr>
                <w:rFonts w:ascii="Arial;sans-serif" w:hAnsi="Arial;sans-serif"/>
                <w:b/>
                <w:color w:val="000000"/>
                <w:sz w:val="20"/>
              </w:rPr>
              <w:t>Company</w:t>
            </w:r>
            <w:r>
              <w:rPr>
                <w:color w:val="000000"/>
              </w:rPr>
              <w:t xml:space="preserve">” </w:t>
            </w:r>
            <w:r>
              <w:rPr>
                <w:rFonts w:ascii="Arial;sans-serif" w:hAnsi="Arial;sans-serif"/>
                <w:b w:val="false"/>
                <w:color w:val="000000"/>
                <w:sz w:val="20"/>
              </w:rPr>
              <w:t>has the meaning set forth in article 1 of the Sub-Plan.</w:t>
            </w:r>
          </w:p>
          <w:p>
            <w:pPr>
              <w:pStyle w:val="TableContents"/>
              <w:spacing w:lineRule="auto" w:line="319" w:before="0" w:after="0"/>
              <w:ind w:left="0" w:right="0" w:hanging="360"/>
              <w:jc w:val="both"/>
              <w:rPr/>
            </w:pPr>
            <w:r>
              <w:rPr>
                <w:color w:val="000000"/>
              </w:rPr>
              <w:t>–“</w:t>
            </w:r>
            <w:r>
              <w:rPr>
                <w:rFonts w:ascii="Arial;sans-serif" w:hAnsi="Arial;sans-serif"/>
                <w:b/>
                <w:color w:val="000000"/>
                <w:sz w:val="20"/>
              </w:rPr>
              <w:t>Compensation Committee</w:t>
            </w:r>
            <w:r>
              <w:rPr>
                <w:color w:val="000000"/>
              </w:rPr>
              <w:t xml:space="preserve">” </w:t>
            </w:r>
            <w:r>
              <w:rPr>
                <w:rFonts w:ascii="Arial;sans-serif" w:hAnsi="Arial;sans-serif"/>
                <w:b w:val="false"/>
                <w:color w:val="000000"/>
                <w:sz w:val="20"/>
              </w:rPr>
              <w:t>means the compensation committee of the Board.</w:t>
            </w:r>
          </w:p>
          <w:p>
            <w:pPr>
              <w:pStyle w:val="TableContents"/>
              <w:spacing w:lineRule="auto" w:line="319" w:before="0" w:after="0"/>
              <w:ind w:left="0" w:right="0" w:hanging="360"/>
              <w:jc w:val="both"/>
              <w:rPr/>
            </w:pPr>
            <w:r>
              <w:rPr>
                <w:color w:val="000000"/>
              </w:rPr>
              <w:t>–“</w:t>
            </w:r>
            <w:r>
              <w:rPr>
                <w:rFonts w:ascii="Arial;sans-serif" w:hAnsi="Arial;sans-serif"/>
                <w:b/>
                <w:color w:val="000000"/>
                <w:sz w:val="20"/>
              </w:rPr>
              <w:t>Data Protection</w:t>
            </w:r>
            <w:r>
              <w:rPr>
                <w:color w:val="000000"/>
              </w:rPr>
              <w:t xml:space="preserve">” </w:t>
            </w:r>
            <w:r>
              <w:rPr>
                <w:rFonts w:ascii="Arial;sans-serif" w:hAnsi="Arial;sans-serif"/>
                <w:b w:val="false"/>
                <w:color w:val="000000"/>
                <w:sz w:val="20"/>
              </w:rPr>
              <w:t>has the meaning set forth in article 8 of the Sub-Plan.</w:t>
            </w:r>
          </w:p>
          <w:p>
            <w:pPr>
              <w:pStyle w:val="TableContents"/>
              <w:spacing w:lineRule="auto" w:line="319" w:before="0" w:after="0"/>
              <w:ind w:left="0" w:right="0" w:hanging="360"/>
              <w:jc w:val="both"/>
              <w:rPr/>
            </w:pPr>
            <w:r>
              <w:rPr>
                <w:color w:val="000000"/>
              </w:rPr>
              <w:t>–“</w:t>
            </w:r>
            <w:r>
              <w:rPr>
                <w:rFonts w:ascii="Arial;sans-serif" w:hAnsi="Arial;sans-serif"/>
                <w:b/>
                <w:color w:val="000000"/>
                <w:sz w:val="20"/>
              </w:rPr>
              <w:t>Employee</w:t>
            </w:r>
            <w:r>
              <w:rPr>
                <w:color w:val="000000"/>
              </w:rPr>
              <w:t xml:space="preserve">” </w:t>
            </w:r>
            <w:r>
              <w:rPr>
                <w:rFonts w:ascii="Arial;sans-serif" w:hAnsi="Arial;sans-serif"/>
                <w:b w:val="false"/>
                <w:color w:val="000000"/>
                <w:sz w:val="20"/>
              </w:rPr>
              <w:t>means an individual, employee of any Relevant Affiliate who is a French resident.</w:t>
            </w:r>
          </w:p>
          <w:p>
            <w:pPr>
              <w:pStyle w:val="TableContents"/>
              <w:spacing w:lineRule="auto" w:line="319" w:before="0" w:after="0"/>
              <w:ind w:left="0" w:right="0" w:hanging="360"/>
              <w:jc w:val="both"/>
              <w:rPr/>
            </w:pPr>
            <w:r>
              <w:rPr>
                <w:color w:val="000000"/>
              </w:rPr>
              <w:t>–“</w:t>
            </w:r>
            <w:r>
              <w:rPr>
                <w:rFonts w:ascii="Arial;sans-serif" w:hAnsi="Arial;sans-serif"/>
                <w:b/>
                <w:color w:val="000000"/>
                <w:sz w:val="20"/>
              </w:rPr>
              <w:t>Exercise Price</w:t>
            </w:r>
            <w:r>
              <w:rPr>
                <w:color w:val="000000"/>
              </w:rPr>
              <w:t xml:space="preserve">” </w:t>
            </w:r>
            <w:r>
              <w:rPr>
                <w:rFonts w:ascii="Arial;sans-serif" w:hAnsi="Arial;sans-serif"/>
                <w:b w:val="false"/>
                <w:color w:val="000000"/>
                <w:sz w:val="20"/>
              </w:rPr>
              <w:t>has the meaning set forth in article 3.4 of the Sub-Plan.</w:t>
            </w:r>
          </w:p>
          <w:p>
            <w:pPr>
              <w:pStyle w:val="TableContents"/>
              <w:spacing w:lineRule="auto" w:line="319" w:before="0" w:after="0"/>
              <w:ind w:left="0" w:right="0" w:hanging="360"/>
              <w:jc w:val="both"/>
              <w:rPr/>
            </w:pPr>
            <w:r>
              <w:rPr>
                <w:color w:val="000000"/>
              </w:rPr>
              <w:t>–“</w:t>
            </w:r>
            <w:r>
              <w:rPr>
                <w:rFonts w:ascii="Arial;sans-serif" w:hAnsi="Arial;sans-serif"/>
                <w:b/>
                <w:color w:val="000000"/>
                <w:sz w:val="20"/>
              </w:rPr>
              <w:t>Delivery Date</w:t>
            </w:r>
            <w:r>
              <w:rPr>
                <w:color w:val="000000"/>
              </w:rPr>
              <w:t xml:space="preserve">” </w:t>
            </w:r>
            <w:r>
              <w:rPr>
                <w:rFonts w:ascii="Arial;sans-serif" w:hAnsi="Arial;sans-serif"/>
                <w:b w:val="false"/>
                <w:color w:val="000000"/>
                <w:sz w:val="20"/>
              </w:rPr>
              <w:t>has the meaning set forth in article 6 of the Sub-Plan.</w:t>
            </w:r>
          </w:p>
          <w:p>
            <w:pPr>
              <w:pStyle w:val="TableContents"/>
              <w:spacing w:lineRule="auto" w:line="319" w:before="0" w:after="0"/>
              <w:ind w:left="0" w:right="0" w:hanging="360"/>
              <w:jc w:val="both"/>
              <w:rPr/>
            </w:pPr>
            <w:r>
              <w:rPr>
                <w:color w:val="000000"/>
              </w:rPr>
              <w:t>–“</w:t>
            </w:r>
            <w:r>
              <w:rPr>
                <w:rFonts w:ascii="Arial;sans-serif" w:hAnsi="Arial;sans-serif"/>
                <w:b/>
                <w:color w:val="000000"/>
                <w:sz w:val="20"/>
              </w:rPr>
              <w:t>Grant Date</w:t>
            </w:r>
            <w:r>
              <w:rPr>
                <w:color w:val="000000"/>
              </w:rPr>
              <w:t xml:space="preserve">” </w:t>
            </w:r>
            <w:r>
              <w:rPr>
                <w:rFonts w:ascii="Arial;sans-serif" w:hAnsi="Arial;sans-serif"/>
                <w:b w:val="false"/>
                <w:color w:val="000000"/>
                <w:sz w:val="20"/>
              </w:rPr>
              <w:t>means the date on which an Award is granted or allocated.</w:t>
            </w:r>
          </w:p>
          <w:p>
            <w:pPr>
              <w:pStyle w:val="TableContents"/>
              <w:spacing w:lineRule="auto" w:line="319" w:before="0" w:after="0"/>
              <w:ind w:left="0" w:right="0" w:hanging="360"/>
              <w:jc w:val="both"/>
              <w:rPr/>
            </w:pPr>
            <w:r>
              <w:rPr>
                <w:color w:val="000000"/>
              </w:rPr>
              <w:t>–“</w:t>
            </w:r>
            <w:r>
              <w:rPr>
                <w:rFonts w:ascii="Arial;sans-serif" w:hAnsi="Arial;sans-serif"/>
                <w:b/>
                <w:color w:val="000000"/>
                <w:sz w:val="20"/>
              </w:rPr>
              <w:t>Holding Period</w:t>
            </w:r>
            <w:r>
              <w:rPr>
                <w:color w:val="000000"/>
              </w:rPr>
              <w:t xml:space="preserve">” </w:t>
            </w:r>
            <w:r>
              <w:rPr>
                <w:rFonts w:ascii="Arial;sans-serif" w:hAnsi="Arial;sans-serif"/>
                <w:b w:val="false"/>
                <w:color w:val="000000"/>
                <w:sz w:val="20"/>
              </w:rPr>
              <w:t>has the meaning set forth in article 6 of the Sub-Plan.</w:t>
            </w:r>
          </w:p>
          <w:p>
            <w:pPr>
              <w:pStyle w:val="TableContents"/>
              <w:spacing w:lineRule="auto" w:line="319" w:before="0" w:after="0"/>
              <w:ind w:left="0" w:right="0" w:hanging="360"/>
              <w:jc w:val="both"/>
              <w:rPr/>
            </w:pPr>
            <w:r>
              <w:rPr>
                <w:color w:val="000000"/>
              </w:rPr>
              <w:t>–“</w:t>
            </w:r>
            <w:r>
              <w:rPr>
                <w:rFonts w:ascii="Arial;sans-serif" w:hAnsi="Arial;sans-serif"/>
                <w:b/>
                <w:color w:val="000000"/>
                <w:sz w:val="20"/>
              </w:rPr>
              <w:t>Insider Information</w:t>
            </w:r>
            <w:r>
              <w:rPr>
                <w:color w:val="000000"/>
              </w:rPr>
              <w:t xml:space="preserve">” </w:t>
            </w:r>
            <w:r>
              <w:rPr>
                <w:rFonts w:ascii="Arial;sans-serif" w:hAnsi="Arial;sans-serif"/>
                <w:b w:val="false"/>
                <w:color w:val="000000"/>
                <w:sz w:val="20"/>
              </w:rPr>
              <w:t>has the meaning set forth by article 7 of the Regulation (EU) n° 596/2014 of the European Parliament and the Council dated 16 April 2014 relating to market abuse.</w:t>
            </w:r>
          </w:p>
          <w:p>
            <w:pPr>
              <w:pStyle w:val="TableContents"/>
              <w:spacing w:lineRule="auto" w:line="319" w:before="0" w:after="0"/>
              <w:ind w:left="0" w:right="0" w:hanging="360"/>
              <w:jc w:val="both"/>
              <w:rPr/>
            </w:pPr>
            <w:r>
              <w:rPr>
                <w:color w:val="000000"/>
              </w:rPr>
              <w:t>–“</w:t>
            </w:r>
            <w:r>
              <w:rPr>
                <w:rFonts w:ascii="Arial;sans-serif" w:hAnsi="Arial;sans-serif"/>
                <w:b/>
                <w:color w:val="000000"/>
                <w:sz w:val="20"/>
              </w:rPr>
              <w:t>Plan</w:t>
            </w:r>
            <w:r>
              <w:rPr>
                <w:color w:val="000000"/>
              </w:rPr>
              <w:t xml:space="preserve">” </w:t>
            </w:r>
            <w:r>
              <w:rPr>
                <w:rFonts w:ascii="Arial;sans-serif" w:hAnsi="Arial;sans-serif"/>
                <w:b w:val="false"/>
                <w:color w:val="000000"/>
                <w:sz w:val="20"/>
              </w:rPr>
              <w:t>has the meaning set forth in article 1 of the Sub-Plan.</w:t>
            </w:r>
          </w:p>
          <w:p>
            <w:pPr>
              <w:pStyle w:val="TableContents"/>
              <w:spacing w:lineRule="auto" w:line="319" w:before="0" w:after="0"/>
              <w:ind w:left="0" w:right="0" w:hanging="360"/>
              <w:jc w:val="both"/>
              <w:rPr/>
            </w:pPr>
            <w:r>
              <w:rPr>
                <w:color w:val="000000"/>
              </w:rPr>
              <w:t>–“</w:t>
            </w:r>
            <w:r>
              <w:rPr>
                <w:rFonts w:ascii="Arial;sans-serif" w:hAnsi="Arial;sans-serif"/>
                <w:b/>
                <w:color w:val="000000"/>
                <w:sz w:val="20"/>
              </w:rPr>
              <w:t>Option</w:t>
            </w:r>
            <w:r>
              <w:rPr>
                <w:color w:val="000000"/>
              </w:rPr>
              <w:t xml:space="preserve">” </w:t>
            </w:r>
            <w:r>
              <w:rPr>
                <w:rFonts w:ascii="Arial;sans-serif" w:hAnsi="Arial;sans-serif"/>
                <w:b w:val="false"/>
                <w:color w:val="000000"/>
                <w:sz w:val="20"/>
              </w:rPr>
              <w:t>has the meaning set forth in article 1 of the Sub-Plan.</w:t>
            </w:r>
          </w:p>
          <w:p>
            <w:pPr>
              <w:pStyle w:val="TableContents"/>
              <w:spacing w:lineRule="auto" w:line="319" w:before="0" w:after="0"/>
              <w:ind w:left="0" w:right="0" w:hanging="360"/>
              <w:jc w:val="both"/>
              <w:rPr/>
            </w:pPr>
            <w:r>
              <w:rPr>
                <w:color w:val="000000"/>
              </w:rPr>
              <w:t>–“</w:t>
            </w:r>
            <w:r>
              <w:rPr>
                <w:rFonts w:ascii="Arial;sans-serif" w:hAnsi="Arial;sans-serif"/>
                <w:b/>
                <w:color w:val="000000"/>
                <w:sz w:val="20"/>
              </w:rPr>
              <w:t>Option Participant</w:t>
            </w:r>
            <w:r>
              <w:rPr>
                <w:color w:val="000000"/>
              </w:rPr>
              <w:t xml:space="preserve">” </w:t>
            </w:r>
            <w:r>
              <w:rPr>
                <w:rFonts w:ascii="Arial;sans-serif" w:hAnsi="Arial;sans-serif"/>
                <w:b w:val="false"/>
                <w:color w:val="000000"/>
                <w:sz w:val="20"/>
              </w:rPr>
              <w:t>has the meaning set forth in article 3.1 of the Sub-Plan.</w:t>
            </w:r>
          </w:p>
          <w:p>
            <w:pPr>
              <w:pStyle w:val="TableContents"/>
              <w:spacing w:lineRule="auto" w:line="319" w:before="0" w:after="0"/>
              <w:ind w:left="0" w:right="0" w:hanging="360"/>
              <w:jc w:val="both"/>
              <w:rPr/>
            </w:pPr>
            <w:r>
              <w:rPr>
                <w:color w:val="000000"/>
              </w:rPr>
              <w:t>–“</w:t>
            </w:r>
            <w:r>
              <w:rPr>
                <w:rFonts w:ascii="Arial;sans-serif" w:hAnsi="Arial;sans-serif"/>
                <w:b/>
                <w:color w:val="000000"/>
                <w:sz w:val="20"/>
              </w:rPr>
              <w:t>Officer</w:t>
            </w:r>
            <w:r>
              <w:rPr>
                <w:color w:val="000000"/>
              </w:rPr>
              <w:t xml:space="preserve">” </w:t>
            </w:r>
            <w:r>
              <w:rPr>
                <w:rFonts w:ascii="Arial;sans-serif" w:hAnsi="Arial;sans-serif"/>
                <w:b w:val="false"/>
                <w:color w:val="000000"/>
                <w:sz w:val="20"/>
              </w:rPr>
              <w:t xml:space="preserve">means a French resident individual who is the </w:t>
            </w:r>
            <w:r>
              <w:rPr>
                <w:rFonts w:ascii="Arial;sans-serif" w:hAnsi="Arial;sans-serif"/>
                <w:b w:val="false"/>
                <w:i/>
                <w:color w:val="000000"/>
                <w:sz w:val="20"/>
              </w:rPr>
              <w:t>Président</w:t>
            </w:r>
            <w:r>
              <w:rPr>
                <w:color w:val="000000"/>
              </w:rPr>
              <w:t xml:space="preserve"> </w:t>
            </w:r>
            <w:r>
              <w:rPr>
                <w:rFonts w:ascii="Arial;sans-serif" w:hAnsi="Arial;sans-serif"/>
                <w:b w:val="false"/>
                <w:color w:val="000000"/>
                <w:sz w:val="20"/>
              </w:rPr>
              <w:t>of any French simplified joint stock company (</w:t>
            </w:r>
            <w:r>
              <w:rPr>
                <w:rFonts w:ascii="Arial;sans-serif" w:hAnsi="Arial;sans-serif"/>
                <w:b w:val="false"/>
                <w:i/>
                <w:color w:val="000000"/>
                <w:sz w:val="20"/>
              </w:rPr>
              <w:t>société par actions simplifiée</w:t>
            </w:r>
            <w:r>
              <w:rPr>
                <w:rFonts w:ascii="Arial;sans-serif" w:hAnsi="Arial;sans-serif"/>
                <w:b w:val="false"/>
                <w:color w:val="000000"/>
                <w:sz w:val="20"/>
              </w:rPr>
              <w:t>) which is a Relevant Affiliate.</w:t>
            </w:r>
          </w:p>
          <w:p>
            <w:pPr>
              <w:pStyle w:val="TableContents"/>
              <w:spacing w:lineRule="auto" w:line="319" w:before="0" w:after="0"/>
              <w:ind w:left="0" w:right="0" w:hanging="360"/>
              <w:jc w:val="both"/>
              <w:rPr/>
            </w:pPr>
            <w:r>
              <w:rPr>
                <w:color w:val="000000"/>
              </w:rPr>
              <w:t>–“</w:t>
            </w:r>
            <w:r>
              <w:rPr>
                <w:rFonts w:ascii="Arial;sans-serif" w:hAnsi="Arial;sans-serif"/>
                <w:b/>
                <w:color w:val="000000"/>
                <w:sz w:val="20"/>
              </w:rPr>
              <w:t>Participant</w:t>
            </w:r>
            <w:r>
              <w:rPr>
                <w:color w:val="000000"/>
              </w:rPr>
              <w:t xml:space="preserve">” </w:t>
            </w:r>
            <w:r>
              <w:rPr>
                <w:rFonts w:ascii="Arial;sans-serif" w:hAnsi="Arial;sans-serif"/>
                <w:b w:val="false"/>
                <w:color w:val="000000"/>
                <w:sz w:val="20"/>
              </w:rPr>
              <w:t>means either an Option Participant or a RSU Participant.</w:t>
            </w:r>
          </w:p>
          <w:p>
            <w:pPr>
              <w:pStyle w:val="TableContents"/>
              <w:spacing w:lineRule="auto" w:line="319" w:before="0" w:after="0"/>
              <w:ind w:left="0" w:right="0" w:hanging="360"/>
              <w:jc w:val="both"/>
              <w:rPr/>
            </w:pPr>
            <w:r>
              <w:rPr>
                <w:color w:val="000000"/>
              </w:rPr>
              <w:t>–“</w:t>
            </w:r>
            <w:r>
              <w:rPr>
                <w:rFonts w:ascii="Arial;sans-serif" w:hAnsi="Arial;sans-serif"/>
                <w:b/>
                <w:color w:val="000000"/>
                <w:sz w:val="20"/>
              </w:rPr>
              <w:t>RSU</w:t>
            </w:r>
            <w:r>
              <w:rPr>
                <w:color w:val="000000"/>
              </w:rPr>
              <w:t xml:space="preserve">” </w:t>
            </w:r>
            <w:r>
              <w:rPr>
                <w:rFonts w:ascii="Arial;sans-serif" w:hAnsi="Arial;sans-serif"/>
                <w:b w:val="false"/>
                <w:color w:val="000000"/>
                <w:sz w:val="20"/>
              </w:rPr>
              <w:t>has the meaning set forth in article 1 of the Sub-Plan.</w:t>
            </w:r>
          </w:p>
          <w:p>
            <w:pPr>
              <w:pStyle w:val="TableContents"/>
              <w:spacing w:lineRule="auto" w:line="319" w:before="0" w:after="0"/>
              <w:ind w:left="0" w:right="0" w:hanging="360"/>
              <w:jc w:val="both"/>
              <w:rPr/>
            </w:pPr>
            <w:r>
              <w:rPr>
                <w:color w:val="000000"/>
              </w:rPr>
              <w:t>–“</w:t>
            </w:r>
            <w:r>
              <w:rPr>
                <w:rFonts w:ascii="Arial;sans-serif" w:hAnsi="Arial;sans-serif"/>
                <w:b/>
                <w:color w:val="000000"/>
                <w:sz w:val="20"/>
              </w:rPr>
              <w:t>RSU Participant</w:t>
            </w:r>
            <w:r>
              <w:rPr>
                <w:color w:val="000000"/>
              </w:rPr>
              <w:t xml:space="preserve">” </w:t>
            </w:r>
            <w:r>
              <w:rPr>
                <w:rFonts w:ascii="Arial;sans-serif" w:hAnsi="Arial;sans-serif"/>
                <w:b w:val="false"/>
                <w:color w:val="000000"/>
                <w:sz w:val="20"/>
              </w:rPr>
              <w:t>has the meaning set forth in article 3.1 of the Sub-Plan.</w:t>
            </w:r>
          </w:p>
          <w:p>
            <w:pPr>
              <w:pStyle w:val="TableContents"/>
              <w:spacing w:lineRule="auto" w:line="319" w:before="0" w:after="0"/>
              <w:ind w:left="0" w:right="0" w:hanging="360"/>
              <w:jc w:val="both"/>
              <w:rPr/>
            </w:pPr>
            <w:r>
              <w:rPr>
                <w:color w:val="000000"/>
              </w:rPr>
              <w:t>–“</w:t>
            </w:r>
            <w:r>
              <w:rPr>
                <w:rFonts w:ascii="Arial;sans-serif" w:hAnsi="Arial;sans-serif"/>
                <w:b/>
                <w:color w:val="000000"/>
                <w:sz w:val="20"/>
              </w:rPr>
              <w:t>Relevant Affiliate</w:t>
            </w:r>
            <w:r>
              <w:rPr>
                <w:color w:val="000000"/>
              </w:rPr>
              <w:t xml:space="preserve">” </w:t>
            </w:r>
            <w:r>
              <w:rPr>
                <w:rFonts w:ascii="Arial;sans-serif" w:hAnsi="Arial;sans-serif"/>
                <w:b w:val="false"/>
                <w:color w:val="000000"/>
                <w:sz w:val="20"/>
              </w:rPr>
              <w:t>means any Affiliate of the Company which fulfil the conditions set forth by article L.225-180 of the French commercial Code with regards to Options, and by article L.225-197-2 of the French commercial Code, being specified that as of the date hereof, Asana France SAS is a Relevant Affiliate.</w:t>
            </w:r>
          </w:p>
          <w:p>
            <w:pPr>
              <w:pStyle w:val="TableContents"/>
              <w:spacing w:lineRule="auto" w:line="319" w:before="0" w:after="0"/>
              <w:ind w:left="0" w:right="0" w:hanging="360"/>
              <w:jc w:val="left"/>
              <w:rPr/>
            </w:pPr>
            <w:r>
              <w:rPr>
                <w:color w:val="000000"/>
              </w:rPr>
              <w:t>–“</w:t>
            </w:r>
            <w:r>
              <w:rPr>
                <w:rFonts w:ascii="Arial;sans-serif" w:hAnsi="Arial;sans-serif"/>
                <w:b/>
                <w:color w:val="000000"/>
                <w:sz w:val="20"/>
              </w:rPr>
              <w:t>RSU Vesting Period</w:t>
            </w:r>
            <w:r>
              <w:rPr>
                <w:color w:val="000000"/>
              </w:rPr>
              <w:t xml:space="preserve">” </w:t>
            </w:r>
            <w:r>
              <w:rPr>
                <w:rFonts w:ascii="Arial;sans-serif" w:hAnsi="Arial;sans-serif"/>
                <w:b w:val="false"/>
                <w:color w:val="000000"/>
                <w:sz w:val="20"/>
              </w:rPr>
              <w:t xml:space="preserve">has the meaning set forth in annex 1 to the Sub-Plan. </w:t>
            </w:r>
          </w:p>
          <w:p>
            <w:pPr>
              <w:pStyle w:val="TableContents"/>
              <w:spacing w:lineRule="auto" w:line="319" w:before="0" w:after="200"/>
              <w:ind w:left="0" w:right="0" w:hanging="360"/>
              <w:jc w:val="both"/>
              <w:rPr/>
            </w:pPr>
            <w:r>
              <w:rPr>
                <w:color w:val="000000"/>
              </w:rPr>
              <w:t>–“</w:t>
            </w:r>
            <w:r>
              <w:rPr>
                <w:rFonts w:ascii="Arial;sans-serif" w:hAnsi="Arial;sans-serif"/>
                <w:b/>
                <w:color w:val="000000"/>
                <w:sz w:val="20"/>
              </w:rPr>
              <w:t>Sub-Plan</w:t>
            </w:r>
            <w:r>
              <w:rPr>
                <w:color w:val="000000"/>
              </w:rPr>
              <w:t xml:space="preserve">” </w:t>
            </w:r>
            <w:r>
              <w:rPr>
                <w:rFonts w:ascii="Arial;sans-serif" w:hAnsi="Arial;sans-serif"/>
                <w:b w:val="false"/>
                <w:color w:val="000000"/>
                <w:sz w:val="20"/>
              </w:rPr>
              <w:t>has the meaning set forth above.</w:t>
            </w:r>
          </w:p>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other words with a first capitalized letter will have the definitions ascribed to them in the Plan.</w:t>
            </w:r>
          </w:p>
        </w:tc>
        <w:tc>
          <w:tcPr>
            <w:tcW w:w="5472"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w:t>
            </w:r>
            <w:r>
              <w:rPr>
                <w:rFonts w:ascii="Arial;sans-serif" w:hAnsi="Arial;sans-serif"/>
                <w:b/>
                <w:color w:val="000000"/>
                <w:sz w:val="20"/>
              </w:rPr>
              <w:t>Affilié</w:t>
            </w:r>
            <w:r>
              <w:rPr>
                <w:color w:val="000000"/>
              </w:rPr>
              <w:t> </w:t>
            </w:r>
            <w:r>
              <w:rPr>
                <w:rFonts w:ascii="Arial;sans-serif" w:hAnsi="Arial;sans-serif"/>
                <w:b w:val="false"/>
                <w:color w:val="000000"/>
                <w:sz w:val="20"/>
              </w:rPr>
              <w:t>» a le sens qui lui est attribué dans le Plan.</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w:t>
            </w:r>
            <w:r>
              <w:rPr>
                <w:rFonts w:ascii="Arial;sans-serif" w:hAnsi="Arial;sans-serif"/>
                <w:b/>
                <w:color w:val="000000"/>
                <w:sz w:val="20"/>
              </w:rPr>
              <w:t>Affilié Pertinent</w:t>
            </w:r>
            <w:r>
              <w:rPr>
                <w:color w:val="000000"/>
              </w:rPr>
              <w:t> </w:t>
            </w:r>
            <w:r>
              <w:rPr>
                <w:rFonts w:ascii="Arial;sans-serif" w:hAnsi="Arial;sans-serif"/>
                <w:b w:val="false"/>
                <w:color w:val="000000"/>
                <w:sz w:val="20"/>
              </w:rPr>
              <w:t>» désigne tout Affilié de la Société qui remplit les conditions fixées par l’article L.225-180 du Code de commerce à l’égard des Options, et de l’article L.225-197-2 du Code de commerce à l’égard des AGAs, étant précisé qu’à la date des présente, Asana France SAS rempli ces conditions.</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w:t>
            </w:r>
            <w:r>
              <w:rPr>
                <w:rFonts w:ascii="Arial;sans-serif" w:hAnsi="Arial;sans-serif"/>
                <w:b/>
                <w:color w:val="000000"/>
                <w:sz w:val="20"/>
              </w:rPr>
              <w:t>AGA</w:t>
            </w:r>
            <w:r>
              <w:rPr>
                <w:color w:val="000000"/>
              </w:rPr>
              <w:t> </w:t>
            </w:r>
            <w:r>
              <w:rPr>
                <w:rFonts w:ascii="Arial;sans-serif" w:hAnsi="Arial;sans-serif"/>
                <w:b w:val="false"/>
                <w:color w:val="000000"/>
                <w:sz w:val="20"/>
              </w:rPr>
              <w:t>» a le sens qui lui est attribué à l’article 1 du Sous-Plan.</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w:t>
            </w:r>
            <w:r>
              <w:rPr>
                <w:rFonts w:ascii="Arial;sans-serif" w:hAnsi="Arial;sans-serif"/>
                <w:b/>
                <w:color w:val="000000"/>
                <w:sz w:val="20"/>
              </w:rPr>
              <w:t>Actions Ordinaire</w:t>
            </w:r>
            <w:r>
              <w:rPr>
                <w:color w:val="000000"/>
              </w:rPr>
              <w:t> </w:t>
            </w:r>
            <w:r>
              <w:rPr>
                <w:rFonts w:ascii="Arial;sans-serif" w:hAnsi="Arial;sans-serif"/>
                <w:b w:val="false"/>
                <w:color w:val="000000"/>
                <w:sz w:val="20"/>
              </w:rPr>
              <w:t>» désigne une action ordinaire de la Société.</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w:t>
            </w:r>
            <w:r>
              <w:rPr>
                <w:rFonts w:ascii="Arial;sans-serif" w:hAnsi="Arial;sans-serif"/>
                <w:b/>
                <w:color w:val="000000"/>
                <w:sz w:val="20"/>
              </w:rPr>
              <w:t>Comité des Rémunérations</w:t>
            </w:r>
            <w:r>
              <w:rPr>
                <w:color w:val="000000"/>
              </w:rPr>
              <w:t> </w:t>
            </w:r>
            <w:r>
              <w:rPr>
                <w:rFonts w:ascii="Arial;sans-serif" w:hAnsi="Arial;sans-serif"/>
                <w:b w:val="false"/>
                <w:color w:val="000000"/>
                <w:sz w:val="20"/>
              </w:rPr>
              <w:t>» désigne le comité des rémunérations du Conseil d’administration.</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w:t>
            </w:r>
            <w:r>
              <w:rPr>
                <w:rFonts w:ascii="Arial;sans-serif" w:hAnsi="Arial;sans-serif"/>
                <w:b/>
                <w:color w:val="000000"/>
                <w:sz w:val="20"/>
              </w:rPr>
              <w:t>Date d’Attribution</w:t>
            </w:r>
            <w:r>
              <w:rPr>
                <w:color w:val="000000"/>
              </w:rPr>
              <w:t> </w:t>
            </w:r>
            <w:r>
              <w:rPr>
                <w:rFonts w:ascii="Arial;sans-serif" w:hAnsi="Arial;sans-serif"/>
                <w:b w:val="false"/>
                <w:color w:val="000000"/>
                <w:sz w:val="20"/>
              </w:rPr>
              <w:t>» désigne la date à laquelle un Instrument est attribué ou alloué à un Bénéficiaire.</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w:t>
            </w:r>
            <w:r>
              <w:rPr>
                <w:rFonts w:ascii="Arial;sans-serif" w:hAnsi="Arial;sans-serif"/>
                <w:b/>
                <w:color w:val="000000"/>
                <w:sz w:val="20"/>
              </w:rPr>
              <w:t>Date de Commencement</w:t>
            </w:r>
            <w:r>
              <w:rPr>
                <w:color w:val="000000"/>
              </w:rPr>
              <w:t> </w:t>
            </w:r>
            <w:r>
              <w:rPr>
                <w:rFonts w:ascii="Arial;sans-serif" w:hAnsi="Arial;sans-serif"/>
                <w:b w:val="false"/>
                <w:color w:val="000000"/>
                <w:sz w:val="20"/>
              </w:rPr>
              <w:t>» désigne la première des dates suivantes suivant la Date d’Attribution, et sous réserve de l’accord du Bénéficiaire : 20 mars, 20 juin, 20 septembre, et 20 décembre de tout année considérée.</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w:t>
            </w:r>
            <w:r>
              <w:rPr>
                <w:rFonts w:ascii="Arial;sans-serif" w:hAnsi="Arial;sans-serif"/>
                <w:b/>
                <w:color w:val="000000"/>
                <w:sz w:val="20"/>
              </w:rPr>
              <w:t>Bénéficiaire</w:t>
            </w:r>
            <w:r>
              <w:rPr>
                <w:color w:val="000000"/>
              </w:rPr>
              <w:t> </w:t>
            </w:r>
            <w:r>
              <w:rPr>
                <w:rFonts w:ascii="Arial;sans-serif" w:hAnsi="Arial;sans-serif"/>
                <w:b w:val="false"/>
                <w:color w:val="000000"/>
                <w:sz w:val="20"/>
              </w:rPr>
              <w:t>» désigne un Bénéficiaire d’AGA ou un Bénéficiaire d’Option.</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w:t>
            </w:r>
            <w:r>
              <w:rPr>
                <w:rFonts w:ascii="Arial;sans-serif" w:hAnsi="Arial;sans-serif"/>
                <w:b/>
                <w:color w:val="000000"/>
                <w:sz w:val="20"/>
              </w:rPr>
              <w:t>Bénéficiaire d’AGA</w:t>
            </w:r>
            <w:r>
              <w:rPr>
                <w:color w:val="000000"/>
              </w:rPr>
              <w:t> </w:t>
            </w:r>
            <w:r>
              <w:rPr>
                <w:rFonts w:ascii="Arial;sans-serif" w:hAnsi="Arial;sans-serif"/>
                <w:b w:val="false"/>
                <w:color w:val="000000"/>
                <w:sz w:val="20"/>
              </w:rPr>
              <w:t>» a le sens qui lui est attribué à l’article 3.1 du Sous-Plan.</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w:t>
            </w:r>
            <w:r>
              <w:rPr>
                <w:rFonts w:ascii="Arial;sans-serif" w:hAnsi="Arial;sans-serif"/>
                <w:b/>
                <w:color w:val="000000"/>
                <w:sz w:val="20"/>
              </w:rPr>
              <w:t>Bénéficiaire d’Option</w:t>
            </w:r>
            <w:r>
              <w:rPr>
                <w:color w:val="000000"/>
              </w:rPr>
              <w:t> </w:t>
            </w:r>
            <w:r>
              <w:rPr>
                <w:rFonts w:ascii="Arial;sans-serif" w:hAnsi="Arial;sans-serif"/>
                <w:b w:val="false"/>
                <w:color w:val="000000"/>
                <w:sz w:val="20"/>
              </w:rPr>
              <w:t>» a le sens qui lui est attribué à l’article 3.1 du Sous-Plan.</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w:t>
            </w:r>
            <w:r>
              <w:rPr>
                <w:rFonts w:ascii="Arial;sans-serif" w:hAnsi="Arial;sans-serif"/>
                <w:b/>
                <w:color w:val="000000"/>
                <w:sz w:val="20"/>
              </w:rPr>
              <w:t>Date de Livraison</w:t>
            </w:r>
            <w:r>
              <w:rPr>
                <w:color w:val="000000"/>
              </w:rPr>
              <w:t> </w:t>
            </w:r>
            <w:r>
              <w:rPr>
                <w:rFonts w:ascii="Arial;sans-serif" w:hAnsi="Arial;sans-serif"/>
                <w:b w:val="false"/>
                <w:color w:val="000000"/>
                <w:sz w:val="20"/>
              </w:rPr>
              <w:t>» a le sens qui lui est attribué à l’article 6 du Sous-Plan.</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w:t>
            </w:r>
            <w:r>
              <w:rPr>
                <w:rFonts w:ascii="Arial;sans-serif" w:hAnsi="Arial;sans-serif"/>
                <w:b/>
                <w:color w:val="000000"/>
                <w:sz w:val="20"/>
              </w:rPr>
              <w:t>Mandataire Social</w:t>
            </w:r>
            <w:r>
              <w:rPr>
                <w:color w:val="000000"/>
              </w:rPr>
              <w:t> </w:t>
            </w:r>
            <w:r>
              <w:rPr>
                <w:rFonts w:ascii="Arial;sans-serif" w:hAnsi="Arial;sans-serif"/>
                <w:b w:val="false"/>
                <w:color w:val="000000"/>
                <w:sz w:val="20"/>
              </w:rPr>
              <w:t>» désigne une personne physique, résidente française, Président de toute société par actions simplifiée qui serait un Affilié Pertinent.</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w:t>
            </w:r>
            <w:r>
              <w:rPr>
                <w:rFonts w:ascii="Arial;sans-serif" w:hAnsi="Arial;sans-serif"/>
                <w:b/>
                <w:color w:val="000000"/>
                <w:sz w:val="20"/>
              </w:rPr>
              <w:t>Instrument</w:t>
            </w:r>
            <w:r>
              <w:rPr>
                <w:color w:val="000000"/>
              </w:rPr>
              <w:t> </w:t>
            </w:r>
            <w:r>
              <w:rPr>
                <w:rFonts w:ascii="Arial;sans-serif" w:hAnsi="Arial;sans-serif"/>
                <w:b w:val="false"/>
                <w:color w:val="000000"/>
                <w:sz w:val="20"/>
              </w:rPr>
              <w:t>» désigne une Option ou une AGA.</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w:t>
            </w:r>
            <w:r>
              <w:rPr>
                <w:rFonts w:ascii="Arial;sans-serif" w:hAnsi="Arial;sans-serif"/>
                <w:b/>
                <w:color w:val="000000"/>
                <w:sz w:val="20"/>
              </w:rPr>
              <w:t>Information Privilégié</w:t>
            </w:r>
            <w:r>
              <w:rPr>
                <w:color w:val="000000"/>
              </w:rPr>
              <w:t> </w:t>
            </w:r>
            <w:r>
              <w:rPr>
                <w:rFonts w:ascii="Arial;sans-serif" w:hAnsi="Arial;sans-serif"/>
                <w:b w:val="false"/>
                <w:color w:val="000000"/>
                <w:sz w:val="20"/>
              </w:rPr>
              <w:t>» a le sens qui lui est attribué par l’article 7 du Règlement (UE) n° 596/2014 du Parlement européen et du Conseil du 16 avril 2014 sur les abus de marché.</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w:t>
            </w:r>
            <w:r>
              <w:rPr>
                <w:rFonts w:ascii="Arial;sans-serif" w:hAnsi="Arial;sans-serif"/>
                <w:b/>
                <w:color w:val="000000"/>
                <w:sz w:val="20"/>
              </w:rPr>
              <w:t>Option</w:t>
            </w:r>
            <w:r>
              <w:rPr>
                <w:color w:val="000000"/>
              </w:rPr>
              <w:t> </w:t>
            </w:r>
            <w:r>
              <w:rPr>
                <w:rFonts w:ascii="Arial;sans-serif" w:hAnsi="Arial;sans-serif"/>
                <w:b w:val="false"/>
                <w:color w:val="000000"/>
                <w:sz w:val="20"/>
              </w:rPr>
              <w:t>» a le sens qui lui est attribué à l’article 1 du Sous-Plan.</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w:t>
            </w:r>
            <w:r>
              <w:rPr>
                <w:rFonts w:ascii="Arial;sans-serif" w:hAnsi="Arial;sans-serif"/>
                <w:b/>
                <w:color w:val="000000"/>
                <w:sz w:val="20"/>
              </w:rPr>
              <w:t>Période d’Acquisition des AGAs</w:t>
            </w:r>
            <w:r>
              <w:rPr>
                <w:color w:val="000000"/>
              </w:rPr>
              <w:t> </w:t>
            </w:r>
            <w:r>
              <w:rPr>
                <w:rFonts w:ascii="Arial;sans-serif" w:hAnsi="Arial;sans-serif"/>
                <w:b w:val="false"/>
                <w:color w:val="000000"/>
                <w:sz w:val="20"/>
              </w:rPr>
              <w:t>» a le sens qui lui est attribué en annexe 1 du Sous-Plan.</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w:t>
            </w:r>
            <w:r>
              <w:rPr>
                <w:rFonts w:ascii="Arial;sans-serif" w:hAnsi="Arial;sans-serif"/>
                <w:b/>
                <w:color w:val="000000"/>
                <w:sz w:val="20"/>
              </w:rPr>
              <w:t>Période de Conservation</w:t>
            </w:r>
            <w:r>
              <w:rPr>
                <w:color w:val="000000"/>
              </w:rPr>
              <w:t> </w:t>
            </w:r>
            <w:r>
              <w:rPr>
                <w:rFonts w:ascii="Arial;sans-serif" w:hAnsi="Arial;sans-serif"/>
                <w:b w:val="false"/>
                <w:color w:val="000000"/>
                <w:sz w:val="20"/>
              </w:rPr>
              <w:t>» a le sens qui lui est attribué à l’article 6 du Sous-Plan.</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w:t>
            </w:r>
            <w:r>
              <w:rPr>
                <w:rFonts w:ascii="Arial;sans-serif" w:hAnsi="Arial;sans-serif"/>
                <w:b/>
                <w:color w:val="000000"/>
                <w:sz w:val="20"/>
              </w:rPr>
              <w:t>Plan</w:t>
            </w:r>
            <w:r>
              <w:rPr>
                <w:color w:val="000000"/>
              </w:rPr>
              <w:t> </w:t>
            </w:r>
            <w:r>
              <w:rPr>
                <w:rFonts w:ascii="Arial;sans-serif" w:hAnsi="Arial;sans-serif"/>
                <w:b w:val="false"/>
                <w:color w:val="000000"/>
                <w:sz w:val="20"/>
              </w:rPr>
              <w:t>» a le sens qui lui est attribué à l’article 1 du Sous-Plan.</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w:t>
            </w:r>
            <w:r>
              <w:rPr>
                <w:rFonts w:ascii="Arial;sans-serif" w:hAnsi="Arial;sans-serif"/>
                <w:b/>
                <w:color w:val="000000"/>
                <w:sz w:val="20"/>
              </w:rPr>
              <w:t>Prix d’Exercice</w:t>
            </w:r>
            <w:r>
              <w:rPr>
                <w:color w:val="000000"/>
              </w:rPr>
              <w:t> </w:t>
            </w:r>
            <w:r>
              <w:rPr>
                <w:rFonts w:ascii="Arial;sans-serif" w:hAnsi="Arial;sans-serif"/>
                <w:b w:val="false"/>
                <w:color w:val="000000"/>
                <w:sz w:val="20"/>
              </w:rPr>
              <w:t>» a le sens qui lui est attribué à l’article 3.4 du Sous-Plan.</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w:t>
            </w:r>
            <w:r>
              <w:rPr>
                <w:rFonts w:ascii="Arial;sans-serif" w:hAnsi="Arial;sans-serif"/>
                <w:b/>
                <w:color w:val="000000"/>
                <w:sz w:val="20"/>
              </w:rPr>
              <w:t>Protection des Données</w:t>
            </w:r>
            <w:r>
              <w:rPr>
                <w:color w:val="000000"/>
              </w:rPr>
              <w:t> </w:t>
            </w:r>
            <w:r>
              <w:rPr>
                <w:rFonts w:ascii="Arial;sans-serif" w:hAnsi="Arial;sans-serif"/>
                <w:b w:val="false"/>
                <w:color w:val="000000"/>
                <w:sz w:val="20"/>
              </w:rPr>
              <w:t>» a le sens qui lui est attribué à l’article 8 du Sous-Plan.</w:t>
            </w:r>
          </w:p>
          <w:p>
            <w:pPr>
              <w:pStyle w:val="TableContents"/>
              <w:spacing w:lineRule="auto" w:line="319" w:before="0" w:after="200"/>
              <w:ind w:left="0" w:right="0" w:hanging="360"/>
              <w:jc w:val="both"/>
              <w:rPr/>
            </w:pPr>
            <w:r>
              <w:rPr>
                <w:color w:val="000000"/>
              </w:rPr>
              <w:t>–</w:t>
            </w:r>
            <w:r>
              <w:rPr>
                <w:rFonts w:ascii="Arial;sans-serif" w:hAnsi="Arial;sans-serif"/>
                <w:b w:val="false"/>
                <w:color w:val="000000"/>
                <w:sz w:val="20"/>
              </w:rPr>
              <w:t>« </w:t>
            </w:r>
            <w:r>
              <w:rPr>
                <w:rFonts w:ascii="Arial;sans-serif" w:hAnsi="Arial;sans-serif"/>
                <w:b/>
                <w:color w:val="000000"/>
                <w:sz w:val="20"/>
              </w:rPr>
              <w:t>Salarié</w:t>
            </w:r>
            <w:r>
              <w:rPr>
                <w:color w:val="000000"/>
              </w:rPr>
              <w:t> </w:t>
            </w:r>
            <w:r>
              <w:rPr>
                <w:rFonts w:ascii="Arial;sans-serif" w:hAnsi="Arial;sans-serif"/>
                <w:b w:val="false"/>
                <w:color w:val="000000"/>
                <w:sz w:val="20"/>
              </w:rPr>
              <w:t>» désigne une personne physique, résidente française, salarié de tout Affilié Pertinent.</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w:t>
            </w:r>
            <w:r>
              <w:rPr>
                <w:rFonts w:ascii="Arial;sans-serif" w:hAnsi="Arial;sans-serif"/>
                <w:b/>
                <w:color w:val="000000"/>
                <w:sz w:val="20"/>
              </w:rPr>
              <w:t>Société</w:t>
            </w:r>
            <w:r>
              <w:rPr>
                <w:color w:val="000000"/>
              </w:rPr>
              <w:t> </w:t>
            </w:r>
            <w:r>
              <w:rPr>
                <w:rFonts w:ascii="Arial;sans-serif" w:hAnsi="Arial;sans-serif"/>
                <w:b w:val="false"/>
                <w:color w:val="000000"/>
                <w:sz w:val="20"/>
              </w:rPr>
              <w:t>» désigne la société Asana, Inc.</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w:t>
            </w:r>
            <w:r>
              <w:rPr>
                <w:rFonts w:ascii="Arial;sans-serif" w:hAnsi="Arial;sans-serif"/>
                <w:b/>
                <w:color w:val="000000"/>
                <w:sz w:val="20"/>
              </w:rPr>
              <w:t>Sous-Plan</w:t>
            </w:r>
            <w:r>
              <w:rPr>
                <w:color w:val="000000"/>
              </w:rPr>
              <w:t> </w:t>
            </w:r>
            <w:r>
              <w:rPr>
                <w:rFonts w:ascii="Arial;sans-serif" w:hAnsi="Arial;sans-serif"/>
                <w:b w:val="false"/>
                <w:color w:val="000000"/>
                <w:sz w:val="20"/>
              </w:rPr>
              <w:t>» has the meaning set forth above.</w:t>
            </w:r>
          </w:p>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Tout autre mot commençant par une majuscule aura la signification qui lui est attribuée dans le Plan.</w:t>
            </w:r>
          </w:p>
        </w:tc>
      </w:tr>
    </w:tbl>
    <w:p>
      <w:pPr>
        <w:pStyle w:val="TextBody"/>
        <w:spacing w:before="0" w:after="0"/>
        <w:rPr/>
      </w:pPr>
      <w:r>
        <w:br w:type="page"/>
      </w: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50520"/>
                <wp:effectExtent l="0" t="0" r="0" b="0"/>
                <wp:wrapNone/>
                <wp:docPr id="250" name="Frame14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spacing w:before="0" w:after="20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015"/>
        <w:gridCol w:w="1483"/>
        <w:gridCol w:w="1490"/>
        <w:gridCol w:w="1775"/>
        <w:gridCol w:w="1423"/>
        <w:gridCol w:w="2019"/>
      </w:tblGrid>
      <w:tr>
        <w:trPr/>
        <w:tc>
          <w:tcPr>
            <w:tcW w:w="2015" w:type="dxa"/>
            <w:tcBorders/>
            <w:shd w:fill="auto" w:val="clear"/>
            <w:vAlign w:val="center"/>
          </w:tcPr>
          <w:p>
            <w:pPr>
              <w:pStyle w:val="TableContents"/>
              <w:spacing w:before="0" w:after="283"/>
              <w:rPr>
                <w:sz w:val="4"/>
                <w:szCs w:val="4"/>
              </w:rPr>
            </w:pPr>
            <w:r>
              <w:rPr>
                <w:sz w:val="4"/>
                <w:szCs w:val="4"/>
              </w:rPr>
            </w:r>
          </w:p>
        </w:tc>
        <w:tc>
          <w:tcPr>
            <w:tcW w:w="1483"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c>
          <w:tcPr>
            <w:tcW w:w="2019" w:type="dxa"/>
            <w:tcBorders/>
            <w:shd w:fill="auto" w:val="clear"/>
            <w:vAlign w:val="center"/>
          </w:tcPr>
          <w:p>
            <w:pPr>
              <w:pStyle w:val="TableContents"/>
              <w:spacing w:before="0" w:after="283"/>
              <w:rPr>
                <w:sz w:val="4"/>
                <w:szCs w:val="4"/>
              </w:rPr>
            </w:pPr>
            <w:r>
              <w:rPr>
                <w:sz w:val="4"/>
                <w:szCs w:val="4"/>
              </w:rPr>
            </w:r>
          </w:p>
        </w:tc>
      </w:tr>
      <w:tr>
        <w:trPr/>
        <w:tc>
          <w:tcPr>
            <w:tcW w:w="498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2.     </w:t>
            </w:r>
            <w:r>
              <w:rPr>
                <w:rFonts w:ascii="Arial;sans-serif" w:hAnsi="Arial;sans-serif"/>
                <w:b/>
                <w:color w:val="000000"/>
                <w:sz w:val="20"/>
              </w:rPr>
              <w:t>Applicable law</w:t>
            </w:r>
          </w:p>
        </w:tc>
        <w:tc>
          <w:tcPr>
            <w:tcW w:w="5217"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left"/>
              <w:rPr/>
            </w:pPr>
            <w:r>
              <w:rPr>
                <w:rFonts w:ascii="Arial;sans-serif" w:hAnsi="Arial;sans-serif"/>
                <w:b w:val="false"/>
                <w:color w:val="000000"/>
                <w:sz w:val="20"/>
              </w:rPr>
              <w:t>2.     </w:t>
            </w:r>
            <w:r>
              <w:rPr>
                <w:rFonts w:ascii="Arial;sans-serif" w:hAnsi="Arial;sans-serif"/>
                <w:b/>
                <w:color w:val="000000"/>
                <w:sz w:val="20"/>
              </w:rPr>
              <w:t>Lois applicables</w:t>
            </w:r>
          </w:p>
        </w:tc>
      </w:tr>
      <w:tr>
        <w:trPr/>
        <w:tc>
          <w:tcPr>
            <w:tcW w:w="498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Sub-Plan has been prepared and shall be interpreted according to the following French laws and regulations:</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xml:space="preserve">articles L.225-177 </w:t>
            </w:r>
            <w:r>
              <w:rPr>
                <w:rFonts w:ascii="Arial;sans-serif" w:hAnsi="Arial;sans-serif"/>
                <w:b w:val="false"/>
                <w:i/>
                <w:color w:val="000000"/>
                <w:sz w:val="20"/>
              </w:rPr>
              <w:t>et seq.</w:t>
            </w:r>
            <w:r>
              <w:rPr>
                <w:color w:val="000000"/>
              </w:rPr>
              <w:t xml:space="preserve"> </w:t>
            </w:r>
            <w:r>
              <w:rPr>
                <w:rFonts w:ascii="Arial;sans-serif" w:hAnsi="Arial;sans-serif"/>
                <w:b w:val="false"/>
                <w:color w:val="000000"/>
                <w:sz w:val="20"/>
              </w:rPr>
              <w:t>of the French commercial code; and</w:t>
            </w:r>
          </w:p>
          <w:p>
            <w:pPr>
              <w:pStyle w:val="TableContents"/>
              <w:spacing w:lineRule="auto" w:line="319" w:before="0" w:after="200"/>
              <w:ind w:left="0" w:right="0" w:hanging="360"/>
              <w:jc w:val="both"/>
              <w:rPr/>
            </w:pPr>
            <w:r>
              <w:rPr>
                <w:color w:val="000000"/>
              </w:rPr>
              <w:t>–</w:t>
            </w:r>
            <w:r>
              <w:rPr>
                <w:rFonts w:ascii="Arial;sans-serif" w:hAnsi="Arial;sans-serif"/>
                <w:b w:val="false"/>
                <w:color w:val="000000"/>
                <w:sz w:val="20"/>
              </w:rPr>
              <w:t xml:space="preserve">articles L.225-197-1 </w:t>
            </w:r>
            <w:r>
              <w:rPr>
                <w:rFonts w:ascii="Arial;sans-serif" w:hAnsi="Arial;sans-serif"/>
                <w:b w:val="false"/>
                <w:i/>
                <w:color w:val="000000"/>
                <w:sz w:val="20"/>
              </w:rPr>
              <w:t>et seq.</w:t>
            </w:r>
            <w:r>
              <w:rPr>
                <w:color w:val="000000"/>
              </w:rPr>
              <w:t xml:space="preserve"> </w:t>
            </w:r>
            <w:r>
              <w:rPr>
                <w:rFonts w:ascii="Arial;sans-serif" w:hAnsi="Arial;sans-serif"/>
                <w:b w:val="false"/>
                <w:color w:val="000000"/>
                <w:sz w:val="20"/>
              </w:rPr>
              <w:t>of the French commercial code.</w:t>
            </w:r>
          </w:p>
        </w:tc>
        <w:tc>
          <w:tcPr>
            <w:tcW w:w="5217"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Le Sous-Plan a été établi et doit être interprété conformément aux lois et règlements français suivantes :</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xml:space="preserve">articles L.225-177 </w:t>
            </w:r>
            <w:r>
              <w:rPr>
                <w:rFonts w:ascii="Arial;sans-serif" w:hAnsi="Arial;sans-serif"/>
                <w:b w:val="false"/>
                <w:i/>
                <w:color w:val="000000"/>
                <w:sz w:val="20"/>
              </w:rPr>
              <w:t>et seq.</w:t>
            </w:r>
            <w:r>
              <w:rPr>
                <w:color w:val="000000"/>
              </w:rPr>
              <w:t xml:space="preserve"> </w:t>
            </w:r>
            <w:r>
              <w:rPr>
                <w:rFonts w:ascii="Arial;sans-serif" w:hAnsi="Arial;sans-serif"/>
                <w:b w:val="false"/>
                <w:color w:val="000000"/>
                <w:sz w:val="20"/>
              </w:rPr>
              <w:t>du Code de commerce; et</w:t>
            </w:r>
          </w:p>
          <w:p>
            <w:pPr>
              <w:pStyle w:val="TableContents"/>
              <w:spacing w:lineRule="auto" w:line="319" w:before="0" w:after="200"/>
              <w:ind w:left="0" w:right="0" w:hanging="360"/>
              <w:jc w:val="both"/>
              <w:rPr/>
            </w:pPr>
            <w:r>
              <w:rPr>
                <w:color w:val="000000"/>
              </w:rPr>
              <w:t>–</w:t>
            </w:r>
            <w:r>
              <w:rPr>
                <w:rFonts w:ascii="Arial;sans-serif" w:hAnsi="Arial;sans-serif"/>
                <w:b w:val="false"/>
                <w:color w:val="000000"/>
                <w:sz w:val="20"/>
              </w:rPr>
              <w:t xml:space="preserve">articles L.225-197-1 </w:t>
            </w:r>
            <w:r>
              <w:rPr>
                <w:rFonts w:ascii="Arial;sans-serif" w:hAnsi="Arial;sans-serif"/>
                <w:b w:val="false"/>
                <w:i/>
                <w:color w:val="000000"/>
                <w:sz w:val="20"/>
              </w:rPr>
              <w:t>et seq.</w:t>
            </w:r>
            <w:r>
              <w:rPr>
                <w:color w:val="000000"/>
              </w:rPr>
              <w:t xml:space="preserve"> </w:t>
            </w:r>
            <w:r>
              <w:rPr>
                <w:rFonts w:ascii="Arial;sans-serif" w:hAnsi="Arial;sans-serif"/>
                <w:b w:val="false"/>
                <w:color w:val="000000"/>
                <w:sz w:val="20"/>
              </w:rPr>
              <w:t>du Code de commerce.</w:t>
            </w:r>
          </w:p>
        </w:tc>
      </w:tr>
      <w:tr>
        <w:trPr/>
        <w:tc>
          <w:tcPr>
            <w:tcW w:w="498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as well as any other laws or regulations that may become applicable after the Sub-Plan was set up.</w:t>
            </w:r>
          </w:p>
        </w:tc>
        <w:tc>
          <w:tcPr>
            <w:tcW w:w="5217"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ainsi que toute autre loi ou tout autre règlement pouvant devenir applicable après la mise en place du Sous-Plan.</w:t>
            </w:r>
          </w:p>
        </w:tc>
      </w:tr>
      <w:tr>
        <w:trPr/>
        <w:tc>
          <w:tcPr>
            <w:tcW w:w="498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Following the requirements resulting from the above-mentioned applicable laws, the Board adopted this Sub-Plan authorizing the granting of a certain number of Awards to Participants giving them the right to acquire Common Stocks.</w:t>
            </w:r>
          </w:p>
        </w:tc>
        <w:tc>
          <w:tcPr>
            <w:tcW w:w="5217"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Conformément aux exigences découlant des lois applicables susmentionnées, le Conseil d'administration a adopté le présent Sous-Plan autorisant l'attribution d'un certain nombre d’Instruments aux Bénéficiaires leur donnant le droit d'acquérir des Actions Ordinaires.</w:t>
            </w:r>
          </w:p>
        </w:tc>
      </w:tr>
      <w:tr>
        <w:trPr/>
        <w:tc>
          <w:tcPr>
            <w:tcW w:w="4988"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c>
          <w:tcPr>
            <w:tcW w:w="5217"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spacing w:before="0" w:after="283"/>
              <w:rPr>
                <w:sz w:val="4"/>
                <w:szCs w:val="4"/>
              </w:rPr>
            </w:pPr>
            <w:r>
              <w:rPr>
                <w:sz w:val="4"/>
                <w:szCs w:val="4"/>
              </w:rPr>
            </w:r>
          </w:p>
        </w:tc>
      </w:tr>
      <w:tr>
        <w:trPr/>
        <w:tc>
          <w:tcPr>
            <w:tcW w:w="498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3.     </w:t>
            </w:r>
            <w:r>
              <w:rPr>
                <w:rFonts w:ascii="Arial;sans-serif" w:hAnsi="Arial;sans-serif"/>
                <w:b/>
                <w:color w:val="000000"/>
                <w:sz w:val="20"/>
              </w:rPr>
              <w:t>Description of Sub-Plan</w:t>
            </w:r>
          </w:p>
        </w:tc>
        <w:tc>
          <w:tcPr>
            <w:tcW w:w="5217"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left"/>
              <w:rPr/>
            </w:pPr>
            <w:r>
              <w:rPr>
                <w:rFonts w:ascii="Arial;sans-serif" w:hAnsi="Arial;sans-serif"/>
                <w:b w:val="false"/>
                <w:color w:val="000000"/>
                <w:sz w:val="20"/>
              </w:rPr>
              <w:t>3.     </w:t>
            </w:r>
            <w:r>
              <w:rPr>
                <w:rFonts w:ascii="Arial;sans-serif" w:hAnsi="Arial;sans-serif"/>
                <w:b/>
                <w:color w:val="000000"/>
                <w:sz w:val="20"/>
              </w:rPr>
              <w:t>Description du Sous-Plan</w:t>
            </w:r>
          </w:p>
        </w:tc>
      </w:tr>
      <w:tr>
        <w:trPr/>
        <w:tc>
          <w:tcPr>
            <w:tcW w:w="498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3.1    </w:t>
            </w:r>
            <w:r>
              <w:rPr>
                <w:rFonts w:ascii="Arial;sans-serif" w:hAnsi="Arial;sans-serif"/>
                <w:b/>
                <w:color w:val="000000"/>
                <w:sz w:val="20"/>
              </w:rPr>
              <w:t>Participants</w:t>
            </w:r>
          </w:p>
        </w:tc>
        <w:tc>
          <w:tcPr>
            <w:tcW w:w="5217"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left"/>
              <w:rPr/>
            </w:pPr>
            <w:r>
              <w:rPr>
                <w:rFonts w:ascii="Arial;sans-serif" w:hAnsi="Arial;sans-serif"/>
                <w:b w:val="false"/>
                <w:color w:val="000000"/>
                <w:sz w:val="20"/>
              </w:rPr>
              <w:t xml:space="preserve">3.1 </w:t>
            </w:r>
            <w:r>
              <w:rPr>
                <w:color w:val="000000"/>
              </w:rPr>
              <w:t>    </w:t>
            </w:r>
            <w:r>
              <w:rPr>
                <w:rFonts w:ascii="Arial;sans-serif" w:hAnsi="Arial;sans-serif"/>
                <w:b/>
                <w:color w:val="000000"/>
                <w:sz w:val="20"/>
              </w:rPr>
              <w:t>Bénéficiaires</w:t>
            </w:r>
          </w:p>
        </w:tc>
      </w:tr>
      <w:tr>
        <w:trPr/>
        <w:tc>
          <w:tcPr>
            <w:tcW w:w="498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Awards under the Sub-Plan shall be granted by the Board, or as the case may be by the Compensation Committee, at their discretion, exclusively to the following beneficiaries who shall hold less than 10% of the Common Stocks on the Grant Date:</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u w:val="single"/>
              </w:rPr>
              <w:t>with regards to Options</w:t>
            </w:r>
            <w:r>
              <w:rPr>
                <w:rFonts w:ascii="Arial;sans-serif" w:hAnsi="Arial;sans-serif"/>
                <w:b w:val="false"/>
                <w:color w:val="000000"/>
                <w:sz w:val="20"/>
              </w:rPr>
              <w:t>: to Employees and Officers of any Relevant Affiliate as provided for in Article L225-177 and L.225-185 of the French Commercial Code (the “</w:t>
            </w:r>
            <w:r>
              <w:rPr>
                <w:rFonts w:ascii="Arial;sans-serif" w:hAnsi="Arial;sans-serif"/>
                <w:b/>
                <w:color w:val="000000"/>
                <w:sz w:val="20"/>
              </w:rPr>
              <w:t>Option Participants</w:t>
            </w:r>
            <w:r>
              <w:rPr>
                <w:color w:val="000000"/>
              </w:rPr>
              <w:t>”</w:t>
            </w:r>
            <w:r>
              <w:rPr>
                <w:rFonts w:ascii="Arial;sans-serif" w:hAnsi="Arial;sans-serif"/>
                <w:b w:val="false"/>
                <w:color w:val="000000"/>
                <w:sz w:val="20"/>
              </w:rPr>
              <w:t>); and</w:t>
            </w:r>
          </w:p>
          <w:p>
            <w:pPr>
              <w:pStyle w:val="TableContents"/>
              <w:spacing w:lineRule="auto" w:line="319" w:before="0" w:after="200"/>
              <w:ind w:left="0" w:right="0" w:hanging="360"/>
              <w:jc w:val="both"/>
              <w:rPr/>
            </w:pPr>
            <w:r>
              <w:rPr>
                <w:color w:val="000000"/>
              </w:rPr>
              <w:t>–</w:t>
            </w:r>
            <w:r>
              <w:rPr>
                <w:rFonts w:ascii="Arial;sans-serif" w:hAnsi="Arial;sans-serif"/>
                <w:b w:val="false"/>
                <w:color w:val="000000"/>
                <w:sz w:val="20"/>
                <w:u w:val="single"/>
              </w:rPr>
              <w:t>with regards to RSUs</w:t>
            </w:r>
            <w:r>
              <w:rPr>
                <w:rFonts w:ascii="Arial;sans-serif" w:hAnsi="Arial;sans-serif"/>
                <w:b w:val="false"/>
                <w:color w:val="000000"/>
                <w:sz w:val="20"/>
              </w:rPr>
              <w:t>: to Employees and Officers of any Relevant Affiliate as provided for in Article L.225-197-1 of the French Commercial Code (the “</w:t>
            </w:r>
            <w:r>
              <w:rPr>
                <w:rFonts w:ascii="Arial;sans-serif" w:hAnsi="Arial;sans-serif"/>
                <w:b/>
                <w:color w:val="000000"/>
                <w:sz w:val="20"/>
              </w:rPr>
              <w:t>RSU Participants</w:t>
            </w:r>
            <w:r>
              <w:rPr>
                <w:color w:val="000000"/>
              </w:rPr>
              <w:t>”</w:t>
            </w:r>
            <w:r>
              <w:rPr>
                <w:rFonts w:ascii="Arial;sans-serif" w:hAnsi="Arial;sans-serif"/>
                <w:b w:val="false"/>
                <w:color w:val="000000"/>
                <w:sz w:val="20"/>
              </w:rPr>
              <w:t>).</w:t>
            </w:r>
          </w:p>
        </w:tc>
        <w:tc>
          <w:tcPr>
            <w:tcW w:w="5217"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Les Instruments seront exclusivement attribués ou octroyés par le Conseil d’administration, ou le cas échéant par le Comité des Rémunérations, à leur discrétion à des bénéficiaires détenant moins de 10% du capital de la Société à la Date d’Attribution, lesquels seront :</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u w:val="single"/>
              </w:rPr>
              <w:t>s’agissant des Options</w:t>
            </w:r>
            <w:r>
              <w:rPr>
                <w:color w:val="000000"/>
              </w:rPr>
              <w:t> </w:t>
            </w:r>
            <w:r>
              <w:rPr>
                <w:rFonts w:ascii="Arial;sans-serif" w:hAnsi="Arial;sans-serif"/>
                <w:b w:val="false"/>
                <w:color w:val="000000"/>
                <w:sz w:val="20"/>
              </w:rPr>
              <w:t>: à des Salariés et/ou Mandataire Sociaux de tout Affilié Pertinent dans les conditions et selon les modalités fixées par les articles L.225-177 et L.225-185 du Code de commerce (les « </w:t>
            </w:r>
            <w:r>
              <w:rPr>
                <w:rFonts w:ascii="Arial;sans-serif" w:hAnsi="Arial;sans-serif"/>
                <w:b/>
                <w:color w:val="000000"/>
                <w:sz w:val="20"/>
              </w:rPr>
              <w:t>Bénéficiaires d’Options</w:t>
            </w:r>
            <w:r>
              <w:rPr>
                <w:color w:val="000000"/>
              </w:rPr>
              <w:t> </w:t>
            </w:r>
            <w:r>
              <w:rPr>
                <w:rFonts w:ascii="Arial;sans-serif" w:hAnsi="Arial;sans-serif"/>
                <w:b w:val="false"/>
                <w:color w:val="000000"/>
                <w:sz w:val="20"/>
              </w:rPr>
              <w:t>»);</w:t>
            </w:r>
          </w:p>
          <w:p>
            <w:pPr>
              <w:pStyle w:val="TableContents"/>
              <w:spacing w:lineRule="auto" w:line="319" w:before="0" w:after="200"/>
              <w:ind w:left="0" w:right="0" w:hanging="360"/>
              <w:jc w:val="both"/>
              <w:rPr/>
            </w:pPr>
            <w:r>
              <w:rPr>
                <w:color w:val="000000"/>
              </w:rPr>
              <w:t>–</w:t>
            </w:r>
            <w:r>
              <w:rPr>
                <w:rFonts w:ascii="Arial;sans-serif" w:hAnsi="Arial;sans-serif"/>
                <w:b w:val="false"/>
                <w:color w:val="000000"/>
                <w:sz w:val="20"/>
                <w:u w:val="single"/>
              </w:rPr>
              <w:t>s’agissant des AGAs </w:t>
            </w:r>
            <w:r>
              <w:rPr>
                <w:rFonts w:ascii="Arial;sans-serif" w:hAnsi="Arial;sans-serif"/>
                <w:b w:val="false"/>
                <w:color w:val="000000"/>
                <w:sz w:val="20"/>
              </w:rPr>
              <w:t>: à des Salariés et/ou Mandataires Sociaux de tout Affilié Pertinent dans les conditions fixées par les articles L.225-197-1 du Code de commerce (les « </w:t>
            </w:r>
            <w:r>
              <w:rPr>
                <w:rFonts w:ascii="Arial;sans-serif" w:hAnsi="Arial;sans-serif"/>
                <w:b/>
                <w:color w:val="000000"/>
                <w:sz w:val="20"/>
              </w:rPr>
              <w:t>Bénéficiaires d’AGAs</w:t>
            </w:r>
            <w:r>
              <w:rPr>
                <w:color w:val="000000"/>
              </w:rPr>
              <w:t> </w:t>
            </w:r>
            <w:r>
              <w:rPr>
                <w:rFonts w:ascii="Arial;sans-serif" w:hAnsi="Arial;sans-serif"/>
                <w:b w:val="false"/>
                <w:color w:val="000000"/>
                <w:sz w:val="20"/>
              </w:rPr>
              <w:t>»).</w:t>
            </w:r>
          </w:p>
          <w:p>
            <w:pPr>
              <w:pStyle w:val="TableContents"/>
              <w:spacing w:before="0" w:after="0"/>
              <w:jc w:val="both"/>
              <w:rPr/>
            </w:pPr>
            <w:r>
              <w:rPr/>
            </w:r>
          </w:p>
        </w:tc>
      </w:tr>
      <w:tr>
        <w:trPr/>
        <w:tc>
          <w:tcPr>
            <w:tcW w:w="4988"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The total number of RSUs cannot exceed 10% of the Company’s share capital on the Grant Date.</w:t>
            </w:r>
          </w:p>
        </w:tc>
        <w:tc>
          <w:tcPr>
            <w:tcW w:w="5217"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Le nombre total des Actions attribuées gratuitement ne peut excéder 10% du capital de la Société à leur Date d’Attribution.</w:t>
            </w:r>
          </w:p>
        </w:tc>
      </w:tr>
    </w:tbl>
    <w:p>
      <w:pPr>
        <w:pStyle w:val="TextBody"/>
        <w:spacing w:before="0" w:after="0"/>
        <w:rPr/>
      </w:pPr>
      <w:r>
        <w:br w:type="page"/>
      </w: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50520"/>
                <wp:effectExtent l="0" t="0" r="0" b="0"/>
                <wp:wrapNone/>
                <wp:docPr id="251" name="Frame14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spacing w:before="0" w:after="20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016"/>
        <w:gridCol w:w="1513"/>
        <w:gridCol w:w="1520"/>
        <w:gridCol w:w="1754"/>
        <w:gridCol w:w="1405"/>
        <w:gridCol w:w="1997"/>
      </w:tblGrid>
      <w:tr>
        <w:trPr/>
        <w:tc>
          <w:tcPr>
            <w:tcW w:w="2016" w:type="dxa"/>
            <w:tcBorders/>
            <w:shd w:fill="auto" w:val="clear"/>
            <w:vAlign w:val="center"/>
          </w:tcPr>
          <w:p>
            <w:pPr>
              <w:pStyle w:val="TableContents"/>
              <w:spacing w:before="0" w:after="283"/>
              <w:rPr>
                <w:sz w:val="4"/>
                <w:szCs w:val="4"/>
              </w:rPr>
            </w:pPr>
            <w:r>
              <w:rPr>
                <w:sz w:val="4"/>
                <w:szCs w:val="4"/>
              </w:rPr>
            </w:r>
          </w:p>
        </w:tc>
        <w:tc>
          <w:tcPr>
            <w:tcW w:w="1513" w:type="dxa"/>
            <w:tcBorders/>
            <w:shd w:fill="auto" w:val="clear"/>
            <w:vAlign w:val="center"/>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1754"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1997" w:type="dxa"/>
            <w:tcBorders/>
            <w:shd w:fill="auto" w:val="clear"/>
            <w:vAlign w:val="center"/>
          </w:tcPr>
          <w:p>
            <w:pPr>
              <w:pStyle w:val="TableContents"/>
              <w:spacing w:before="0" w:after="283"/>
              <w:rPr>
                <w:sz w:val="4"/>
                <w:szCs w:val="4"/>
              </w:rPr>
            </w:pPr>
            <w:r>
              <w:rPr>
                <w:sz w:val="4"/>
                <w:szCs w:val="4"/>
              </w:rPr>
            </w:r>
          </w:p>
        </w:tc>
      </w:tr>
      <w:tr>
        <w:trPr/>
        <w:tc>
          <w:tcPr>
            <w:tcW w:w="504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Any modifications to the Company’s capital that could occur during the existence period of the Options and/or the RSUs will have no impact on the number of Common Stocks to be purchased or issued under the Options, and/or delivered under the RSUs; however, if as a result of those modifications, Common Stocks to be resulting from the Options and RSUs would be in excess of 10% of the Company’s capital, the number of Common Stocks that could result from the Options and the RSUs shall be reduced to below this maximum level of 10% of the capital.</w:t>
            </w:r>
          </w:p>
        </w:tc>
        <w:tc>
          <w:tcPr>
            <w:tcW w:w="515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Les modifications du capital d’Asana, Inc. pouvant intervenir pendant la période d’allocation des Options et/ ou des AGAs n’auront aucune incidence sur le nombre d’Actions Ordinaires qui sera acheté ou émise dans le cadre des Options, et/ou livré dans le cadre des AGAs; cependant, si ces modifications ont pour conséquence que lesdites Actions Ordinaires pouvant résulter des Options et des AGAs dépassent le seuil de 10% du capital, le nombre d’Actions Ordinaires pouvant donc en résulter sera réduit à due proportion pour atteindre ce pourcentage de 10% du capital.</w:t>
            </w:r>
          </w:p>
        </w:tc>
      </w:tr>
      <w:tr>
        <w:trPr/>
        <w:tc>
          <w:tcPr>
            <w:tcW w:w="504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3.2    </w:t>
            </w:r>
            <w:r>
              <w:rPr>
                <w:rFonts w:ascii="Arial;sans-serif" w:hAnsi="Arial;sans-serif"/>
                <w:b/>
                <w:color w:val="000000"/>
                <w:sz w:val="20"/>
              </w:rPr>
              <w:t>Conditions for grant of Options and RSUs</w:t>
            </w:r>
          </w:p>
        </w:tc>
        <w:tc>
          <w:tcPr>
            <w:tcW w:w="515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left"/>
              <w:rPr/>
            </w:pPr>
            <w:r>
              <w:rPr>
                <w:rFonts w:ascii="Arial;sans-serif" w:hAnsi="Arial;sans-serif"/>
                <w:b w:val="false"/>
                <w:color w:val="000000"/>
                <w:sz w:val="20"/>
              </w:rPr>
              <w:t>3.2    </w:t>
            </w:r>
            <w:r>
              <w:rPr>
                <w:rFonts w:ascii="Arial;sans-serif" w:hAnsi="Arial;sans-serif"/>
                <w:b/>
                <w:color w:val="000000"/>
                <w:sz w:val="20"/>
              </w:rPr>
              <w:t>Conditions de l'attribution des Options et des AGAs</w:t>
            </w:r>
          </w:p>
        </w:tc>
      </w:tr>
      <w:tr>
        <w:trPr/>
        <w:tc>
          <w:tcPr>
            <w:tcW w:w="504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The Awards under the Sub-Plan will be granted to Employees and Officers by the Board, or as the case may be, by the Compensation Committee.</w:t>
            </w:r>
          </w:p>
        </w:tc>
        <w:tc>
          <w:tcPr>
            <w:tcW w:w="515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Les Instruments au titre du Sous-Plan seront attribués aux Salariés et Mandataires Sociaux par le Conseil d’administration, ou le cas échéant par le Comité des Rémunérations.</w:t>
            </w:r>
          </w:p>
        </w:tc>
      </w:tr>
      <w:tr>
        <w:trPr/>
        <w:tc>
          <w:tcPr>
            <w:tcW w:w="504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The Options give the relevant Employees and Officers the right to subscribe for or buy Common Stocks under the conditions set forth below.</w:t>
            </w:r>
          </w:p>
        </w:tc>
        <w:tc>
          <w:tcPr>
            <w:tcW w:w="515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Les Options donnent aux Salariés et Mandataires Sociaux le droit de souscrire ou d'acheter des Actions Ordinaires en vertu des conditions prévues ci-dessous.</w:t>
            </w:r>
          </w:p>
        </w:tc>
      </w:tr>
      <w:tr>
        <w:trPr/>
        <w:tc>
          <w:tcPr>
            <w:tcW w:w="504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The RSUs give the relevant Employees and Officers the right to be delivered with Common Stocks under the conditions set forth below.</w:t>
            </w:r>
          </w:p>
        </w:tc>
        <w:tc>
          <w:tcPr>
            <w:tcW w:w="515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Les AGAs donnent aux Salariés et Mandataires Sociaux le droit de se voir attribuer gratuitement des Actions Ordinaires en vertu des conditions prévues ci-dessous.</w:t>
            </w:r>
          </w:p>
        </w:tc>
      </w:tr>
      <w:tr>
        <w:trPr/>
        <w:tc>
          <w:tcPr>
            <w:tcW w:w="504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3.3    </w:t>
            </w:r>
            <w:r>
              <w:rPr>
                <w:rFonts w:ascii="Arial;sans-serif" w:hAnsi="Arial;sans-serif"/>
                <w:b/>
                <w:color w:val="000000"/>
                <w:sz w:val="20"/>
              </w:rPr>
              <w:t>Common Stock subject to the Sub-Plan</w:t>
            </w:r>
          </w:p>
        </w:tc>
        <w:tc>
          <w:tcPr>
            <w:tcW w:w="515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left"/>
              <w:rPr/>
            </w:pPr>
            <w:r>
              <w:rPr>
                <w:rFonts w:ascii="Arial;sans-serif" w:hAnsi="Arial;sans-serif"/>
                <w:b w:val="false"/>
                <w:color w:val="000000"/>
                <w:sz w:val="20"/>
              </w:rPr>
              <w:t>III.3    </w:t>
            </w:r>
            <w:r>
              <w:rPr>
                <w:rFonts w:ascii="Arial;sans-serif" w:hAnsi="Arial;sans-serif"/>
                <w:b/>
                <w:color w:val="000000"/>
                <w:sz w:val="20"/>
              </w:rPr>
              <w:t>Actions soumises aux stipulations du Sous-Plan</w:t>
            </w:r>
          </w:p>
        </w:tc>
      </w:tr>
      <w:tr>
        <w:trPr/>
        <w:tc>
          <w:tcPr>
            <w:tcW w:w="504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 any case, the total number of Awards granted to Participants under the Sub-Plan cannot give right to subscribe to Company’s shares in excess of 1/3rd of the Company’s share capital.</w:t>
            </w:r>
          </w:p>
        </w:tc>
        <w:tc>
          <w:tcPr>
            <w:tcW w:w="515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En tout état de cause, le nombre total d’Instruments attribuées aux Bénéficiaires en vertu du Plan ne peut donner le droit de souscrire à un nombre d’Actions de la Société supérieur au tiers du capital social de la Société.</w:t>
            </w:r>
          </w:p>
        </w:tc>
      </w:tr>
      <w:tr>
        <w:trPr/>
        <w:tc>
          <w:tcPr>
            <w:tcW w:w="504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This limit shall take into consideration any dilutive award not yet exercised resulting from other plans or sub-plans (past, present, or future) adopted by the Company (including the Plan).</w:t>
            </w:r>
          </w:p>
        </w:tc>
        <w:tc>
          <w:tcPr>
            <w:tcW w:w="515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Cette limite tiendra compte de tout instrument dilutif qui n'a pas encore été exercée au titre d'autres plans ou sous-plans (passés, présents ou futurs) mis en place par la Société.</w:t>
            </w:r>
          </w:p>
        </w:tc>
      </w:tr>
      <w:tr>
        <w:trPr/>
        <w:tc>
          <w:tcPr>
            <w:tcW w:w="504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3.4    </w:t>
            </w:r>
            <w:r>
              <w:rPr>
                <w:rFonts w:ascii="Arial;sans-serif" w:hAnsi="Arial;sans-serif"/>
                <w:b/>
                <w:color w:val="000000"/>
                <w:sz w:val="20"/>
              </w:rPr>
              <w:t>Option exercise price</w:t>
            </w:r>
          </w:p>
        </w:tc>
        <w:tc>
          <w:tcPr>
            <w:tcW w:w="515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left"/>
              <w:rPr/>
            </w:pPr>
            <w:r>
              <w:rPr>
                <w:rFonts w:ascii="Arial;sans-serif" w:hAnsi="Arial;sans-serif"/>
                <w:b w:val="false"/>
                <w:color w:val="000000"/>
                <w:sz w:val="20"/>
              </w:rPr>
              <w:t>3.4    </w:t>
            </w:r>
            <w:r>
              <w:rPr>
                <w:rFonts w:ascii="Arial;sans-serif" w:hAnsi="Arial;sans-serif"/>
                <w:b/>
                <w:color w:val="000000"/>
                <w:sz w:val="20"/>
              </w:rPr>
              <w:t>Prix d'exercice des Options</w:t>
            </w:r>
          </w:p>
        </w:tc>
      </w:tr>
      <w:tr>
        <w:trPr/>
        <w:tc>
          <w:tcPr>
            <w:tcW w:w="504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both"/>
              <w:rPr/>
            </w:pPr>
            <w:r>
              <w:rPr>
                <w:rFonts w:ascii="Arial;sans-serif" w:hAnsi="Arial;sans-serif"/>
                <w:b w:val="false"/>
                <w:color w:val="000000"/>
                <w:sz w:val="20"/>
              </w:rPr>
              <w:t>The Option exercise price shall be the Fair Market Value of the Common Stock on Grant Date, as determined by the Board, or as the case may be, by the Compensation Committee (the “</w:t>
            </w:r>
            <w:r>
              <w:rPr>
                <w:rFonts w:ascii="Arial;sans-serif" w:hAnsi="Arial;sans-serif"/>
                <w:b/>
                <w:color w:val="000000"/>
                <w:sz w:val="20"/>
              </w:rPr>
              <w:t>Exercise Price</w:t>
            </w:r>
            <w:r>
              <w:rPr>
                <w:color w:val="000000"/>
              </w:rPr>
              <w:t>”</w:t>
            </w:r>
            <w:r>
              <w:rPr>
                <w:rFonts w:ascii="Arial;sans-serif" w:hAnsi="Arial;sans-serif"/>
                <w:b w:val="false"/>
                <w:color w:val="000000"/>
                <w:sz w:val="20"/>
              </w:rPr>
              <w:t>).</w:t>
            </w:r>
          </w:p>
        </w:tc>
        <w:tc>
          <w:tcPr>
            <w:tcW w:w="515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both"/>
              <w:rPr/>
            </w:pPr>
            <w:r>
              <w:rPr>
                <w:rFonts w:ascii="Arial;sans-serif" w:hAnsi="Arial;sans-serif"/>
                <w:b w:val="false"/>
                <w:color w:val="000000"/>
                <w:sz w:val="20"/>
              </w:rPr>
              <w:t>Le prix d'exercice des Options correspondra à la Valeur Vénale des Actions Ordinaires à la Date d'Attribution, telle que déterminée par le Conseil d'administration, ou le cas échéant par le Comité des Rémunérations (le « </w:t>
            </w:r>
            <w:r>
              <w:rPr>
                <w:rFonts w:ascii="Arial;sans-serif" w:hAnsi="Arial;sans-serif"/>
                <w:b/>
                <w:color w:val="000000"/>
                <w:sz w:val="20"/>
              </w:rPr>
              <w:t>Prix d’Exercice</w:t>
            </w:r>
            <w:r>
              <w:rPr>
                <w:color w:val="000000"/>
              </w:rPr>
              <w:t> </w:t>
            </w:r>
            <w:r>
              <w:rPr>
                <w:rFonts w:ascii="Arial;sans-serif" w:hAnsi="Arial;sans-serif"/>
                <w:b w:val="false"/>
                <w:color w:val="000000"/>
                <w:sz w:val="20"/>
              </w:rPr>
              <w:t>»).</w:t>
            </w:r>
          </w:p>
        </w:tc>
      </w:tr>
      <w:tr>
        <w:trPr/>
        <w:tc>
          <w:tcPr>
            <w:tcW w:w="5049"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88" w:before="0" w:after="0"/>
              <w:jc w:val="left"/>
              <w:rPr/>
            </w:pPr>
            <w:r>
              <w:rPr>
                <w:rFonts w:ascii="Arial;sans-serif" w:hAnsi="Arial;sans-serif"/>
                <w:b w:val="false"/>
                <w:color w:val="000000"/>
                <w:sz w:val="20"/>
              </w:rPr>
              <w:t>3.5    </w:t>
            </w:r>
            <w:r>
              <w:rPr>
                <w:rFonts w:ascii="Arial;sans-serif" w:hAnsi="Arial;sans-serif"/>
                <w:b/>
                <w:color w:val="000000"/>
                <w:sz w:val="20"/>
              </w:rPr>
              <w:t>Exercise of Options and term of Options</w:t>
            </w:r>
          </w:p>
        </w:tc>
        <w:tc>
          <w:tcPr>
            <w:tcW w:w="5156"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288" w:before="0" w:after="0"/>
              <w:jc w:val="left"/>
              <w:rPr/>
            </w:pPr>
            <w:r>
              <w:rPr>
                <w:rFonts w:ascii="Arial;sans-serif" w:hAnsi="Arial;sans-serif"/>
                <w:b w:val="false"/>
                <w:color w:val="000000"/>
                <w:sz w:val="20"/>
              </w:rPr>
              <w:t>3.5    </w:t>
            </w:r>
            <w:r>
              <w:rPr>
                <w:rFonts w:ascii="Arial;sans-serif" w:hAnsi="Arial;sans-serif"/>
                <w:b/>
                <w:color w:val="000000"/>
                <w:sz w:val="20"/>
              </w:rPr>
              <w:t>Exercice des Options et durée des Options</w:t>
            </w:r>
          </w:p>
        </w:tc>
      </w:tr>
    </w:tbl>
    <w:p>
      <w:pPr>
        <w:pStyle w:val="TextBody"/>
        <w:spacing w:before="0" w:after="0"/>
        <w:rPr/>
      </w:pPr>
      <w:r>
        <w:br w:type="page"/>
      </w: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50520"/>
                <wp:effectExtent l="0" t="0" r="0" b="0"/>
                <wp:wrapNone/>
                <wp:docPr id="252" name="Frame14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spacing w:before="0" w:after="20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748"/>
        <w:gridCol w:w="1534"/>
        <w:gridCol w:w="1543"/>
        <w:gridCol w:w="1575"/>
        <w:gridCol w:w="1575"/>
        <w:gridCol w:w="2230"/>
      </w:tblGrid>
      <w:tr>
        <w:trPr/>
        <w:tc>
          <w:tcPr>
            <w:tcW w:w="1748"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c>
          <w:tcPr>
            <w:tcW w:w="1543" w:type="dxa"/>
            <w:tcBorders/>
            <w:shd w:fill="auto" w:val="clear"/>
            <w:vAlign w:val="center"/>
          </w:tcPr>
          <w:p>
            <w:pPr>
              <w:pStyle w:val="TableContents"/>
              <w:spacing w:before="0" w:after="283"/>
              <w:rPr>
                <w:sz w:val="4"/>
                <w:szCs w:val="4"/>
              </w:rPr>
            </w:pPr>
            <w:r>
              <w:rPr>
                <w:sz w:val="4"/>
                <w:szCs w:val="4"/>
              </w:rPr>
            </w:r>
          </w:p>
        </w:tc>
        <w:tc>
          <w:tcPr>
            <w:tcW w:w="1575" w:type="dxa"/>
            <w:tcBorders/>
            <w:shd w:fill="auto" w:val="clear"/>
            <w:vAlign w:val="center"/>
          </w:tcPr>
          <w:p>
            <w:pPr>
              <w:pStyle w:val="TableContents"/>
              <w:spacing w:before="0" w:after="283"/>
              <w:rPr>
                <w:sz w:val="4"/>
                <w:szCs w:val="4"/>
              </w:rPr>
            </w:pPr>
            <w:r>
              <w:rPr>
                <w:sz w:val="4"/>
                <w:szCs w:val="4"/>
              </w:rPr>
            </w:r>
          </w:p>
        </w:tc>
        <w:tc>
          <w:tcPr>
            <w:tcW w:w="1575" w:type="dxa"/>
            <w:tcBorders/>
            <w:shd w:fill="auto" w:val="clear"/>
            <w:vAlign w:val="center"/>
          </w:tcPr>
          <w:p>
            <w:pPr>
              <w:pStyle w:val="TableContents"/>
              <w:spacing w:before="0" w:after="283"/>
              <w:rPr>
                <w:sz w:val="4"/>
                <w:szCs w:val="4"/>
              </w:rPr>
            </w:pPr>
            <w:r>
              <w:rPr>
                <w:sz w:val="4"/>
                <w:szCs w:val="4"/>
              </w:rPr>
            </w:r>
          </w:p>
        </w:tc>
        <w:tc>
          <w:tcPr>
            <w:tcW w:w="2230" w:type="dxa"/>
            <w:tcBorders/>
            <w:shd w:fill="auto" w:val="clear"/>
            <w:vAlign w:val="center"/>
          </w:tcPr>
          <w:p>
            <w:pPr>
              <w:pStyle w:val="TableContents"/>
              <w:spacing w:before="0" w:after="283"/>
              <w:rPr>
                <w:sz w:val="4"/>
                <w:szCs w:val="4"/>
              </w:rPr>
            </w:pPr>
            <w:r>
              <w:rPr>
                <w:sz w:val="4"/>
                <w:szCs w:val="4"/>
              </w:rPr>
            </w:r>
          </w:p>
        </w:tc>
      </w:tr>
      <w:tr>
        <w:trPr/>
        <w:tc>
          <w:tcPr>
            <w:tcW w:w="482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Options shall vest and become exercisable by a Participant in accordance with the provisions of Section 3(f) of the Plan, subject to the following restrictions:</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any decision of the Board or, as the case may be, by the Compensation Committee, concerning a change in the vesting schedule applicable to the Options shall be applicable only if such decision is favourable to the Participant and subject to compliance with French laws; and</w:t>
            </w:r>
          </w:p>
          <w:p>
            <w:pPr>
              <w:pStyle w:val="TableContents"/>
              <w:spacing w:lineRule="auto" w:line="319" w:before="0" w:after="200"/>
              <w:ind w:left="0" w:right="0" w:hanging="360"/>
              <w:jc w:val="both"/>
              <w:rPr/>
            </w:pPr>
            <w:r>
              <w:rPr>
                <w:color w:val="000000"/>
              </w:rPr>
              <w:t>–</w:t>
            </w:r>
            <w:r>
              <w:rPr>
                <w:rFonts w:ascii="Arial;sans-serif" w:hAnsi="Arial;sans-serif"/>
                <w:b w:val="false"/>
                <w:color w:val="000000"/>
                <w:sz w:val="20"/>
              </w:rPr>
              <w:t>in the event of the death of a Participant during the term of his/her Options, then, according to provisions of article L.225-183 of French Commercial Code, the Options may be exercised by his/her estate at any time within a 6-month period following the date of the death; it being specified that this right shall not apply to Options subject to vesting conditions other than a holding period and that would not be met at the time of the death.</w:t>
            </w:r>
          </w:p>
        </w:tc>
        <w:tc>
          <w:tcPr>
            <w:tcW w:w="5380"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Les Options pourront être exercées par un Bénéficiaire conformément aux dispositions de l'article 3(f) du Plan, sous réserve des restrictions suivantes :</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toute décision du Conseil d'administration ou, le cas échéant du Comité des Rémunérations, concernant une suspension de l’exerçabilité des Options ne sera applicable que si cette décision est favorable aux Bénéficiaires sous réserve de leur conformité avec la loi française;</w:t>
            </w:r>
          </w:p>
          <w:p>
            <w:pPr>
              <w:pStyle w:val="TableContents"/>
              <w:spacing w:lineRule="auto" w:line="319" w:before="0" w:after="200"/>
              <w:ind w:left="0" w:right="0" w:hanging="360"/>
              <w:jc w:val="both"/>
              <w:rPr/>
            </w:pPr>
            <w:r>
              <w:rPr>
                <w:color w:val="000000"/>
              </w:rPr>
              <w:t>–</w:t>
            </w:r>
            <w:r>
              <w:rPr>
                <w:rFonts w:ascii="Arial;sans-serif" w:hAnsi="Arial;sans-serif"/>
                <w:b w:val="false"/>
                <w:color w:val="000000"/>
                <w:sz w:val="20"/>
              </w:rPr>
              <w:t>en cas de décès d'un Bénéficiaire pendant la durée de ses Options, lesdites Options pourront alors, selon les dispositions de l'article L.225-183 du Code de commerce, être exercées par sa succession à tout moment dans un délai de six mois suivant la date du décès; étant précisé que ce droit ne s'appliquera pas aux Options soumises à des conditions d’exerçabilité autres qu'une période de détention dont les conditions ne seraient pas remplies au moment du décès.</w:t>
            </w:r>
          </w:p>
        </w:tc>
      </w:tr>
    </w:tbl>
    <w:p>
      <w:pPr>
        <w:pStyle w:val="TextBody"/>
        <w:spacing w:before="0" w:after="0"/>
        <w:rPr/>
      </w:pPr>
      <w:r>
        <w:br w:type="page"/>
      </w: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350520"/>
                <wp:effectExtent l="0" t="0" r="0" b="0"/>
                <wp:wrapNone/>
                <wp:docPr id="253" name="Frame14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spacing w:before="0" w:after="20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185"/>
        <w:gridCol w:w="1490"/>
        <w:gridCol w:w="1499"/>
        <w:gridCol w:w="1787"/>
        <w:gridCol w:w="1343"/>
        <w:gridCol w:w="1901"/>
      </w:tblGrid>
      <w:tr>
        <w:trPr/>
        <w:tc>
          <w:tcPr>
            <w:tcW w:w="2185"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1787"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901" w:type="dxa"/>
            <w:tcBorders/>
            <w:shd w:fill="auto" w:val="clear"/>
            <w:vAlign w:val="center"/>
          </w:tcPr>
          <w:p>
            <w:pPr>
              <w:pStyle w:val="TableContents"/>
              <w:spacing w:before="0" w:after="283"/>
              <w:rPr>
                <w:sz w:val="4"/>
                <w:szCs w:val="4"/>
              </w:rPr>
            </w:pPr>
            <w:r>
              <w:rPr>
                <w:sz w:val="4"/>
                <w:szCs w:val="4"/>
              </w:rPr>
            </w:r>
          </w:p>
        </w:tc>
      </w:tr>
      <w:tr>
        <w:trPr/>
        <w:tc>
          <w:tcPr>
            <w:tcW w:w="51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Subject to the above, a Participant may exercise his Options only if he/she still has the status of an Employee or an Officer at the time of such exercise, which implies the following:</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in case of voluntary termination of employment/mandate by the Participant, said Participant may not exercise his/her Options if the exercise date takes place during any notice period (whether worked or not). The Participant will lose his/her exercise rights (and the Options shall lapse) as soon as his letter notifying his decision to leave his/her employment has been delivered to his/her employer;</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in case of retirement, the Participant will lose his/her rights to exercise his/her Options (and the Options shall lapse) on the day his professional activity stops; and</w:t>
            </w:r>
          </w:p>
          <w:p>
            <w:pPr>
              <w:pStyle w:val="TableContents"/>
              <w:spacing w:lineRule="auto" w:line="319" w:before="0" w:after="200"/>
              <w:ind w:left="0" w:right="0" w:hanging="360"/>
              <w:jc w:val="both"/>
              <w:rPr/>
            </w:pPr>
            <w:r>
              <w:rPr>
                <w:color w:val="000000"/>
              </w:rPr>
              <w:t>–</w:t>
            </w:r>
            <w:r>
              <w:rPr>
                <w:rFonts w:ascii="Arial;sans-serif" w:hAnsi="Arial;sans-serif"/>
                <w:b w:val="false"/>
                <w:color w:val="000000"/>
                <w:sz w:val="20"/>
              </w:rPr>
              <w:t>in case of termination of employment/mandate by the employer, the Participant’s rights to exercise his/her Options will be suspended as soon as the first letter starting the redundancy procedure is sent to him/her. If the redundancy is not confirmed, the Participant will recover his/her rights to exercise his/her Options. If, conversely, the redundancy is confirmed, the Participant may exercise his/her Options but only until the last day of work during the notice period (whether worked or not); he/she will lose any such rights (and the Options shall lapse) after that date.</w:t>
            </w:r>
          </w:p>
        </w:tc>
        <w:tc>
          <w:tcPr>
            <w:tcW w:w="503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Sous réserve de ce qui précède, un Bénéficiaire ne peut exercer ses Options que s'il possède toujours le statut de Salarié ou de Mandataire Social au moment de cet exercice, ce qui implique ce qui suit :</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en cas de cessation d'emploi/mandat volontaire par le Bénéficiaire, ce dernier ne peut exercer ses Options si la date de l'exercice intervient pendant une période de préavis (que le Bénéficiaire ait travaillé ou non pendant celle-ci). Ce Bénéficiaire perd ses droits à exercice dès que le courrier indiquant sa décision de quitter son emploi a été remis à son employeur;</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en cas de départ à la retraite, le Bénéficiaire perd ses droits d'exercer ses Options le jour où cesse son activité professionnelle; et</w:t>
            </w:r>
          </w:p>
          <w:p>
            <w:pPr>
              <w:pStyle w:val="TableContents"/>
              <w:spacing w:lineRule="auto" w:line="319" w:before="0" w:after="200"/>
              <w:ind w:left="0" w:right="0" w:hanging="360"/>
              <w:jc w:val="both"/>
              <w:rPr/>
            </w:pPr>
            <w:r>
              <w:rPr>
                <w:color w:val="000000"/>
              </w:rPr>
              <w:t>–</w:t>
            </w:r>
            <w:r>
              <w:rPr>
                <w:rFonts w:ascii="Arial;sans-serif" w:hAnsi="Arial;sans-serif"/>
                <w:b w:val="false"/>
                <w:color w:val="000000"/>
                <w:sz w:val="20"/>
              </w:rPr>
              <w:t>en cas de licenciement/révocation par l'employeur, les droits du Bénéficiaire d'exercer ses Options sont suspendus à compter de l’envoi de la convocation à un entretien préalable de licenciement. Si le licenciement n'est pas confirmé, le Bénéficiaire récupère ses droits d'exercice de ses Options. Si, à l'inverse, le licenciement est confirmé, le Bénéficiaire peut exercer ses Options, mais seulement jusqu'au dernier jour de travail pendant la période de préavis (que le Bénéficiaire travaille ou non); il perd lesdits droits après cette date.</w:t>
            </w:r>
          </w:p>
        </w:tc>
      </w:tr>
      <w:tr>
        <w:trPr/>
        <w:tc>
          <w:tcPr>
            <w:tcW w:w="51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pPr>
            <w:r>
              <w:rPr>
                <w:rFonts w:ascii="Arial;sans-serif" w:hAnsi="Arial;sans-serif"/>
                <w:b w:val="false"/>
                <w:color w:val="000000"/>
                <w:sz w:val="20"/>
              </w:rPr>
              <w:t>3.6    </w:t>
            </w:r>
            <w:r>
              <w:rPr>
                <w:rFonts w:ascii="Arial;sans-serif" w:hAnsi="Arial;sans-serif"/>
                <w:b/>
                <w:color w:val="000000"/>
                <w:sz w:val="20"/>
              </w:rPr>
              <w:t>Allocation and term of the RSUs</w:t>
            </w:r>
          </w:p>
        </w:tc>
        <w:tc>
          <w:tcPr>
            <w:tcW w:w="503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both"/>
              <w:rPr/>
            </w:pPr>
            <w:r>
              <w:rPr>
                <w:rFonts w:ascii="Arial;sans-serif" w:hAnsi="Arial;sans-serif"/>
                <w:b w:val="false"/>
                <w:color w:val="000000"/>
                <w:sz w:val="20"/>
              </w:rPr>
              <w:t>3.6    </w:t>
            </w:r>
            <w:r>
              <w:rPr>
                <w:rFonts w:ascii="Arial;sans-serif" w:hAnsi="Arial;sans-serif"/>
                <w:b/>
                <w:color w:val="000000"/>
                <w:sz w:val="20"/>
              </w:rPr>
              <w:t>Attribution et terme des AGAs</w:t>
            </w:r>
          </w:p>
        </w:tc>
      </w:tr>
      <w:tr>
        <w:trPr/>
        <w:tc>
          <w:tcPr>
            <w:tcW w:w="517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RSUs shall vest in accordance with the provisions of Section 4(f) of the Plan, subject to the following restrictions:</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any decision of the Board, or as the case may be of the Compensation Committee, concerning a suspension of the Vesting Period of the RSUs shall be applicable only if such decision is favourable to the Participant; and</w:t>
            </w:r>
          </w:p>
          <w:p>
            <w:pPr>
              <w:pStyle w:val="TableContents"/>
              <w:spacing w:lineRule="auto" w:line="319" w:before="0" w:after="200"/>
              <w:ind w:left="0" w:right="0" w:hanging="360"/>
              <w:jc w:val="both"/>
              <w:rPr/>
            </w:pPr>
            <w:r>
              <w:rPr>
                <w:color w:val="000000"/>
              </w:rPr>
              <w:t>–</w:t>
            </w:r>
            <w:r>
              <w:rPr>
                <w:rFonts w:ascii="Arial;sans-serif" w:hAnsi="Arial;sans-serif"/>
                <w:b w:val="false"/>
                <w:color w:val="000000"/>
                <w:sz w:val="20"/>
              </w:rPr>
              <w:t>in the event of the death of a Participant during the term of his/her RSUs, then, according to provisions of article L.225-197-3 of French Commercial Code, the vested RSUs may be settled by the issuance of Common Stock to his/her estate at any time within a 6-month period following the date of the death.</w:t>
            </w:r>
          </w:p>
        </w:tc>
        <w:tc>
          <w:tcPr>
            <w:tcW w:w="5031"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Les AGAs pourront être exercées par un Bénéficiaire conformément aux dispositions de l'article 4(f) du Plan, sous réserve des restrictions suivantes :</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toute décision du Conseil d'administration ou, le cas échéant, du Comité des Rémunérations, concernant une suspension de l’exerçabilité des AGAs ne sera applicable que si cette décision est favorable aux Bénéficiaires; et</w:t>
            </w:r>
          </w:p>
          <w:p>
            <w:pPr>
              <w:pStyle w:val="TableContents"/>
              <w:spacing w:lineRule="auto" w:line="319" w:before="0" w:after="200"/>
              <w:ind w:left="0" w:right="0" w:hanging="360"/>
              <w:jc w:val="both"/>
              <w:rPr/>
            </w:pPr>
            <w:r>
              <w:rPr>
                <w:color w:val="000000"/>
              </w:rPr>
              <w:t>–</w:t>
            </w:r>
            <w:r>
              <w:rPr>
                <w:rFonts w:ascii="Arial;sans-serif" w:hAnsi="Arial;sans-serif"/>
                <w:b w:val="false"/>
                <w:color w:val="000000"/>
                <w:sz w:val="20"/>
              </w:rPr>
              <w:t>en cas de décès d'un Bénéficiaire pendant la durée de ses AGAs, lesdites AGAs dont la Période d’Acquisition aura expiré pourront alors, selon les dispositions de l'article L.225-197-3 du Code de commerce français, être exercées par sa succession à tout moment dans un délai de six mois suivant la date du décès.</w:t>
            </w:r>
          </w:p>
        </w:tc>
      </w:tr>
    </w:tbl>
    <w:p>
      <w:pPr>
        <w:pStyle w:val="TextBody"/>
        <w:spacing w:before="0" w:after="0"/>
        <w:rPr/>
      </w:pPr>
      <w:r>
        <w:br w:type="page"/>
      </w: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350520"/>
                <wp:effectExtent l="0" t="0" r="0" b="0"/>
                <wp:wrapNone/>
                <wp:docPr id="254" name="Frame14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spacing w:before="0" w:after="20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252"/>
        <w:gridCol w:w="1358"/>
        <w:gridCol w:w="1366"/>
        <w:gridCol w:w="1958"/>
        <w:gridCol w:w="1354"/>
        <w:gridCol w:w="1917"/>
      </w:tblGrid>
      <w:tr>
        <w:trPr/>
        <w:tc>
          <w:tcPr>
            <w:tcW w:w="2252"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1958"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1917" w:type="dxa"/>
            <w:tcBorders/>
            <w:shd w:fill="auto" w:val="clear"/>
            <w:vAlign w:val="center"/>
          </w:tcPr>
          <w:p>
            <w:pPr>
              <w:pStyle w:val="TableContents"/>
              <w:spacing w:before="0" w:after="283"/>
              <w:rPr>
                <w:sz w:val="4"/>
                <w:szCs w:val="4"/>
              </w:rPr>
            </w:pPr>
            <w:r>
              <w:rPr>
                <w:sz w:val="4"/>
                <w:szCs w:val="4"/>
              </w:rPr>
            </w:r>
          </w:p>
        </w:tc>
      </w:tr>
      <w:tr>
        <w:trPr/>
        <w:tc>
          <w:tcPr>
            <w:tcW w:w="497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Subject to the above, a Participant may be delivered with Common Stocks resulting from the RSUs only if he/she still has the status of an Employee or an Officer at the time of such delivery, which implies the following:</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in case of voluntary termination of employment or mandate by the Participant, said Participant may not be delivered with Common Stocks if Delivery Date takes place during any notice period (whether worked or not). This Participant will lose his/her rights (and the RSUs shall lapse) as soon as his letter notifying his decision to leave his/her employment or mandate has been delivered to his/her employer;</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in case of retirement, the Participant will lose his/her rights to be delivered with Common Stocks under RSUs (and the RSUs shall lapse) on the day his/her professional activity stops; and</w:t>
            </w:r>
          </w:p>
          <w:p>
            <w:pPr>
              <w:pStyle w:val="TableContents"/>
              <w:spacing w:lineRule="auto" w:line="319" w:before="0" w:after="200"/>
              <w:ind w:left="0" w:right="0" w:hanging="360"/>
              <w:jc w:val="both"/>
              <w:rPr/>
            </w:pPr>
            <w:r>
              <w:rPr>
                <w:color w:val="000000"/>
              </w:rPr>
              <w:t>–</w:t>
            </w:r>
            <w:r>
              <w:rPr>
                <w:rFonts w:ascii="Arial;sans-serif" w:hAnsi="Arial;sans-serif"/>
                <w:b w:val="false"/>
                <w:color w:val="000000"/>
                <w:sz w:val="20"/>
              </w:rPr>
              <w:t>in case of termination of employment/mandate by the employer, the Participant’s rights to be delivered with Common Stocks under RSUs will be suspended as soon as the first letter starting the redundancy procedure is sent to him/her. If the redundancy is not confirmed, the Participant will recover his/her rights hereunder. If, conversely, the redundancy is confirmed, the Participant may be delivered with related Common Stocks under RSUs but only until the last day of work during the notice period (whether worked or not); he/she will lose any such rights (and the RSUs shall lapse) after that date.</w:t>
            </w:r>
          </w:p>
        </w:tc>
        <w:tc>
          <w:tcPr>
            <w:tcW w:w="5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0"/>
              <w:jc w:val="both"/>
              <w:rPr/>
            </w:pPr>
            <w:r>
              <w:rPr>
                <w:rFonts w:ascii="Arial;sans-serif" w:hAnsi="Arial;sans-serif"/>
                <w:b w:val="false"/>
                <w:color w:val="000000"/>
                <w:sz w:val="20"/>
              </w:rPr>
              <w:t xml:space="preserve">Sous réserve de ce qui précède, un Bénéficiaire ne peut recevoir livraison des Actions Ordinaires résultant des AGAs que s'il possède toujours le statut de Salarié ou de Mandataire Social au moment de cet exercice, </w:t>
            </w:r>
            <w:r>
              <w:rPr>
                <w:rFonts w:ascii="Arial;sans-serif" w:hAnsi="Arial;sans-serif"/>
                <w:b w:val="false"/>
                <w:i/>
                <w:color w:val="000000"/>
                <w:sz w:val="20"/>
              </w:rPr>
              <w:t>i.e.,</w:t>
            </w:r>
            <w:r>
              <w:rPr>
                <w:color w:val="000000"/>
              </w:rPr>
              <w:t> </w:t>
            </w:r>
            <w:r>
              <w:rPr>
                <w:rFonts w:ascii="Arial;sans-serif" w:hAnsi="Arial;sans-serif"/>
                <w:b w:val="false"/>
                <w:color w:val="000000"/>
                <w:sz w:val="20"/>
              </w:rPr>
              <w:t>:</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en cas de cessation d'emploi/mandat volontaire par le Bénéficiaire, ce dernier ne peut recevoir livraison des Actions Ordinaires résultant des AGAs si la Date de Livraison intervient pendant une période de préavis (que le Bénéficiaire ait travaillé ou non pendant celle-ci). Ce Bénéficiaire perd ses droits à livraison des Actions Ordinaires résultant des AGAs dès que le courrier indiquant sa décision de quitter son emploi a été remis à son employeur;</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en cas de départ à la retraite, le Bénéficiaire perd ses droits à livraison des Actions Ordinaires résultant des AGAs le jour où cesse son activité professionnelle; et</w:t>
            </w:r>
          </w:p>
          <w:p>
            <w:pPr>
              <w:pStyle w:val="TableContents"/>
              <w:spacing w:lineRule="auto" w:line="319" w:before="0" w:after="200"/>
              <w:ind w:left="0" w:right="0" w:hanging="360"/>
              <w:jc w:val="both"/>
              <w:rPr/>
            </w:pPr>
            <w:r>
              <w:rPr>
                <w:color w:val="000000"/>
              </w:rPr>
              <w:t>–</w:t>
            </w:r>
            <w:r>
              <w:rPr>
                <w:rFonts w:ascii="Arial;sans-serif" w:hAnsi="Arial;sans-serif"/>
                <w:b w:val="false"/>
                <w:color w:val="000000"/>
                <w:sz w:val="20"/>
              </w:rPr>
              <w:t xml:space="preserve">en cas de licenciement/révocation par l'employeur, les droits du Bénéficiaire à livraison des Actions Ordinaires résultant des AGAs sont suspendus à compter de l’envoi de la convocation à un entretien préalable de licenciement. Si le licenciement n'est pas confirmé, le Bénéficiaire récupère ses droits à livraison des Actions Ordinaires résultant des AGAs. Si, à l'inverse, le licenciement est confirmé, le Bénéficiaire récupère ses droits à livraison des Actions Ordinaires résultant des AGAs, mais seulement jusqu'au dernier jour de travail pendant la période de préavis (que le Bénéficiaire travaille ou non); il perd lesdits droits après cette date. </w:t>
            </w:r>
          </w:p>
        </w:tc>
      </w:tr>
      <w:tr>
        <w:trPr/>
        <w:tc>
          <w:tcPr>
            <w:tcW w:w="49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3.7</w:t>
            </w:r>
            <w:r>
              <w:rPr>
                <w:color w:val="000000"/>
              </w:rPr>
              <w:t>    </w:t>
            </w:r>
            <w:r>
              <w:rPr>
                <w:rFonts w:ascii="Arial;sans-serif" w:hAnsi="Arial;sans-serif"/>
                <w:b/>
                <w:color w:val="000000"/>
                <w:sz w:val="20"/>
              </w:rPr>
              <w:t>Adjustments upon changes in capital</w:t>
            </w:r>
          </w:p>
        </w:tc>
        <w:tc>
          <w:tcPr>
            <w:tcW w:w="5229"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left"/>
              <w:rPr/>
            </w:pPr>
            <w:r>
              <w:rPr>
                <w:rFonts w:ascii="Arial;sans-serif" w:hAnsi="Arial;sans-serif"/>
                <w:b w:val="false"/>
                <w:color w:val="000000"/>
                <w:sz w:val="20"/>
              </w:rPr>
              <w:t>3.7</w:t>
            </w:r>
            <w:r>
              <w:rPr>
                <w:color w:val="000000"/>
              </w:rPr>
              <w:t>    </w:t>
            </w:r>
            <w:r>
              <w:rPr>
                <w:rFonts w:ascii="Arial;sans-serif" w:hAnsi="Arial;sans-serif"/>
                <w:b/>
                <w:color w:val="000000"/>
                <w:sz w:val="20"/>
              </w:rPr>
              <w:t>Ajustements lors de variations de capital</w:t>
            </w:r>
          </w:p>
        </w:tc>
      </w:tr>
      <w:tr>
        <w:trPr/>
        <w:tc>
          <w:tcPr>
            <w:tcW w:w="497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Subject to the remaining provisions of this article 3.7, the number of Common Stocks to be acquired, or subscribed for under the Sub-Plan as well as (with regards to Options only) the Exercise Price, shall be definitely set upon the grant of an Award under the Sub-Plan to a Participant and shall remain unchanged while such Award remains outstanding.</w:t>
            </w:r>
          </w:p>
        </w:tc>
        <w:tc>
          <w:tcPr>
            <w:tcW w:w="5229"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288" w:before="0" w:after="0"/>
              <w:jc w:val="both"/>
              <w:rPr/>
            </w:pPr>
            <w:r>
              <w:rPr>
                <w:rFonts w:ascii="Arial;sans-serif" w:hAnsi="Arial;sans-serif"/>
                <w:b w:val="false"/>
                <w:color w:val="000000"/>
                <w:sz w:val="20"/>
              </w:rPr>
              <w:t>Les Actions Ordinaires à acquérir, ou souscrire, en vertu du Sous-Plan (</w:t>
            </w:r>
            <w:r>
              <w:rPr>
                <w:rFonts w:ascii="Arial;sans-serif" w:hAnsi="Arial;sans-serif"/>
                <w:b w:val="false"/>
                <w:i/>
                <w:color w:val="000000"/>
                <w:sz w:val="20"/>
              </w:rPr>
              <w:t>i.e.,</w:t>
            </w:r>
            <w:r>
              <w:rPr>
                <w:color w:val="000000"/>
              </w:rPr>
              <w:t xml:space="preserve"> </w:t>
            </w:r>
            <w:r>
              <w:rPr>
                <w:rFonts w:ascii="Arial;sans-serif" w:hAnsi="Arial;sans-serif"/>
                <w:b w:val="false"/>
                <w:color w:val="000000"/>
                <w:sz w:val="20"/>
              </w:rPr>
              <w:t>seulement s’agissant des Options) ainsi que le Prix d'Exercice seront définitivement fixés lors de la mise en œuvre dudit Sous-Plan à l’égard d’un Bénéficiaire concerné et resteront inchangés pendant la durée du Sous-Plan à l’égard du Bénéficiaire concerné.</w:t>
            </w:r>
          </w:p>
        </w:tc>
      </w:tr>
    </w:tbl>
    <w:p>
      <w:pPr>
        <w:pStyle w:val="TextBody"/>
        <w:spacing w:before="0" w:after="0"/>
        <w:rPr/>
      </w:pPr>
      <w:r>
        <w:br w:type="page"/>
      </w: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350520"/>
                <wp:effectExtent l="0" t="0" r="0" b="0"/>
                <wp:wrapNone/>
                <wp:docPr id="255" name="Frame14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spacing w:before="0" w:after="20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497"/>
        <w:gridCol w:w="1331"/>
        <w:gridCol w:w="1334"/>
        <w:gridCol w:w="1880"/>
        <w:gridCol w:w="1309"/>
        <w:gridCol w:w="1854"/>
      </w:tblGrid>
      <w:tr>
        <w:trPr/>
        <w:tc>
          <w:tcPr>
            <w:tcW w:w="2497"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1334" w:type="dxa"/>
            <w:tcBorders/>
            <w:shd w:fill="auto" w:val="clear"/>
            <w:vAlign w:val="center"/>
          </w:tcPr>
          <w:p>
            <w:pPr>
              <w:pStyle w:val="TableContents"/>
              <w:spacing w:before="0" w:after="283"/>
              <w:rPr>
                <w:sz w:val="4"/>
                <w:szCs w:val="4"/>
              </w:rPr>
            </w:pPr>
            <w:r>
              <w:rPr>
                <w:sz w:val="4"/>
                <w:szCs w:val="4"/>
              </w:rPr>
            </w:r>
          </w:p>
        </w:tc>
        <w:tc>
          <w:tcPr>
            <w:tcW w:w="1880"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1854" w:type="dxa"/>
            <w:tcBorders/>
            <w:shd w:fill="auto" w:val="clear"/>
            <w:vAlign w:val="center"/>
          </w:tcPr>
          <w:p>
            <w:pPr>
              <w:pStyle w:val="TableContents"/>
              <w:spacing w:before="0" w:after="283"/>
              <w:rPr>
                <w:sz w:val="4"/>
                <w:szCs w:val="4"/>
              </w:rPr>
            </w:pPr>
            <w:r>
              <w:rPr>
                <w:sz w:val="4"/>
                <w:szCs w:val="4"/>
              </w:rPr>
            </w:r>
          </w:p>
        </w:tc>
      </w:tr>
      <w:tr>
        <w:trPr/>
        <w:tc>
          <w:tcPr>
            <w:tcW w:w="516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However, applicable laws and notably article L.225-181 of the French Commercial Code provide for adjustment provisions in case of operations on share capital affecting the number of Common Stocks, such as capital increase by incorporation of reserves, capital decrease, issuance of preference shares etc.</w:t>
            </w:r>
          </w:p>
        </w:tc>
        <w:tc>
          <w:tcPr>
            <w:tcW w:w="5043"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Toutefois, la loi et notamment l'article L.225-181 du Code de commerce prévoient des dispositions d'ajustement en cas d'opérations sur le capital social affectant le nombre d'Actions Ordinaires telles que l'augmentation de capital par incorporation de réserves, la réduction de capital, l'émission d'actions de préférence, etc...</w:t>
            </w:r>
          </w:p>
        </w:tc>
      </w:tr>
      <w:tr>
        <w:trPr/>
        <w:tc>
          <w:tcPr>
            <w:tcW w:w="516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 such context, the Company shall make the necessary adjustments in order for Participants’ rights to be protected, as provided by Section L.225-181 and L.228-99 of the French Commercial Code.</w:t>
            </w:r>
          </w:p>
        </w:tc>
        <w:tc>
          <w:tcPr>
            <w:tcW w:w="5043"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Dans ces situations, la Société apportera les ajustements nécessaires afin que les droits des Bénéficiaires soient protégés dans les conditions prévues par les articles L.225-181 et L.228-99 du Code de commerce.</w:t>
            </w:r>
          </w:p>
        </w:tc>
      </w:tr>
      <w:tr>
        <w:trPr/>
        <w:tc>
          <w:tcPr>
            <w:tcW w:w="516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These adjustments may be provided through Exercise Price adjustment, or adjustment in the number of Options.</w:t>
            </w:r>
          </w:p>
        </w:tc>
        <w:tc>
          <w:tcPr>
            <w:tcW w:w="5043"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Ces ajustements peuvent être effectués par le biais d'un ajustement du Prix d’Exercice, ou d'un ajustement du nombre d’Options.</w:t>
            </w:r>
          </w:p>
        </w:tc>
      </w:tr>
      <w:tr>
        <w:trPr/>
        <w:tc>
          <w:tcPr>
            <w:tcW w:w="516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 order to make such adjustments, the Board or, as the case may be, the Compensation Committee, may temporarily suspend all exercise rights and settlement of RSUs under the Plan for a maximum 3-month period.</w:t>
            </w:r>
          </w:p>
        </w:tc>
        <w:tc>
          <w:tcPr>
            <w:tcW w:w="5043"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Afin de procéder à ces ajustements, le Conseil d'administration ou, le cas échéant, le Comité des Rémunérations, peut suspendre temporairement tous les droits d'exercice en vertu du Plan pour une période maximum de trois mois.</w:t>
            </w:r>
          </w:p>
        </w:tc>
      </w:tr>
      <w:tr>
        <w:trPr/>
        <w:tc>
          <w:tcPr>
            <w:tcW w:w="516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The Participants will then be informed in writing of any such adjustments made to their Awards.</w:t>
            </w:r>
          </w:p>
        </w:tc>
        <w:tc>
          <w:tcPr>
            <w:tcW w:w="5043"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Les Bénéficiaires en sont alors informés par écrit.</w:t>
            </w:r>
          </w:p>
        </w:tc>
      </w:tr>
      <w:tr>
        <w:trPr/>
        <w:tc>
          <w:tcPr>
            <w:tcW w:w="516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3.9    </w:t>
            </w:r>
            <w:r>
              <w:rPr>
                <w:rFonts w:ascii="Arial;sans-serif" w:hAnsi="Arial;sans-serif"/>
                <w:b/>
                <w:color w:val="000000"/>
                <w:sz w:val="20"/>
              </w:rPr>
              <w:t>Non-transferability of Awards</w:t>
            </w:r>
          </w:p>
        </w:tc>
        <w:tc>
          <w:tcPr>
            <w:tcW w:w="5043"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left"/>
              <w:rPr/>
            </w:pPr>
            <w:r>
              <w:rPr>
                <w:rFonts w:ascii="Arial;sans-serif" w:hAnsi="Arial;sans-serif"/>
                <w:b w:val="false"/>
                <w:color w:val="000000"/>
                <w:sz w:val="20"/>
              </w:rPr>
              <w:t>3.9    </w:t>
            </w:r>
            <w:r>
              <w:rPr>
                <w:rFonts w:ascii="Arial;sans-serif" w:hAnsi="Arial;sans-serif"/>
                <w:b/>
                <w:color w:val="000000"/>
                <w:sz w:val="20"/>
              </w:rPr>
              <w:t>Non-cessibilité des Instruments</w:t>
            </w:r>
          </w:p>
        </w:tc>
      </w:tr>
      <w:tr>
        <w:trPr/>
        <w:tc>
          <w:tcPr>
            <w:tcW w:w="516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The Awards under the Sub-Plan giving a right to acquire, subscribe or receive Common Stocks shall not be sold, transferred or disposed of in any manner except in the case of death of a Participant as provided in article 3.5 of the Sub-Plan above.</w:t>
            </w:r>
          </w:p>
        </w:tc>
        <w:tc>
          <w:tcPr>
            <w:tcW w:w="5043"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Les Instruments donnant droit d'acquérir des Actions Ordinaires sont incessibles et intransférables de quelque manière que ce soit, sauf en cas de décès d'un Bénéficiaire, ainsi qu’il est stipulé à l’article 3.5 du Sous-Plan</w:t>
            </w:r>
          </w:p>
        </w:tc>
      </w:tr>
      <w:tr>
        <w:trPr/>
        <w:tc>
          <w:tcPr>
            <w:tcW w:w="516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3.10    </w:t>
            </w:r>
            <w:r>
              <w:rPr>
                <w:rFonts w:ascii="Arial;sans-serif" w:hAnsi="Arial;sans-serif"/>
                <w:b/>
                <w:color w:val="000000"/>
                <w:sz w:val="20"/>
              </w:rPr>
              <w:t>Notice of grant of Options</w:t>
            </w:r>
          </w:p>
        </w:tc>
        <w:tc>
          <w:tcPr>
            <w:tcW w:w="5043"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left"/>
              <w:rPr/>
            </w:pPr>
            <w:r>
              <w:rPr>
                <w:rFonts w:ascii="Arial;sans-serif" w:hAnsi="Arial;sans-serif"/>
                <w:b w:val="false"/>
                <w:color w:val="000000"/>
                <w:sz w:val="20"/>
              </w:rPr>
              <w:t>3.10    </w:t>
            </w:r>
            <w:r>
              <w:rPr>
                <w:rFonts w:ascii="Arial;sans-serif" w:hAnsi="Arial;sans-serif"/>
                <w:b/>
                <w:color w:val="000000"/>
                <w:sz w:val="20"/>
              </w:rPr>
              <w:t>Avis d'attribution d’Options</w:t>
            </w:r>
          </w:p>
        </w:tc>
      </w:tr>
      <w:tr>
        <w:trPr/>
        <w:tc>
          <w:tcPr>
            <w:tcW w:w="5162"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Each Option Participant will receive an individual notice of grant indicating:</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the number of Options to be granted;</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the number of Common Stocks to be subscribed or purchased by him/her through exercise of his/her Options;</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the Exercise Price per Common Stock to be issued or purchased pursuant to the exercise of an Option; and</w:t>
            </w:r>
          </w:p>
          <w:p>
            <w:pPr>
              <w:pStyle w:val="TableContents"/>
              <w:spacing w:lineRule="auto" w:line="319" w:before="0" w:after="200"/>
              <w:ind w:left="0" w:right="0" w:hanging="360"/>
              <w:jc w:val="both"/>
              <w:rPr/>
            </w:pPr>
            <w:r>
              <w:rPr>
                <w:color w:val="000000"/>
              </w:rPr>
              <w:t>–</w:t>
            </w:r>
            <w:r>
              <w:rPr>
                <w:rFonts w:ascii="Arial;sans-serif" w:hAnsi="Arial;sans-serif"/>
                <w:b w:val="false"/>
                <w:color w:val="000000"/>
                <w:sz w:val="20"/>
              </w:rPr>
              <w:t>the period of time during which the Options may be exercised;</w:t>
            </w:r>
          </w:p>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which will be appended a copy of the Sub-Plan, to which the Plan will be appended.</w:t>
            </w:r>
          </w:p>
        </w:tc>
        <w:tc>
          <w:tcPr>
            <w:tcW w:w="5043"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Chaque Bénéficiaire d’Option recevra un avis d'attribution individuel indiquant : </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le nombre d’Optons allouées;</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le nombre d'Actions Ordinaires qu'il/elle pourra souscrire ou acheter en cas d’exercice de ses Options;</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le Prix d'Exercice par Actions Ordinaires qui seront émises ou achetées conformément à l'exercice d'une Option;</w:t>
            </w:r>
          </w:p>
          <w:p>
            <w:pPr>
              <w:pStyle w:val="TableContents"/>
              <w:spacing w:lineRule="auto" w:line="319" w:before="0" w:after="200"/>
              <w:ind w:left="0" w:right="0" w:hanging="360"/>
              <w:jc w:val="both"/>
              <w:rPr/>
            </w:pPr>
            <w:r>
              <w:rPr>
                <w:color w:val="000000"/>
              </w:rPr>
              <w:t>–</w:t>
            </w:r>
            <w:r>
              <w:rPr>
                <w:rFonts w:ascii="Arial;sans-serif" w:hAnsi="Arial;sans-serif"/>
                <w:b w:val="false"/>
                <w:color w:val="000000"/>
                <w:sz w:val="20"/>
              </w:rPr>
              <w:t>la période durant laquelle les Options pourront être exercées.</w:t>
            </w:r>
          </w:p>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à laquelle un exemplaire du Sous-Plan sera annexée, auquel le Plan sera annexé.</w:t>
            </w:r>
          </w:p>
        </w:tc>
      </w:tr>
    </w:tbl>
    <w:p>
      <w:pPr>
        <w:pStyle w:val="TextBody"/>
        <w:spacing w:before="0" w:after="0"/>
        <w:rPr/>
      </w:pPr>
      <w:r>
        <w:br w:type="page"/>
      </w: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350520"/>
                <wp:effectExtent l="0" t="0" r="0" b="0"/>
                <wp:wrapNone/>
                <wp:docPr id="256" name="Frame14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spacing w:before="0" w:after="20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928"/>
        <w:gridCol w:w="1659"/>
        <w:gridCol w:w="1667"/>
        <w:gridCol w:w="1631"/>
        <w:gridCol w:w="1372"/>
        <w:gridCol w:w="1948"/>
      </w:tblGrid>
      <w:tr>
        <w:trPr/>
        <w:tc>
          <w:tcPr>
            <w:tcW w:w="1928"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c>
          <w:tcPr>
            <w:tcW w:w="1667" w:type="dxa"/>
            <w:tcBorders/>
            <w:shd w:fill="auto" w:val="clear"/>
            <w:vAlign w:val="center"/>
          </w:tcPr>
          <w:p>
            <w:pPr>
              <w:pStyle w:val="TableContents"/>
              <w:spacing w:before="0" w:after="283"/>
              <w:rPr>
                <w:sz w:val="4"/>
                <w:szCs w:val="4"/>
              </w:rPr>
            </w:pPr>
            <w:r>
              <w:rPr>
                <w:sz w:val="4"/>
                <w:szCs w:val="4"/>
              </w:rPr>
            </w:r>
          </w:p>
        </w:tc>
        <w:tc>
          <w:tcPr>
            <w:tcW w:w="1631"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48" w:type="dxa"/>
            <w:tcBorders/>
            <w:shd w:fill="auto" w:val="clear"/>
            <w:vAlign w:val="center"/>
          </w:tcPr>
          <w:p>
            <w:pPr>
              <w:pStyle w:val="TableContents"/>
              <w:spacing w:before="0" w:after="283"/>
              <w:rPr>
                <w:sz w:val="4"/>
                <w:szCs w:val="4"/>
              </w:rPr>
            </w:pPr>
            <w:r>
              <w:rPr>
                <w:sz w:val="4"/>
                <w:szCs w:val="4"/>
              </w:rPr>
            </w:r>
          </w:p>
        </w:tc>
      </w:tr>
      <w:tr>
        <w:trPr/>
        <w:tc>
          <w:tcPr>
            <w:tcW w:w="52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The allocation of Options may be refused by the Participant, and the grant to such Participant shall be considered null and void if the documents described in the paragraph above are not countersigned by the Participant and returned to the Company within 1 month from the receipt of the above mentioned notice of grant by the Participant.</w:t>
            </w:r>
          </w:p>
        </w:tc>
        <w:tc>
          <w:tcPr>
            <w:tcW w:w="495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L’attribution des Options peut être refusé par le Bénéficiaire; et ladite attribution sera considérée comme caduc si les documents visés au paragraphe ci-dessus ne sont pas retournés contresignés à la Société dans le mois suivant la réception par le Bénéficiaire de l’avis susvisé.</w:t>
            </w:r>
          </w:p>
        </w:tc>
      </w:tr>
      <w:tr>
        <w:trPr/>
        <w:tc>
          <w:tcPr>
            <w:tcW w:w="52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By countersigning the above mentioned notice of grant, and the documents being appended to it, the Participant will irrevocably undertake to comply with all obligations pertaining to him/her under the Sub-Plan, and the Pan.</w:t>
            </w:r>
          </w:p>
        </w:tc>
        <w:tc>
          <w:tcPr>
            <w:tcW w:w="495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En contresignant l’avis susvisé et les documents y étant annexé, le Bénéficiaire s’engage fermement et irrévocablement à respecter toutes les obligations mises à sa charge au titre du Sous-Plan, et du Plan.</w:t>
            </w:r>
          </w:p>
        </w:tc>
      </w:tr>
      <w:tr>
        <w:trPr/>
        <w:tc>
          <w:tcPr>
            <w:tcW w:w="52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3.11    </w:t>
            </w:r>
            <w:r>
              <w:rPr>
                <w:rFonts w:ascii="Arial;sans-serif" w:hAnsi="Arial;sans-serif"/>
                <w:b/>
                <w:color w:val="000000"/>
                <w:sz w:val="20"/>
              </w:rPr>
              <w:t>Notice of Allocation of RSUs</w:t>
            </w:r>
          </w:p>
        </w:tc>
        <w:tc>
          <w:tcPr>
            <w:tcW w:w="495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left"/>
              <w:rPr/>
            </w:pPr>
            <w:r>
              <w:rPr>
                <w:rFonts w:ascii="Arial;sans-serif" w:hAnsi="Arial;sans-serif"/>
                <w:b w:val="false"/>
                <w:color w:val="000000"/>
                <w:sz w:val="20"/>
              </w:rPr>
              <w:t>3.11    </w:t>
            </w:r>
            <w:r>
              <w:rPr>
                <w:rFonts w:ascii="Arial;sans-serif" w:hAnsi="Arial;sans-serif"/>
                <w:b/>
                <w:color w:val="000000"/>
                <w:sz w:val="20"/>
              </w:rPr>
              <w:t>Avis d'attribution d’AGAs</w:t>
            </w:r>
          </w:p>
        </w:tc>
      </w:tr>
      <w:tr>
        <w:trPr/>
        <w:tc>
          <w:tcPr>
            <w:tcW w:w="52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Each Participant who is granted an RSU will receive an individual notice of allocation indicating:</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the number of Common Stocks to be received by him/her through settlement of his/her RSUs; and</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 xml:space="preserve">the RSU Vesting Period; </w:t>
            </w:r>
          </w:p>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which will be appended a copy of the Sub-Plan, to which the Plan will be appended.</w:t>
            </w:r>
          </w:p>
        </w:tc>
        <w:tc>
          <w:tcPr>
            <w:tcW w:w="495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Chaque Bénéficiaire d’AGAs recevra un avis d'attribution individuel indiquant : </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le nombre d'Actions Ordinaires qu'il/elle pourra souscrire ou acheter en cas d’exercice de ses AGAs; et</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la Période d’Acquisition des AGAs;</w:t>
            </w:r>
          </w:p>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à laquelle un exemplaire du Sous-Plan sera annexée, auquel le Plan sera annexé.</w:t>
            </w:r>
          </w:p>
        </w:tc>
      </w:tr>
      <w:tr>
        <w:trPr/>
        <w:tc>
          <w:tcPr>
            <w:tcW w:w="52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The allocation of RSUs may be refused by the Participant; and the grant shall be considered null and void if the documents described in the paragraph above are not countersigned by the Participant and returned to the Company within 1 month from the receipt of the above mentioned notice of allocation by the Participant.</w:t>
            </w:r>
          </w:p>
        </w:tc>
        <w:tc>
          <w:tcPr>
            <w:tcW w:w="495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L’attribution des AGAs peut être refusé par le Bénéficiaire; en tout état de cause, ladite attribution sera considérée comme caduque si les documents visés au paragraphe ci-dessus ne sont pas retournés contresignés à la Société dans le mois suivant la réception par le Bénéficiaire de l’avis susvisé.</w:t>
            </w:r>
          </w:p>
        </w:tc>
      </w:tr>
      <w:tr>
        <w:trPr/>
        <w:tc>
          <w:tcPr>
            <w:tcW w:w="52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By countersigning the above mentioned notice of allocation, and the documents being appended to it, the Participant will irrevocably undertake to comply with all obligations pertaining to him/her under the Sub-Plan, and the Plan.</w:t>
            </w:r>
          </w:p>
        </w:tc>
        <w:tc>
          <w:tcPr>
            <w:tcW w:w="495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En contresignant l’avis susvisé et les documents y étant annexé, le Bénéficiaire s’engage fermement et irrévocablement à respecter toutes les obligations mises à sa charge au titre du Sous-Plan, et du Plan.</w:t>
            </w:r>
          </w:p>
        </w:tc>
      </w:tr>
      <w:tr>
        <w:trPr/>
        <w:tc>
          <w:tcPr>
            <w:tcW w:w="525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88" w:before="0" w:after="0"/>
              <w:jc w:val="both"/>
              <w:rPr/>
            </w:pPr>
            <w:r>
              <w:rPr>
                <w:rFonts w:ascii="Arial;sans-serif" w:hAnsi="Arial;sans-serif"/>
                <w:b w:val="false"/>
                <w:color w:val="000000"/>
                <w:sz w:val="20"/>
              </w:rPr>
              <w:t>3.12    </w:t>
            </w:r>
            <w:r>
              <w:rPr>
                <w:rFonts w:ascii="Arial;sans-serif" w:hAnsi="Arial;sans-serif"/>
                <w:b/>
                <w:color w:val="000000"/>
                <w:sz w:val="20"/>
              </w:rPr>
              <w:t>Closed periods</w:t>
            </w:r>
          </w:p>
        </w:tc>
        <w:tc>
          <w:tcPr>
            <w:tcW w:w="4951"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288" w:before="0" w:after="0"/>
              <w:jc w:val="both"/>
              <w:rPr/>
            </w:pPr>
            <w:r>
              <w:rPr>
                <w:rFonts w:ascii="Arial;sans-serif" w:hAnsi="Arial;sans-serif"/>
                <w:b w:val="false"/>
                <w:color w:val="000000"/>
                <w:sz w:val="20"/>
              </w:rPr>
              <w:t>3.12    </w:t>
            </w:r>
            <w:r>
              <w:rPr>
                <w:rFonts w:ascii="Arial;sans-serif" w:hAnsi="Arial;sans-serif"/>
                <w:b/>
                <w:color w:val="000000"/>
                <w:sz w:val="20"/>
              </w:rPr>
              <w:t>Fenêtres négatives</w:t>
            </w:r>
          </w:p>
        </w:tc>
      </w:tr>
    </w:tbl>
    <w:p>
      <w:pPr>
        <w:pStyle w:val="TextBody"/>
        <w:spacing w:before="0" w:after="0"/>
        <w:rPr/>
      </w:pPr>
      <w:r>
        <w:br w:type="page"/>
      </w: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350520"/>
                <wp:effectExtent l="0" t="0" r="0" b="0"/>
                <wp:wrapNone/>
                <wp:docPr id="257" name="Frame15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p>
                      <w:pPr>
                        <w:pStyle w:val="TextBody"/>
                        <w:spacing w:before="0" w:after="20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072"/>
        <w:gridCol w:w="1528"/>
        <w:gridCol w:w="1535"/>
        <w:gridCol w:w="1852"/>
        <w:gridCol w:w="1327"/>
        <w:gridCol w:w="1891"/>
      </w:tblGrid>
      <w:tr>
        <w:trPr/>
        <w:tc>
          <w:tcPr>
            <w:tcW w:w="2072"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1852"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1891" w:type="dxa"/>
            <w:tcBorders/>
            <w:shd w:fill="auto" w:val="clear"/>
            <w:vAlign w:val="center"/>
          </w:tcPr>
          <w:p>
            <w:pPr>
              <w:pStyle w:val="TableContents"/>
              <w:spacing w:before="0" w:after="283"/>
              <w:rPr>
                <w:sz w:val="4"/>
                <w:szCs w:val="4"/>
              </w:rPr>
            </w:pPr>
            <w:r>
              <w:rPr>
                <w:sz w:val="4"/>
                <w:szCs w:val="4"/>
              </w:rPr>
            </w:r>
          </w:p>
        </w:tc>
      </w:tr>
      <w:tr>
        <w:trPr/>
        <w:tc>
          <w:tcPr>
            <w:tcW w:w="513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article L.22-10-56 of the French commercial Code, the Company will not grant any Option in the following circumstances:</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within the period of ten trading sessions preceding the date on which the annual and quarter-year accounts are made public, and on the day of publication;</w:t>
            </w:r>
          </w:p>
          <w:p>
            <w:pPr>
              <w:pStyle w:val="TableContents"/>
              <w:spacing w:lineRule="auto" w:line="319" w:before="0" w:after="200"/>
              <w:ind w:left="0" w:right="0" w:hanging="360"/>
              <w:jc w:val="both"/>
              <w:rPr/>
            </w:pPr>
            <w:r>
              <w:rPr>
                <w:color w:val="000000"/>
              </w:rPr>
              <w:t>–</w:t>
            </w:r>
            <w:r>
              <w:rPr>
                <w:rFonts w:ascii="Arial;sans-serif" w:hAnsi="Arial;sans-serif"/>
                <w:b w:val="false"/>
                <w:color w:val="000000"/>
                <w:sz w:val="20"/>
              </w:rPr>
              <w:t>within the period between the date on which the Company's corporate bodies become aware of any Insider Information and the date on which such information is made public.</w:t>
            </w:r>
          </w:p>
        </w:tc>
        <w:tc>
          <w:tcPr>
            <w:tcW w:w="507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En application de l’article L.225-177 du Code de commerce, la Société ne pourra pas octroyer d’Options dans les hypothèse suivantes :</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dans le délai de dix séances de bourse précédant la date à laquelle les comptes consolidés annuels et intermédiaires, ou défaut, les comptes annuels et semestriels sont rendus publics, ainsi que le jour de la publication; et</w:t>
            </w:r>
          </w:p>
          <w:p>
            <w:pPr>
              <w:pStyle w:val="TableContents"/>
              <w:spacing w:lineRule="auto" w:line="319" w:before="0" w:after="200"/>
              <w:ind w:left="0" w:right="0" w:hanging="360"/>
              <w:jc w:val="both"/>
              <w:rPr/>
            </w:pPr>
            <w:r>
              <w:rPr>
                <w:color w:val="000000"/>
              </w:rPr>
              <w:t>–</w:t>
            </w:r>
            <w:r>
              <w:rPr>
                <w:rFonts w:ascii="Arial;sans-serif" w:hAnsi="Arial;sans-serif"/>
                <w:b w:val="false"/>
                <w:color w:val="000000"/>
                <w:sz w:val="20"/>
              </w:rPr>
              <w:t>dans le délai compris entre la date à laquelle les organes sociaux de la Société on connaissance d’une Information Privilégiée, et la date à laquelle cette information est rendue publique.</w:t>
            </w:r>
          </w:p>
        </w:tc>
      </w:tr>
      <w:tr>
        <w:trPr/>
        <w:tc>
          <w:tcPr>
            <w:tcW w:w="513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article L.22-10-59 of the French commercial Code, any Participant cannot sell or transfer to third parties the Common Stock resulting from the RSUs:</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within 30 calendar days before the announcement of an interim financial report or year-end report which the Company is required to make public; and</w:t>
            </w:r>
          </w:p>
          <w:p>
            <w:pPr>
              <w:pStyle w:val="TableContents"/>
              <w:spacing w:lineRule="auto" w:line="319" w:before="0" w:after="200"/>
              <w:ind w:left="0" w:right="0" w:hanging="360"/>
              <w:jc w:val="both"/>
              <w:rPr/>
            </w:pPr>
            <w:r>
              <w:rPr>
                <w:color w:val="000000"/>
              </w:rPr>
              <w:t>–</w:t>
            </w:r>
            <w:r>
              <w:rPr>
                <w:rFonts w:ascii="Arial;sans-serif" w:hAnsi="Arial;sans-serif"/>
                <w:b w:val="false"/>
                <w:color w:val="000000"/>
                <w:sz w:val="20"/>
              </w:rPr>
              <w:t>if the Participant has knowledge of Insider Information that has not been made public.</w:t>
            </w:r>
          </w:p>
        </w:tc>
        <w:tc>
          <w:tcPr>
            <w:tcW w:w="507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En application de l’article L.22-10-59 du Code de commerce, les Actions Ordinaires résultant des AGAs ne peuvent être cédées :</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dans le délai de trente jours calendaires avant l’annonce d’un rapport financier intermédiaire ou d’un rapport de fin d’année que la Société est tenu de rendre public; et</w:t>
            </w:r>
          </w:p>
          <w:p>
            <w:pPr>
              <w:pStyle w:val="TableContents"/>
              <w:spacing w:lineRule="auto" w:line="319" w:before="0" w:after="200"/>
              <w:ind w:left="0" w:right="0" w:hanging="360"/>
              <w:jc w:val="both"/>
              <w:rPr/>
            </w:pPr>
            <w:r>
              <w:rPr>
                <w:color w:val="000000"/>
              </w:rPr>
              <w:t>–</w:t>
            </w:r>
            <w:r>
              <w:rPr>
                <w:rFonts w:ascii="Arial;sans-serif" w:hAnsi="Arial;sans-serif"/>
                <w:b w:val="false"/>
                <w:color w:val="000000"/>
                <w:sz w:val="20"/>
              </w:rPr>
              <w:t>par tout Bénéficiaire ayant connaissance d’une Information Privilégiée qui n’a pas été rendue publique.</w:t>
            </w:r>
          </w:p>
        </w:tc>
      </w:tr>
      <w:tr>
        <w:trPr/>
        <w:tc>
          <w:tcPr>
            <w:tcW w:w="513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4.    </w:t>
            </w:r>
            <w:r>
              <w:rPr>
                <w:rFonts w:ascii="Arial;sans-serif" w:hAnsi="Arial;sans-serif"/>
                <w:b/>
                <w:color w:val="000000"/>
                <w:sz w:val="20"/>
              </w:rPr>
              <w:t>Administration of Sub-Plan</w:t>
            </w:r>
          </w:p>
        </w:tc>
        <w:tc>
          <w:tcPr>
            <w:tcW w:w="507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left"/>
              <w:rPr/>
            </w:pPr>
            <w:r>
              <w:rPr>
                <w:rFonts w:ascii="Arial;sans-serif" w:hAnsi="Arial;sans-serif"/>
                <w:b w:val="false"/>
                <w:color w:val="000000"/>
                <w:sz w:val="20"/>
              </w:rPr>
              <w:t>4.     </w:t>
            </w:r>
            <w:r>
              <w:rPr>
                <w:rFonts w:ascii="Arial;sans-serif" w:hAnsi="Arial;sans-serif"/>
                <w:b/>
                <w:color w:val="000000"/>
                <w:sz w:val="20"/>
              </w:rPr>
              <w:t>Administration du Sous-Plan</w:t>
            </w:r>
          </w:p>
        </w:tc>
      </w:tr>
      <w:tr>
        <w:trPr/>
        <w:tc>
          <w:tcPr>
            <w:tcW w:w="513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The Sub-Plan will be administered by the Relevant Affiliate, i.e., with regards to Asana France SAS, Asana France SAS.</w:t>
            </w:r>
          </w:p>
        </w:tc>
        <w:tc>
          <w:tcPr>
            <w:tcW w:w="507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Le Sous-Plan sera administré par l’Affilié Pertinent, i.e., à l’égard d’Asana France SAS, Asana France SAS.</w:t>
            </w:r>
          </w:p>
        </w:tc>
      </w:tr>
      <w:tr>
        <w:trPr/>
        <w:tc>
          <w:tcPr>
            <w:tcW w:w="513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The Relevant Affiliate’s legal representative will provide the Participants with any documents required in order to exercise their Awards and transfer the acquired Common Stocks, whenever necessary.</w:t>
            </w:r>
          </w:p>
        </w:tc>
        <w:tc>
          <w:tcPr>
            <w:tcW w:w="507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Le représentant légal de l’Affilié Pertinent remettra aux Bénéficiaires tous les documents nécessaires leur permettant d'exercer leurs Instruments et céder les Actions Ordinaires acquises, si nécessaire.</w:t>
            </w:r>
          </w:p>
        </w:tc>
      </w:tr>
      <w:tr>
        <w:trPr/>
        <w:tc>
          <w:tcPr>
            <w:tcW w:w="513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5.    </w:t>
            </w:r>
            <w:r>
              <w:rPr>
                <w:rFonts w:ascii="Arial;sans-serif" w:hAnsi="Arial;sans-serif"/>
                <w:b/>
                <w:color w:val="000000"/>
                <w:sz w:val="20"/>
              </w:rPr>
              <w:t>Exercise of Options</w:t>
            </w:r>
          </w:p>
        </w:tc>
        <w:tc>
          <w:tcPr>
            <w:tcW w:w="507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left"/>
              <w:rPr/>
            </w:pPr>
            <w:r>
              <w:rPr>
                <w:rFonts w:ascii="Arial;sans-serif" w:hAnsi="Arial;sans-serif"/>
                <w:b w:val="false"/>
                <w:color w:val="000000"/>
                <w:sz w:val="20"/>
              </w:rPr>
              <w:t>5.    </w:t>
            </w:r>
            <w:r>
              <w:rPr>
                <w:rFonts w:ascii="Arial;sans-serif" w:hAnsi="Arial;sans-serif"/>
                <w:b/>
                <w:color w:val="000000"/>
                <w:sz w:val="20"/>
              </w:rPr>
              <w:t>Exercice des Options</w:t>
            </w:r>
          </w:p>
        </w:tc>
      </w:tr>
      <w:tr>
        <w:trPr/>
        <w:tc>
          <w:tcPr>
            <w:tcW w:w="513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5.1    </w:t>
            </w:r>
            <w:r>
              <w:rPr>
                <w:rFonts w:ascii="Arial;sans-serif" w:hAnsi="Arial;sans-serif"/>
                <w:b/>
                <w:color w:val="000000"/>
                <w:sz w:val="20"/>
              </w:rPr>
              <w:t>Conditions for exercise</w:t>
            </w:r>
          </w:p>
        </w:tc>
        <w:tc>
          <w:tcPr>
            <w:tcW w:w="507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left"/>
              <w:rPr/>
            </w:pPr>
            <w:r>
              <w:rPr>
                <w:rFonts w:ascii="Arial;sans-serif" w:hAnsi="Arial;sans-serif"/>
                <w:b w:val="false"/>
                <w:color w:val="000000"/>
                <w:sz w:val="20"/>
              </w:rPr>
              <w:t>5.1    </w:t>
            </w:r>
            <w:r>
              <w:rPr>
                <w:rFonts w:ascii="Arial;sans-serif" w:hAnsi="Arial;sans-serif"/>
                <w:b/>
                <w:color w:val="000000"/>
                <w:sz w:val="20"/>
              </w:rPr>
              <w:t>Conditions d'exercice</w:t>
            </w:r>
          </w:p>
        </w:tc>
      </w:tr>
      <w:tr>
        <w:trPr/>
        <w:tc>
          <w:tcPr>
            <w:tcW w:w="513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 Participant may exercise his/her Options to the extent vested and subject to earlier lapse in accordance with this Sub-Plan up to 10 years from the Grant Date, and subject to conditions set forth in the Option grant agreement.</w:t>
            </w:r>
          </w:p>
        </w:tc>
        <w:tc>
          <w:tcPr>
            <w:tcW w:w="507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Un Bénéficiaire peut exercer ses Options pendant les 10 ans suivants la Date d’Attribution, et sous réserve des conditions indiqués dans le contrat d’attribution d’Options.</w:t>
            </w:r>
          </w:p>
        </w:tc>
      </w:tr>
      <w:tr>
        <w:trPr/>
        <w:tc>
          <w:tcPr>
            <w:tcW w:w="513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Each Option shall give the right to subscribe to or to purchase one Common Stock of the Company.</w:t>
            </w:r>
          </w:p>
        </w:tc>
        <w:tc>
          <w:tcPr>
            <w:tcW w:w="507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Chaque Option donnera le droit de souscrire ou d'acheter une Action Ordinaire de la Société.</w:t>
            </w:r>
          </w:p>
        </w:tc>
      </w:tr>
      <w:tr>
        <w:trPr/>
        <w:tc>
          <w:tcPr>
            <w:tcW w:w="513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88" w:before="0" w:after="0"/>
              <w:jc w:val="left"/>
              <w:rPr/>
            </w:pPr>
            <w:r>
              <w:rPr>
                <w:rFonts w:ascii="Arial;sans-serif" w:hAnsi="Arial;sans-serif"/>
                <w:b w:val="false"/>
                <w:color w:val="000000"/>
                <w:sz w:val="20"/>
              </w:rPr>
              <w:t>5.2    </w:t>
            </w:r>
            <w:r>
              <w:rPr>
                <w:rFonts w:ascii="Arial;sans-serif" w:hAnsi="Arial;sans-serif"/>
                <w:b/>
                <w:color w:val="000000"/>
                <w:sz w:val="20"/>
              </w:rPr>
              <w:t>Procedure for exercise</w:t>
            </w:r>
          </w:p>
        </w:tc>
        <w:tc>
          <w:tcPr>
            <w:tcW w:w="5070"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288" w:before="0" w:after="0"/>
              <w:jc w:val="left"/>
              <w:rPr/>
            </w:pPr>
            <w:r>
              <w:rPr>
                <w:rFonts w:ascii="Arial;sans-serif" w:hAnsi="Arial;sans-serif"/>
                <w:b w:val="false"/>
                <w:color w:val="000000"/>
                <w:sz w:val="20"/>
              </w:rPr>
              <w:t>5.2    </w:t>
            </w:r>
            <w:r>
              <w:rPr>
                <w:rFonts w:ascii="Arial;sans-serif" w:hAnsi="Arial;sans-serif"/>
                <w:b/>
                <w:color w:val="000000"/>
                <w:sz w:val="20"/>
              </w:rPr>
              <w:t>Procédure d'exercice</w:t>
            </w:r>
          </w:p>
        </w:tc>
      </w:tr>
    </w:tbl>
    <w:p>
      <w:pPr>
        <w:pStyle w:val="TextBody"/>
        <w:spacing w:before="0" w:after="0"/>
        <w:rPr/>
      </w:pPr>
      <w:r>
        <w:br w:type="page"/>
      </w: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350520"/>
                <wp:effectExtent l="0" t="0" r="0" b="0"/>
                <wp:wrapNone/>
                <wp:docPr id="258" name="Frame15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p>
                      <w:pPr>
                        <w:pStyle w:val="TextBody"/>
                        <w:spacing w:before="0" w:after="20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663"/>
        <w:gridCol w:w="1463"/>
        <w:gridCol w:w="1470"/>
        <w:gridCol w:w="2005"/>
        <w:gridCol w:w="1491"/>
        <w:gridCol w:w="2113"/>
      </w:tblGrid>
      <w:tr>
        <w:trPr/>
        <w:tc>
          <w:tcPr>
            <w:tcW w:w="1663" w:type="dxa"/>
            <w:tcBorders/>
            <w:shd w:fill="auto" w:val="clear"/>
            <w:vAlign w:val="center"/>
          </w:tcPr>
          <w:p>
            <w:pPr>
              <w:pStyle w:val="TableContents"/>
              <w:spacing w:before="0" w:after="283"/>
              <w:rPr>
                <w:sz w:val="4"/>
                <w:szCs w:val="4"/>
              </w:rPr>
            </w:pPr>
            <w:r>
              <w:rPr>
                <w:sz w:val="4"/>
                <w:szCs w:val="4"/>
              </w:rPr>
            </w:r>
          </w:p>
        </w:tc>
        <w:tc>
          <w:tcPr>
            <w:tcW w:w="1463" w:type="dxa"/>
            <w:tcBorders/>
            <w:shd w:fill="auto" w:val="clear"/>
            <w:vAlign w:val="center"/>
          </w:tcPr>
          <w:p>
            <w:pPr>
              <w:pStyle w:val="TableContents"/>
              <w:spacing w:before="0" w:after="283"/>
              <w:rPr>
                <w:sz w:val="4"/>
                <w:szCs w:val="4"/>
              </w:rPr>
            </w:pPr>
            <w:r>
              <w:rPr>
                <w:sz w:val="4"/>
                <w:szCs w:val="4"/>
              </w:rPr>
            </w:r>
          </w:p>
        </w:tc>
        <w:tc>
          <w:tcPr>
            <w:tcW w:w="1470" w:type="dxa"/>
            <w:tcBorders/>
            <w:shd w:fill="auto" w:val="clear"/>
            <w:vAlign w:val="center"/>
          </w:tcPr>
          <w:p>
            <w:pPr>
              <w:pStyle w:val="TableContents"/>
              <w:spacing w:before="0" w:after="283"/>
              <w:rPr>
                <w:sz w:val="4"/>
                <w:szCs w:val="4"/>
              </w:rPr>
            </w:pPr>
            <w:r>
              <w:rPr>
                <w:sz w:val="4"/>
                <w:szCs w:val="4"/>
              </w:rPr>
            </w:r>
          </w:p>
        </w:tc>
        <w:tc>
          <w:tcPr>
            <w:tcW w:w="2005" w:type="dxa"/>
            <w:tcBorders/>
            <w:shd w:fill="auto" w:val="clear"/>
            <w:vAlign w:val="center"/>
          </w:tcPr>
          <w:p>
            <w:pPr>
              <w:pStyle w:val="TableContents"/>
              <w:spacing w:before="0" w:after="283"/>
              <w:rPr>
                <w:sz w:val="4"/>
                <w:szCs w:val="4"/>
              </w:rPr>
            </w:pPr>
            <w:r>
              <w:rPr>
                <w:sz w:val="4"/>
                <w:szCs w:val="4"/>
              </w:rPr>
            </w:r>
          </w:p>
        </w:tc>
        <w:tc>
          <w:tcPr>
            <w:tcW w:w="1491" w:type="dxa"/>
            <w:tcBorders/>
            <w:shd w:fill="auto" w:val="clear"/>
            <w:vAlign w:val="center"/>
          </w:tcPr>
          <w:p>
            <w:pPr>
              <w:pStyle w:val="TableContents"/>
              <w:spacing w:before="0" w:after="283"/>
              <w:rPr>
                <w:sz w:val="4"/>
                <w:szCs w:val="4"/>
              </w:rPr>
            </w:pPr>
            <w:r>
              <w:rPr>
                <w:sz w:val="4"/>
                <w:szCs w:val="4"/>
              </w:rPr>
            </w:r>
          </w:p>
        </w:tc>
        <w:tc>
          <w:tcPr>
            <w:tcW w:w="2113" w:type="dxa"/>
            <w:tcBorders/>
            <w:shd w:fill="auto" w:val="clear"/>
            <w:vAlign w:val="center"/>
          </w:tcPr>
          <w:p>
            <w:pPr>
              <w:pStyle w:val="TableContents"/>
              <w:spacing w:before="0" w:after="283"/>
              <w:rPr>
                <w:sz w:val="4"/>
                <w:szCs w:val="4"/>
              </w:rPr>
            </w:pPr>
            <w:r>
              <w:rPr>
                <w:sz w:val="4"/>
                <w:szCs w:val="4"/>
              </w:rPr>
            </w:r>
          </w:p>
        </w:tc>
      </w:tr>
      <w:tr>
        <w:trPr/>
        <w:tc>
          <w:tcPr>
            <w:tcW w:w="45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An Option shall be deemed to be exercised when the following have all been completed:</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a written notice of exercise sent by registered letter with acknowledgment of receipt to the Relevant Affiliate and the Company, indicating the number of Options exercised; and</w:t>
            </w:r>
          </w:p>
          <w:p>
            <w:pPr>
              <w:pStyle w:val="TableContents"/>
              <w:spacing w:lineRule="auto" w:line="319" w:before="0" w:after="200"/>
              <w:ind w:left="0" w:right="0" w:hanging="360"/>
              <w:jc w:val="both"/>
              <w:rPr/>
            </w:pPr>
            <w:r>
              <w:rPr>
                <w:color w:val="000000"/>
              </w:rPr>
              <w:t>–</w:t>
            </w:r>
            <w:r>
              <w:rPr>
                <w:rFonts w:ascii="Arial;sans-serif" w:hAnsi="Arial;sans-serif"/>
                <w:b w:val="false"/>
                <w:color w:val="000000"/>
                <w:sz w:val="20"/>
              </w:rPr>
              <w:t>full payment of the Exercise Price, either by check to the Company’s order or by bank transfer to the Company’s benefit; these methods of payment being the only ones acceptable under the Sub-Plan.</w:t>
            </w:r>
          </w:p>
        </w:tc>
        <w:tc>
          <w:tcPr>
            <w:tcW w:w="5609"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Une Option sera réputée exercée à réalisation des évènements suivants :</w:t>
            </w:r>
          </w:p>
          <w:p>
            <w:pPr>
              <w:pStyle w:val="TableContents"/>
              <w:spacing w:lineRule="auto" w:line="319" w:before="0" w:after="0"/>
              <w:ind w:left="0" w:right="0" w:hanging="360"/>
              <w:jc w:val="both"/>
              <w:rPr/>
            </w:pPr>
            <w:r>
              <w:rPr>
                <w:color w:val="000000"/>
              </w:rPr>
              <w:t>–</w:t>
            </w:r>
            <w:r>
              <w:rPr>
                <w:rFonts w:ascii="Arial;sans-serif" w:hAnsi="Arial;sans-serif"/>
                <w:b w:val="false"/>
                <w:color w:val="000000"/>
                <w:sz w:val="20"/>
              </w:rPr>
              <w:t>un avis d'exercice écrit envoyé par courrier recommandé avec demande d’avis de réception à la l’Affilié Pertinent et à la Société, indiquant le nombre d'Options exercées; et</w:t>
            </w:r>
          </w:p>
          <w:p>
            <w:pPr>
              <w:pStyle w:val="TableContents"/>
              <w:spacing w:lineRule="auto" w:line="319" w:before="0" w:after="200"/>
              <w:ind w:left="0" w:right="0" w:hanging="360"/>
              <w:jc w:val="both"/>
              <w:rPr/>
            </w:pPr>
            <w:r>
              <w:rPr>
                <w:color w:val="000000"/>
              </w:rPr>
              <w:t>–</w:t>
            </w:r>
            <w:r>
              <w:rPr>
                <w:rFonts w:ascii="Arial;sans-serif" w:hAnsi="Arial;sans-serif"/>
                <w:b w:val="false"/>
                <w:color w:val="000000"/>
                <w:sz w:val="20"/>
              </w:rPr>
              <w:t>paiement intégral du prix d'exercice, soit par chèque à l'ordre de la Société, soit par virement bancaire au bénéfice de la Société; ces modes de paiement étant les seuls acceptables en vertu du Sous-Plan.</w:t>
            </w:r>
          </w:p>
        </w:tc>
      </w:tr>
      <w:tr>
        <w:trPr/>
        <w:tc>
          <w:tcPr>
            <w:tcW w:w="45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The date indicated on the notice of exercise shall be the date of exercise of the Option.</w:t>
            </w:r>
          </w:p>
        </w:tc>
        <w:tc>
          <w:tcPr>
            <w:tcW w:w="5609"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La date indiquée sur l'avis d'exercice sera la date d'exercice de l'Option.</w:t>
            </w:r>
          </w:p>
        </w:tc>
      </w:tr>
      <w:tr>
        <w:trPr/>
        <w:tc>
          <w:tcPr>
            <w:tcW w:w="45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6.    </w:t>
            </w:r>
            <w:r>
              <w:rPr>
                <w:rFonts w:ascii="Arial;sans-serif" w:hAnsi="Arial;sans-serif"/>
                <w:b/>
                <w:color w:val="000000"/>
                <w:sz w:val="20"/>
              </w:rPr>
              <w:t>Delivery of the Common Stocks resulting from RSUs</w:t>
            </w:r>
          </w:p>
        </w:tc>
        <w:tc>
          <w:tcPr>
            <w:tcW w:w="5609"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left"/>
              <w:rPr/>
            </w:pPr>
            <w:r>
              <w:rPr>
                <w:rFonts w:ascii="Arial;sans-serif" w:hAnsi="Arial;sans-serif"/>
                <w:b w:val="false"/>
                <w:color w:val="000000"/>
                <w:sz w:val="20"/>
              </w:rPr>
              <w:t>6.    </w:t>
            </w:r>
            <w:r>
              <w:rPr>
                <w:rFonts w:ascii="Arial;sans-serif" w:hAnsi="Arial;sans-serif"/>
                <w:b/>
                <w:color w:val="000000"/>
                <w:sz w:val="20"/>
              </w:rPr>
              <w:t>Livraison des Actions Ordinaires résultant des AGAs</w:t>
            </w:r>
          </w:p>
        </w:tc>
      </w:tr>
      <w:tr>
        <w:trPr/>
        <w:tc>
          <w:tcPr>
            <w:tcW w:w="45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both"/>
              <w:rPr/>
            </w:pPr>
            <w:r>
              <w:rPr>
                <w:rFonts w:ascii="Arial;sans-serif" w:hAnsi="Arial;sans-serif"/>
                <w:b w:val="false"/>
                <w:color w:val="000000"/>
                <w:sz w:val="20"/>
              </w:rPr>
              <w:t>Common Stocks resulting from the RSUs will be delivered to the relevant Participants within 30 days following the expiry of the RSU Vesting Period (the “</w:t>
            </w:r>
            <w:r>
              <w:rPr>
                <w:rFonts w:ascii="Arial;sans-serif" w:hAnsi="Arial;sans-serif"/>
                <w:b/>
                <w:color w:val="000000"/>
                <w:sz w:val="20"/>
              </w:rPr>
              <w:t>Delivery Date</w:t>
            </w:r>
            <w:r>
              <w:rPr>
                <w:color w:val="000000"/>
              </w:rPr>
              <w:t>”</w:t>
            </w:r>
            <w:r>
              <w:rPr>
                <w:rFonts w:ascii="Arial;sans-serif" w:hAnsi="Arial;sans-serif"/>
                <w:b w:val="false"/>
                <w:color w:val="000000"/>
                <w:sz w:val="20"/>
              </w:rPr>
              <w:t>), subject conditions set forth in the RSU grant agreement.</w:t>
            </w:r>
          </w:p>
        </w:tc>
        <w:tc>
          <w:tcPr>
            <w:tcW w:w="5609"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both"/>
              <w:rPr/>
            </w:pPr>
            <w:r>
              <w:rPr>
                <w:rFonts w:ascii="Arial;sans-serif" w:hAnsi="Arial;sans-serif"/>
                <w:b w:val="false"/>
                <w:color w:val="000000"/>
                <w:sz w:val="20"/>
              </w:rPr>
              <w:t>Les Actions Ordinaires résultant des AGAs seront livrés suivant l’expiration de la Période d’Acquisition des AGAs (la « </w:t>
            </w:r>
            <w:r>
              <w:rPr>
                <w:rFonts w:ascii="Arial;sans-serif" w:hAnsi="Arial;sans-serif"/>
                <w:b/>
                <w:color w:val="000000"/>
                <w:sz w:val="20"/>
              </w:rPr>
              <w:t>Date de Livraison</w:t>
            </w:r>
            <w:r>
              <w:rPr>
                <w:color w:val="000000"/>
              </w:rPr>
              <w:t> </w:t>
            </w:r>
            <w:r>
              <w:rPr>
                <w:rFonts w:ascii="Arial;sans-serif" w:hAnsi="Arial;sans-serif"/>
                <w:b w:val="false"/>
                <w:color w:val="000000"/>
                <w:sz w:val="20"/>
              </w:rPr>
              <w:t>»), sous réserve du respect des conditions visées dans le contrat d’attribution d’AGAs.</w:t>
            </w:r>
          </w:p>
        </w:tc>
      </w:tr>
      <w:tr>
        <w:trPr/>
        <w:tc>
          <w:tcPr>
            <w:tcW w:w="45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As from Delivery Date, the Common Stocks resulting from the RSUs will be fully held by the relevant Participant.</w:t>
            </w:r>
          </w:p>
        </w:tc>
        <w:tc>
          <w:tcPr>
            <w:tcW w:w="5609"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 la Date de Livraison, les Actions livrées deviendront la pleine propriété du Bénéficiaire.</w:t>
            </w:r>
          </w:p>
        </w:tc>
      </w:tr>
      <w:tr>
        <w:trPr/>
        <w:tc>
          <w:tcPr>
            <w:tcW w:w="45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both"/>
              <w:rPr/>
            </w:pPr>
            <w:r>
              <w:rPr>
                <w:rFonts w:ascii="Arial;sans-serif" w:hAnsi="Arial;sans-serif"/>
                <w:b w:val="false"/>
                <w:color w:val="000000"/>
                <w:sz w:val="20"/>
              </w:rPr>
              <w:t>The Participants will be subject to a one year holding period with regards to the Common Stocks resulting from the RSUs (the “</w:t>
            </w:r>
            <w:r>
              <w:rPr>
                <w:rFonts w:ascii="Arial;sans-serif" w:hAnsi="Arial;sans-serif"/>
                <w:b/>
                <w:color w:val="000000"/>
                <w:sz w:val="20"/>
              </w:rPr>
              <w:t>Holding” Period</w:t>
            </w:r>
            <w:r>
              <w:rPr>
                <w:color w:val="000000"/>
              </w:rPr>
              <w:t>”</w:t>
            </w:r>
            <w:r>
              <w:rPr>
                <w:rFonts w:ascii="Arial;sans-serif" w:hAnsi="Arial;sans-serif"/>
                <w:b w:val="false"/>
                <w:color w:val="000000"/>
                <w:sz w:val="20"/>
              </w:rPr>
              <w:t>). The Participants will be able to dispose freely of the Common Stocks resulting from the RSUs in accordance with article L.225-197-1 of the French commercial Code, after the expiry of the Holding Period subject to the provisions of article 3.12 of the Sub-Plan.</w:t>
            </w:r>
          </w:p>
        </w:tc>
        <w:tc>
          <w:tcPr>
            <w:tcW w:w="5609"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both"/>
              <w:rPr/>
            </w:pPr>
            <w:r>
              <w:rPr>
                <w:rFonts w:ascii="Arial;sans-serif" w:hAnsi="Arial;sans-serif"/>
                <w:b w:val="false"/>
                <w:color w:val="000000"/>
                <w:sz w:val="20"/>
              </w:rPr>
              <w:t>Les Bénéficiaires seront tenus de conserver leurs Actions Ordinaires pendant une période d’un an à compter de de leur remise à la Date de Livraison (la « </w:t>
            </w:r>
            <w:r>
              <w:rPr>
                <w:rFonts w:ascii="Arial;sans-serif" w:hAnsi="Arial;sans-serif"/>
                <w:b/>
                <w:color w:val="000000"/>
                <w:sz w:val="20"/>
              </w:rPr>
              <w:t>Période de Conservation</w:t>
            </w:r>
            <w:r>
              <w:rPr>
                <w:color w:val="000000"/>
              </w:rPr>
              <w:t> </w:t>
            </w:r>
            <w:r>
              <w:rPr>
                <w:rFonts w:ascii="Arial;sans-serif" w:hAnsi="Arial;sans-serif"/>
                <w:b w:val="false"/>
                <w:color w:val="000000"/>
                <w:sz w:val="20"/>
              </w:rPr>
              <w:t>»). Les Bénéficiaires pourront librement disposer des Actions Ordinaires résultant des AGAs conformément aux stipulations de l’article L.225-197-1 du Code de commerce, après l’expiration de la Période de Conservation, et sous réserve des stipulations de l’article 3.12 du Sous-Plan</w:t>
            </w:r>
          </w:p>
        </w:tc>
      </w:tr>
      <w:tr>
        <w:trPr/>
        <w:tc>
          <w:tcPr>
            <w:tcW w:w="459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Therefore, the Participants can freely dispose of the Common Stock resulting from the RSUs during the Holding Period in case of invalidity as defined by article L.341-4 of the French social security Code, 2° and 3°.</w:t>
            </w:r>
          </w:p>
        </w:tc>
        <w:tc>
          <w:tcPr>
            <w:tcW w:w="5609"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Ainsi, les Bénéficiaires pourront librement disposer des Actions Ordinaires résultant des AGAs conformément aux stipulations de l’article L.225-197-1 du Code de commerce.</w:t>
            </w:r>
          </w:p>
        </w:tc>
      </w:tr>
    </w:tbl>
    <w:p>
      <w:pPr>
        <w:pStyle w:val="TextBody"/>
        <w:spacing w:before="0" w:after="0"/>
        <w:rPr/>
      </w:pPr>
      <w:r>
        <w:br w:type="page"/>
      </w: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350520"/>
                <wp:effectExtent l="0" t="0" r="0" b="0"/>
                <wp:wrapNone/>
                <wp:docPr id="259" name="Frame15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p>
                      <w:pPr>
                        <w:pStyle w:val="TextBody"/>
                        <w:spacing w:before="0" w:after="20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850"/>
        <w:gridCol w:w="1624"/>
        <w:gridCol w:w="1631"/>
        <w:gridCol w:w="1613"/>
        <w:gridCol w:w="1440"/>
        <w:gridCol w:w="2047"/>
      </w:tblGrid>
      <w:tr>
        <w:trPr/>
        <w:tc>
          <w:tcPr>
            <w:tcW w:w="1850" w:type="dxa"/>
            <w:tcBorders/>
            <w:shd w:fill="auto" w:val="clear"/>
            <w:vAlign w:val="center"/>
          </w:tcPr>
          <w:p>
            <w:pPr>
              <w:pStyle w:val="TableContents"/>
              <w:spacing w:before="0" w:after="283"/>
              <w:rPr>
                <w:sz w:val="4"/>
                <w:szCs w:val="4"/>
              </w:rPr>
            </w:pPr>
            <w:r>
              <w:rPr>
                <w:sz w:val="4"/>
                <w:szCs w:val="4"/>
              </w:rPr>
            </w:r>
          </w:p>
        </w:tc>
        <w:tc>
          <w:tcPr>
            <w:tcW w:w="1624" w:type="dxa"/>
            <w:tcBorders/>
            <w:shd w:fill="auto" w:val="clear"/>
            <w:vAlign w:val="center"/>
          </w:tcPr>
          <w:p>
            <w:pPr>
              <w:pStyle w:val="TableContents"/>
              <w:spacing w:before="0" w:after="283"/>
              <w:rPr>
                <w:sz w:val="4"/>
                <w:szCs w:val="4"/>
              </w:rPr>
            </w:pPr>
            <w:r>
              <w:rPr>
                <w:sz w:val="4"/>
                <w:szCs w:val="4"/>
              </w:rPr>
            </w:r>
          </w:p>
        </w:tc>
        <w:tc>
          <w:tcPr>
            <w:tcW w:w="1631" w:type="dxa"/>
            <w:tcBorders/>
            <w:shd w:fill="auto" w:val="clear"/>
            <w:vAlign w:val="center"/>
          </w:tcPr>
          <w:p>
            <w:pPr>
              <w:pStyle w:val="TableContents"/>
              <w:spacing w:before="0" w:after="283"/>
              <w:rPr>
                <w:sz w:val="4"/>
                <w:szCs w:val="4"/>
              </w:rPr>
            </w:pPr>
            <w:r>
              <w:rPr>
                <w:sz w:val="4"/>
                <w:szCs w:val="4"/>
              </w:rPr>
            </w:r>
          </w:p>
        </w:tc>
        <w:tc>
          <w:tcPr>
            <w:tcW w:w="1613"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2047" w:type="dxa"/>
            <w:tcBorders/>
            <w:shd w:fill="auto" w:val="clear"/>
            <w:vAlign w:val="center"/>
          </w:tcPr>
          <w:p>
            <w:pPr>
              <w:pStyle w:val="TableContents"/>
              <w:spacing w:before="0" w:after="283"/>
              <w:rPr>
                <w:sz w:val="4"/>
                <w:szCs w:val="4"/>
              </w:rPr>
            </w:pPr>
            <w:r>
              <w:rPr>
                <w:sz w:val="4"/>
                <w:szCs w:val="4"/>
              </w:rPr>
            </w:r>
          </w:p>
        </w:tc>
      </w:tr>
      <w:tr>
        <w:trPr/>
        <w:tc>
          <w:tcPr>
            <w:tcW w:w="51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 the event of an exchange without cash payment of shares resulting from a merger or demerger transaction carried out in accordance with the regulations in force during the Vesting Period or during the Holding Period, the provisions of Article L.225-197-1 of the French Commercial Code, and in particular, the above-mentioned periods, for their remaining duration on the date of the exchange, remain applicable to the AGAs and Ordinary Shares received in exchange. The same applies to the exchange resulting from a public offer, division or consolidation carried out in accordance with the regulations in force, which occurs during the Holding Period. In the event of a contribution to a company or to a mutual fund whose assets consist exclusively of equity securities or securities giving access to the capital issued by the company or by a company related to it within the meaning of Article L.225-197-2, the Holding Period remains applicable, for the period remaining on the date of the contribution, to the shares or units received in consideration for the contribution.</w:t>
            </w:r>
          </w:p>
        </w:tc>
        <w:tc>
          <w:tcPr>
            <w:tcW w:w="510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En cas d'échange sans soulte d’actions résultant d'une opération de fusion ou de scission réalisée conformément à la réglementation en vigueur pendant la Période d’Acquisition des AGAs ou pendant la Période de Conservation, les dispositions de l’article L.225-197-1 du Code de commerce, et notamment, les périodes précitées, pour leur durée restant à courir à la date de l'échange, restent applicables aux AGAs et aux Actions Ordinaires reçus en échange. Il en est de même de l'échange résultant d'une opération d'offre publique, de division ou de regroupement réalisée conformément à la réglementation en vigueur qui intervient pendant la Période de Conservation. En cas d'apport à une société ou à un fonds commun de placement dont l'actif est exclusivement composé de titres de capital ou donnant accès au capital émis par la société ou par une société qui lui est liée au sens de l'article L. 225-197-2, la Période de Conservation reste applicable, pour la durée restant à courir à la date de l'apport, aux actions ou parts reçues en contrepartie de l'apport.</w:t>
            </w:r>
          </w:p>
        </w:tc>
      </w:tr>
      <w:tr>
        <w:trPr/>
        <w:tc>
          <w:tcPr>
            <w:tcW w:w="51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7.    </w:t>
            </w:r>
            <w:r>
              <w:rPr>
                <w:rFonts w:ascii="Arial;sans-serif" w:hAnsi="Arial;sans-serif"/>
                <w:b/>
                <w:color w:val="000000"/>
                <w:sz w:val="20"/>
              </w:rPr>
              <w:t>Taxes</w:t>
            </w:r>
          </w:p>
        </w:tc>
        <w:tc>
          <w:tcPr>
            <w:tcW w:w="510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left"/>
              <w:rPr/>
            </w:pPr>
            <w:r>
              <w:rPr>
                <w:rFonts w:ascii="Arial;sans-serif" w:hAnsi="Arial;sans-serif"/>
                <w:b w:val="false"/>
                <w:color w:val="000000"/>
                <w:sz w:val="20"/>
              </w:rPr>
              <w:t>7.    </w:t>
            </w:r>
            <w:r>
              <w:rPr>
                <w:rFonts w:ascii="Arial;sans-serif" w:hAnsi="Arial;sans-serif"/>
                <w:b/>
                <w:color w:val="000000"/>
                <w:sz w:val="20"/>
              </w:rPr>
              <w:t>Taxes</w:t>
            </w:r>
          </w:p>
        </w:tc>
      </w:tr>
      <w:tr>
        <w:trPr/>
        <w:tc>
          <w:tcPr>
            <w:tcW w:w="51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It is the personal responsibility of each Participant to inform himself/herself of the legal and regulatory provisions applicable to Options, RSUs, and the Common Stocks resulting from their exercise/delivery.</w:t>
            </w:r>
          </w:p>
          <w:p>
            <w:pPr>
              <w:pStyle w:val="TableContents"/>
              <w:spacing w:before="0" w:after="0"/>
              <w:rPr/>
            </w:pPr>
            <w:r>
              <w:rPr/>
            </w:r>
          </w:p>
        </w:tc>
        <w:tc>
          <w:tcPr>
            <w:tcW w:w="510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Il appartient à chaque Bénéficiaire de s’informer des dispositions législatives et réglementaires applicables aux Options et aux AGAs.</w:t>
            </w:r>
          </w:p>
        </w:tc>
      </w:tr>
      <w:tr>
        <w:trPr/>
        <w:tc>
          <w:tcPr>
            <w:tcW w:w="51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The payment of social security charges and taxes due by each Participant is their sole responsibility.</w:t>
            </w:r>
          </w:p>
        </w:tc>
        <w:tc>
          <w:tcPr>
            <w:tcW w:w="510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Le paiement des charges sociales et impôts dus par chaque Bénéficiaire relève de sa seule responsabilité.</w:t>
            </w:r>
          </w:p>
        </w:tc>
      </w:tr>
      <w:tr>
        <w:trPr/>
        <w:tc>
          <w:tcPr>
            <w:tcW w:w="51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8.    </w:t>
            </w:r>
            <w:r>
              <w:rPr>
                <w:rFonts w:ascii="Arial;sans-serif" w:hAnsi="Arial;sans-serif"/>
                <w:b/>
                <w:color w:val="000000"/>
                <w:sz w:val="20"/>
              </w:rPr>
              <w:t>Data protection</w:t>
            </w:r>
          </w:p>
        </w:tc>
        <w:tc>
          <w:tcPr>
            <w:tcW w:w="510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left"/>
              <w:rPr/>
            </w:pPr>
            <w:r>
              <w:rPr>
                <w:rFonts w:ascii="Arial;sans-serif" w:hAnsi="Arial;sans-serif"/>
                <w:b w:val="false"/>
                <w:color w:val="000000"/>
                <w:sz w:val="20"/>
              </w:rPr>
              <w:t>8.    </w:t>
            </w:r>
            <w:r>
              <w:rPr>
                <w:rFonts w:ascii="Arial;sans-serif" w:hAnsi="Arial;sans-serif"/>
                <w:b/>
                <w:color w:val="000000"/>
                <w:sz w:val="20"/>
              </w:rPr>
              <w:t>Protection des données personnelles</w:t>
            </w:r>
          </w:p>
        </w:tc>
      </w:tr>
      <w:tr>
        <w:trPr/>
        <w:tc>
          <w:tcPr>
            <w:tcW w:w="510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The Participant acknowledges that, in accordance with the provisions of the Applicable Regulations, his or her personal data may be used or processed by the Company, its Affiliates, or their agents or by any other person involved in the management of the Options, RSUs and Common Stocks.</w:t>
            </w:r>
          </w:p>
        </w:tc>
        <w:tc>
          <w:tcPr>
            <w:tcW w:w="5100"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Le Bénéficiaire reconnaît que, en vertu des dispositions des Réglementations Applicables, ses données à caractère personnel sauf dans les cas légaux de sortie anticipée pourront être utilisées ou traitées par la Société, ses Affiliés, ou par leurs agents ou par toute autre personne impliquée dans la gestion des Options, des RSUs, et des Actions Ordinaires.</w:t>
            </w:r>
          </w:p>
        </w:tc>
      </w:tr>
    </w:tbl>
    <w:p>
      <w:pPr>
        <w:pStyle w:val="TextBody"/>
        <w:spacing w:before="0" w:after="0"/>
        <w:rPr/>
      </w:pPr>
      <w:r>
        <w:br w:type="page"/>
      </w: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350520"/>
                <wp:effectExtent l="0" t="0" r="0" b="0"/>
                <wp:wrapNone/>
                <wp:docPr id="260" name="Frame15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p>
                      <w:pPr>
                        <w:pStyle w:val="TextBody"/>
                        <w:spacing w:before="0" w:after="20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937"/>
        <w:gridCol w:w="1625"/>
        <w:gridCol w:w="1631"/>
        <w:gridCol w:w="1466"/>
        <w:gridCol w:w="1466"/>
        <w:gridCol w:w="2080"/>
      </w:tblGrid>
      <w:tr>
        <w:trPr/>
        <w:tc>
          <w:tcPr>
            <w:tcW w:w="1937" w:type="dxa"/>
            <w:tcBorders/>
            <w:shd w:fill="auto" w:val="clear"/>
            <w:vAlign w:val="center"/>
          </w:tcPr>
          <w:p>
            <w:pPr>
              <w:pStyle w:val="TableContents"/>
              <w:spacing w:before="0" w:after="283"/>
              <w:rPr>
                <w:sz w:val="4"/>
                <w:szCs w:val="4"/>
              </w:rPr>
            </w:pPr>
            <w:r>
              <w:rPr>
                <w:sz w:val="4"/>
                <w:szCs w:val="4"/>
              </w:rPr>
            </w:r>
          </w:p>
        </w:tc>
        <w:tc>
          <w:tcPr>
            <w:tcW w:w="1625" w:type="dxa"/>
            <w:tcBorders/>
            <w:shd w:fill="auto" w:val="clear"/>
            <w:vAlign w:val="center"/>
          </w:tcPr>
          <w:p>
            <w:pPr>
              <w:pStyle w:val="TableContents"/>
              <w:spacing w:before="0" w:after="283"/>
              <w:rPr>
                <w:sz w:val="4"/>
                <w:szCs w:val="4"/>
              </w:rPr>
            </w:pPr>
            <w:r>
              <w:rPr>
                <w:sz w:val="4"/>
                <w:szCs w:val="4"/>
              </w:rPr>
            </w:r>
          </w:p>
        </w:tc>
        <w:tc>
          <w:tcPr>
            <w:tcW w:w="1631"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2080" w:type="dxa"/>
            <w:tcBorders/>
            <w:shd w:fill="auto" w:val="clear"/>
            <w:vAlign w:val="center"/>
          </w:tcPr>
          <w:p>
            <w:pPr>
              <w:pStyle w:val="TableContents"/>
              <w:spacing w:before="0" w:after="283"/>
              <w:rPr>
                <w:sz w:val="4"/>
                <w:szCs w:val="4"/>
              </w:rPr>
            </w:pPr>
            <w:r>
              <w:rPr>
                <w:sz w:val="4"/>
                <w:szCs w:val="4"/>
              </w:rPr>
            </w:r>
          </w:p>
        </w:tc>
      </w:tr>
      <w:tr>
        <w:trPr/>
        <w:tc>
          <w:tcPr>
            <w:tcW w:w="519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both"/>
              <w:rPr/>
            </w:pPr>
            <w:r>
              <w:rPr>
                <w:rFonts w:ascii="Arial;sans-serif" w:hAnsi="Arial;sans-serif"/>
                <w:b w:val="false"/>
                <w:color w:val="000000"/>
                <w:sz w:val="20"/>
              </w:rPr>
              <w:t>The Company undertakes to comply, when collecting and processing the data for which it is responsible under the applicable legal or regulatory framework, with all legal obligations applicable to it in this capacity in terms of the protection of personal data and privacy, in particular the French Data Protection Act n°78-17 of 6 January 1978 as amended in 2004 and 2016, the European regulations in force, European Regulation 2016/679, the laws and regulations supplementing, ratifying or transposing them and the binding recommendations of the French independent public authority responsible for monitoring the compliance of the Parties with the Applicable Regulations (hereinafter together the "</w:t>
            </w:r>
            <w:r>
              <w:rPr>
                <w:rFonts w:ascii="Arial;sans-serif" w:hAnsi="Arial;sans-serif"/>
                <w:b/>
                <w:color w:val="000000"/>
                <w:sz w:val="20"/>
              </w:rPr>
              <w:t>Applicable Regulations</w:t>
            </w:r>
            <w:r>
              <w:rPr>
                <w:rFonts w:ascii="Arial;sans-serif" w:hAnsi="Arial;sans-serif"/>
                <w:b w:val="false"/>
                <w:color w:val="000000"/>
                <w:sz w:val="20"/>
              </w:rPr>
              <w:t>").</w:t>
            </w:r>
          </w:p>
        </w:tc>
        <w:tc>
          <w:tcPr>
            <w:tcW w:w="5012"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both"/>
              <w:rPr/>
            </w:pPr>
            <w:r>
              <w:rPr>
                <w:rFonts w:ascii="Arial;sans-serif" w:hAnsi="Arial;sans-serif"/>
                <w:b w:val="false"/>
                <w:color w:val="000000"/>
                <w:sz w:val="20"/>
              </w:rPr>
              <w:t>La Société s’engage à respecter, à l’occasion de la collecte et du traitement des données dont elle est responsable au regard du cadre légal ou règlementaire applicable, l’ensemble des obligations légales qui lui sont applicables en cette qualité en matière de protection des données à caractère personnel et de la vie privée, en particulier la Loi Informatique et Libertés n°78-17 du 6 janvier 1978 modifiée en 2004 et 2016, les réglementations européennes en vigueur, le Règlement européen 2016/679, les lois et règlementations les complétant, ratifiant ou transposant et les recommandations de la CNIL (ci-après ensemble les « </w:t>
            </w:r>
            <w:r>
              <w:rPr>
                <w:rFonts w:ascii="Arial;sans-serif" w:hAnsi="Arial;sans-serif"/>
                <w:b/>
                <w:color w:val="000000"/>
                <w:sz w:val="20"/>
              </w:rPr>
              <w:t>Réglementations Applicables</w:t>
            </w:r>
            <w:r>
              <w:rPr>
                <w:color w:val="000000"/>
              </w:rPr>
              <w:t> </w:t>
            </w:r>
            <w:r>
              <w:rPr>
                <w:rFonts w:ascii="Arial;sans-serif" w:hAnsi="Arial;sans-serif"/>
                <w:b w:val="false"/>
                <w:color w:val="000000"/>
                <w:sz w:val="20"/>
              </w:rPr>
              <w:t>»).</w:t>
            </w:r>
          </w:p>
        </w:tc>
      </w:tr>
      <w:tr>
        <w:trPr/>
        <w:tc>
          <w:tcPr>
            <w:tcW w:w="519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The Participant authorises the collection, use or transfer of his or her personal data for the needs and requirements of the Sub-Plan and the Plan insofar as such collection, use and transfer are strictly necessary for the administration of its right(s) under the Plan.</w:t>
            </w:r>
          </w:p>
        </w:tc>
        <w:tc>
          <w:tcPr>
            <w:tcW w:w="5012"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Le Bénéficiaire autorise la collecte, l’utilisation ou le transfert de ses données à caractère personnel, pour les besoins et les nécessités du Sous-Plan et du Plan dans la mesure où cette collecte, cette utilisation et ce transfert sont strictement nécessaires pour l’administration de son ou ses droits au titre du Plan.</w:t>
            </w:r>
          </w:p>
        </w:tc>
      </w:tr>
      <w:tr>
        <w:trPr/>
        <w:tc>
          <w:tcPr>
            <w:tcW w:w="519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 accordance with the Applicable Regulations, the Participant has the right to access, rectify and oppose the processing of its personal data. In particular, the Participant has the right to object to the processing of its data and the right to give instructions on the fate of its data after his or her death. To exercise these rights, the latter may write to his or her employer's human resources department.</w:t>
            </w:r>
          </w:p>
        </w:tc>
        <w:tc>
          <w:tcPr>
            <w:tcW w:w="5012"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Conformément aux Réglementations Applicables, le Bénéficiaire dispose d’un droit d’accès de rectification et d’opposition au traitement de ses données à caractère personnel. En particulier, ce dernier bénéficie du droit de s’opposer au traitement de ses données et du droit de donner des directives sur le sort de ses données après sa mort. Pour exercer ces droits, ce dernier peut écrire au service des ressources humaines de son employeur.</w:t>
            </w:r>
          </w:p>
        </w:tc>
      </w:tr>
      <w:tr>
        <w:trPr/>
        <w:tc>
          <w:tcPr>
            <w:tcW w:w="519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9.    </w:t>
            </w:r>
            <w:r>
              <w:rPr>
                <w:rFonts w:ascii="Arial;sans-serif" w:hAnsi="Arial;sans-serif"/>
                <w:b/>
                <w:color w:val="000000"/>
                <w:sz w:val="20"/>
              </w:rPr>
              <w:t>Miscellaneous</w:t>
            </w:r>
          </w:p>
        </w:tc>
        <w:tc>
          <w:tcPr>
            <w:tcW w:w="5012"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88" w:before="0" w:after="0"/>
              <w:jc w:val="left"/>
              <w:rPr/>
            </w:pPr>
            <w:r>
              <w:rPr>
                <w:rFonts w:ascii="Arial;sans-serif" w:hAnsi="Arial;sans-serif"/>
                <w:b w:val="false"/>
                <w:color w:val="000000"/>
                <w:sz w:val="20"/>
              </w:rPr>
              <w:t>9.    </w:t>
            </w:r>
            <w:r>
              <w:rPr>
                <w:rFonts w:ascii="Arial;sans-serif" w:hAnsi="Arial;sans-serif"/>
                <w:b/>
                <w:color w:val="000000"/>
                <w:sz w:val="20"/>
              </w:rPr>
              <w:t>Divers</w:t>
            </w:r>
          </w:p>
        </w:tc>
      </w:tr>
      <w:tr>
        <w:trPr/>
        <w:tc>
          <w:tcPr>
            <w:tcW w:w="519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The Awards will definitively lapse within ten years of their allocation.</w:t>
            </w:r>
          </w:p>
        </w:tc>
        <w:tc>
          <w:tcPr>
            <w:tcW w:w="5012"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The Awards will definitively lapse within ten years of their allocation.</w:t>
            </w:r>
          </w:p>
        </w:tc>
      </w:tr>
      <w:tr>
        <w:trPr/>
        <w:tc>
          <w:tcPr>
            <w:tcW w:w="519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Any amendment to the Plan shall be in writing and delivered by hand to the Participants or sent to the address they notified to the Relevant Affiliate, in the absence of such address, to their last domicile known by the Relevant Affiliate.</w:t>
            </w:r>
          </w:p>
        </w:tc>
        <w:tc>
          <w:tcPr>
            <w:tcW w:w="5012"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Toute modification du Plan sera faite par écrit et remise aux Bénéficiaires ou envoyée à l'adresse qu'ils ont notifiée à l’Affilié Pertinent concernée ou, à défaut de cette adresse, à leur dernier domicile connu par l’Affilié Pertinent.</w:t>
            </w:r>
          </w:p>
        </w:tc>
      </w:tr>
      <w:tr>
        <w:trPr/>
        <w:tc>
          <w:tcPr>
            <w:tcW w:w="5193"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88" w:before="0" w:after="0"/>
              <w:jc w:val="both"/>
              <w:rPr/>
            </w:pPr>
            <w:r>
              <w:rPr>
                <w:rFonts w:ascii="Arial;sans-serif" w:hAnsi="Arial;sans-serif"/>
                <w:b w:val="false"/>
                <w:color w:val="000000"/>
                <w:sz w:val="20"/>
              </w:rPr>
              <w:t xml:space="preserve">The Sub-Plan supersedes the Plan only with respect to the Participants (as this term is defined in the Sub-Plan), </w:t>
            </w:r>
            <w:r>
              <w:rPr>
                <w:rFonts w:ascii="Arial;sans-serif" w:hAnsi="Arial;sans-serif"/>
                <w:b w:val="false"/>
                <w:i/>
                <w:color w:val="000000"/>
                <w:sz w:val="20"/>
              </w:rPr>
              <w:t>i.e.,</w:t>
            </w:r>
            <w:r>
              <w:rPr>
                <w:color w:val="000000"/>
              </w:rPr>
              <w:t xml:space="preserve"> </w:t>
            </w:r>
            <w:r>
              <w:rPr>
                <w:rFonts w:ascii="Arial;sans-serif" w:hAnsi="Arial;sans-serif"/>
                <w:b w:val="false"/>
                <w:color w:val="000000"/>
                <w:sz w:val="20"/>
              </w:rPr>
              <w:t>Employees and Officers who are French residents. All provisions of the Plan remain in full force to the extent it complies with French law and with the provisions of the Sub-Plan. In the event that there is any inconsistency between the terms of the Sub-Plan and the terms of the Plan, the terms of the Sub-Plan shall prevail.</w:t>
            </w:r>
          </w:p>
        </w:tc>
        <w:tc>
          <w:tcPr>
            <w:tcW w:w="5012"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Les stipulations du Sous-Plan ne remplacent les dispositions du Plan qu’en ce qu’elles concernent les Bénéficiaires, i.e., Salariés et Mandataires Sociaux résidents français. Toutes les autres stipulations du Plan demeure en vigueur pour autant qu’elles soient conformes avec les dispositions de la loi française et les stipulations du Sous-Plan. En conséquence, en cas d'incohérence entre les termes du Sous-Plan et les termes du Plan, les termes du Sous-Plan prévaudront.</w:t>
            </w:r>
          </w:p>
        </w:tc>
      </w:tr>
    </w:tbl>
    <w:p>
      <w:pPr>
        <w:pStyle w:val="TextBody"/>
        <w:spacing w:before="0" w:after="0"/>
        <w:rPr/>
      </w:pPr>
      <w:r>
        <w:br w:type="page"/>
      </w: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350520"/>
                <wp:effectExtent l="0" t="0" r="0" b="0"/>
                <wp:wrapNone/>
                <wp:docPr id="261" name="Frame15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p>
                      <w:pPr>
                        <w:pStyle w:val="TextBody"/>
                        <w:spacing w:before="0" w:after="200"/>
                        <w:rPr/>
                      </w:pPr>
                      <w:r>
                        <w:rPr/>
                      </w:r>
                    </w:p>
                  </w:txbxContent>
                </v:textbox>
              </v:rect>
            </w:pict>
          </mc:Fallback>
        </mc:AlternateContent>
      </w:r>
    </w:p>
    <w:tbl>
      <w:tblPr>
        <w:tblW w:w="2174" w:type="dxa"/>
        <w:jc w:val="left"/>
        <w:tblInd w:w="0" w:type="dxa"/>
        <w:tblCellMar>
          <w:top w:w="28" w:type="dxa"/>
          <w:left w:w="28" w:type="dxa"/>
          <w:bottom w:w="28" w:type="dxa"/>
          <w:right w:w="28" w:type="dxa"/>
        </w:tblCellMar>
      </w:tblPr>
      <w:tblGrid>
        <w:gridCol w:w="423"/>
        <w:gridCol w:w="372"/>
        <w:gridCol w:w="374"/>
        <w:gridCol w:w="294"/>
        <w:gridCol w:w="294"/>
        <w:gridCol w:w="417"/>
      </w:tblGrid>
      <w:tr>
        <w:trPr/>
        <w:tc>
          <w:tcPr>
            <w:tcW w:w="423"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r>
      <w:tr>
        <w:trPr/>
        <w:tc>
          <w:tcPr>
            <w:tcW w:w="11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19" w:before="0" w:after="283"/>
              <w:jc w:val="left"/>
              <w:rPr>
                <w:rFonts w:ascii="Arial;sans-serif" w:hAnsi="Arial;sans-serif"/>
                <w:b/>
                <w:color w:val="000000"/>
                <w:sz w:val="20"/>
              </w:rPr>
            </w:pPr>
            <w:r>
              <w:rPr>
                <w:rFonts w:ascii="Arial;sans-serif" w:hAnsi="Arial;sans-serif"/>
                <w:b/>
                <w:color w:val="000000"/>
                <w:sz w:val="20"/>
              </w:rPr>
              <w:t>Appendix 1</w:t>
            </w:r>
          </w:p>
        </w:tc>
        <w:tc>
          <w:tcPr>
            <w:tcW w:w="10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319" w:before="0" w:after="283"/>
              <w:jc w:val="left"/>
              <w:rPr>
                <w:rFonts w:ascii="Arial;sans-serif" w:hAnsi="Arial;sans-serif"/>
                <w:b/>
                <w:color w:val="000000"/>
                <w:sz w:val="20"/>
              </w:rPr>
            </w:pPr>
            <w:r>
              <w:rPr>
                <w:rFonts w:ascii="Arial;sans-serif" w:hAnsi="Arial;sans-serif"/>
                <w:b/>
                <w:color w:val="000000"/>
                <w:sz w:val="20"/>
              </w:rPr>
              <w:t>Annexe 1</w:t>
            </w:r>
          </w:p>
        </w:tc>
      </w:tr>
      <w:tr>
        <w:trPr/>
        <w:tc>
          <w:tcPr>
            <w:tcW w:w="1169"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The Plan</w:t>
            </w:r>
          </w:p>
        </w:tc>
        <w:tc>
          <w:tcPr>
            <w:tcW w:w="1005"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Le Plan</w:t>
            </w:r>
          </w:p>
        </w:tc>
      </w:tr>
    </w:tbl>
    <w:p>
      <w:pPr>
        <w:pStyle w:val="TextBody"/>
        <w:spacing w:before="0" w:after="200"/>
        <w:rPr/>
      </w:pPr>
      <w:r>
        <w:rPr/>
      </w:r>
    </w:p>
    <w:p>
      <w:pPr>
        <w:pStyle w:val="TextBody"/>
        <w:spacing w:before="0" w:after="20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350520"/>
                <wp:effectExtent l="0" t="0" r="0" b="0"/>
                <wp:wrapNone/>
                <wp:docPr id="262" name="Frame15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p>
                      <w:pPr>
                        <w:pStyle w:val="TextBody"/>
                        <w:spacing w:before="0" w:after="200"/>
                        <w:rPr/>
                      </w:pPr>
                      <w:r>
                        <w:rPr/>
                      </w:r>
                    </w:p>
                  </w:txbxContent>
                </v:textbox>
              </v:rect>
            </w:pict>
          </mc:Fallback>
        </mc:AlternateContent>
      </w:r>
    </w:p>
    <w:p>
      <w:pPr>
        <w:pStyle w:val="TextBody"/>
        <w:spacing w:lineRule="auto" w:line="319" w:before="0" w:after="200"/>
        <w:jc w:val="center"/>
        <w:rPr>
          <w:rFonts w:ascii="Arial;sans-serif" w:hAnsi="Arial;sans-serif"/>
          <w:b/>
          <w:color w:val="000000"/>
          <w:sz w:val="20"/>
        </w:rPr>
      </w:pPr>
      <w:r>
        <w:rPr>
          <w:rFonts w:ascii="Arial;sans-serif" w:hAnsi="Arial;sans-serif"/>
          <w:b/>
          <w:color w:val="000000"/>
          <w:sz w:val="20"/>
        </w:rPr>
        <w:t>Annex 1</w:t>
      </w:r>
    </w:p>
    <w:p>
      <w:pPr>
        <w:pStyle w:val="TextBody"/>
        <w:spacing w:lineRule="auto" w:line="319" w:before="0" w:after="200"/>
        <w:jc w:val="center"/>
        <w:rPr>
          <w:rFonts w:ascii="Arial;sans-serif" w:hAnsi="Arial;sans-serif"/>
          <w:b w:val="false"/>
          <w:i/>
          <w:color w:val="000000"/>
          <w:sz w:val="20"/>
        </w:rPr>
      </w:pPr>
      <w:r>
        <w:rPr>
          <w:rFonts w:ascii="Arial;sans-serif" w:hAnsi="Arial;sans-serif"/>
          <w:b w:val="false"/>
          <w:i/>
          <w:color w:val="000000"/>
          <w:sz w:val="20"/>
        </w:rPr>
        <w:t>RSU Vesting Period / Période d’Acquisition des AGAs</w:t>
      </w:r>
    </w:p>
    <w:p>
      <w:pPr>
        <w:pStyle w:val="TextBody"/>
        <w:spacing w:before="0" w:after="200"/>
        <w:rPr/>
      </w:pPr>
      <w:r>
        <w:rPr/>
      </w:r>
    </w:p>
    <w:p>
      <w:pPr>
        <w:pStyle w:val="TextBody"/>
        <w:spacing w:before="0" w:after="200"/>
        <w:rPr/>
      </w:pPr>
      <w:r>
        <w:rPr/>
      </w:r>
    </w:p>
    <w:tbl>
      <w:tblPr>
        <w:tblW w:w="10205" w:type="dxa"/>
        <w:jc w:val="left"/>
        <w:tblInd w:w="0" w:type="dxa"/>
        <w:tblCellMar>
          <w:top w:w="28" w:type="dxa"/>
          <w:left w:w="28" w:type="dxa"/>
          <w:bottom w:w="28" w:type="dxa"/>
          <w:right w:w="28" w:type="dxa"/>
        </w:tblCellMar>
      </w:tblPr>
      <w:tblGrid>
        <w:gridCol w:w="1873"/>
        <w:gridCol w:w="1644"/>
        <w:gridCol w:w="1653"/>
        <w:gridCol w:w="1473"/>
        <w:gridCol w:w="1473"/>
        <w:gridCol w:w="2089"/>
      </w:tblGrid>
      <w:tr>
        <w:trPr/>
        <w:tc>
          <w:tcPr>
            <w:tcW w:w="1873" w:type="dxa"/>
            <w:tcBorders/>
            <w:shd w:fill="auto" w:val="clear"/>
            <w:vAlign w:val="center"/>
          </w:tcPr>
          <w:p>
            <w:pPr>
              <w:pStyle w:val="TableContents"/>
              <w:spacing w:before="0" w:after="283"/>
              <w:rPr>
                <w:sz w:val="4"/>
                <w:szCs w:val="4"/>
              </w:rPr>
            </w:pPr>
            <w:r>
              <w:rPr>
                <w:sz w:val="4"/>
                <w:szCs w:val="4"/>
              </w:rPr>
            </w:r>
          </w:p>
        </w:tc>
        <w:tc>
          <w:tcPr>
            <w:tcW w:w="1644"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1473" w:type="dxa"/>
            <w:tcBorders/>
            <w:shd w:fill="auto" w:val="clear"/>
            <w:vAlign w:val="center"/>
          </w:tcPr>
          <w:p>
            <w:pPr>
              <w:pStyle w:val="TableContents"/>
              <w:spacing w:before="0" w:after="283"/>
              <w:rPr>
                <w:sz w:val="4"/>
                <w:szCs w:val="4"/>
              </w:rPr>
            </w:pPr>
            <w:r>
              <w:rPr>
                <w:sz w:val="4"/>
                <w:szCs w:val="4"/>
              </w:rPr>
            </w:r>
          </w:p>
        </w:tc>
        <w:tc>
          <w:tcPr>
            <w:tcW w:w="1473" w:type="dxa"/>
            <w:tcBorders/>
            <w:shd w:fill="auto" w:val="clear"/>
            <w:vAlign w:val="center"/>
          </w:tcPr>
          <w:p>
            <w:pPr>
              <w:pStyle w:val="TableContents"/>
              <w:spacing w:before="0" w:after="283"/>
              <w:rPr>
                <w:sz w:val="4"/>
                <w:szCs w:val="4"/>
              </w:rPr>
            </w:pPr>
            <w:r>
              <w:rPr>
                <w:sz w:val="4"/>
                <w:szCs w:val="4"/>
              </w:rPr>
            </w:r>
          </w:p>
        </w:tc>
        <w:tc>
          <w:tcPr>
            <w:tcW w:w="2089" w:type="dxa"/>
            <w:tcBorders/>
            <w:shd w:fill="auto" w:val="clear"/>
            <w:vAlign w:val="center"/>
          </w:tcPr>
          <w:p>
            <w:pPr>
              <w:pStyle w:val="TableContents"/>
              <w:spacing w:before="0" w:after="283"/>
              <w:rPr>
                <w:sz w:val="4"/>
                <w:szCs w:val="4"/>
              </w:rPr>
            </w:pPr>
            <w:r>
              <w:rPr>
                <w:sz w:val="4"/>
                <w:szCs w:val="4"/>
              </w:rPr>
            </w:r>
          </w:p>
        </w:tc>
      </w:tr>
      <w:tr>
        <w:trPr/>
        <w:tc>
          <w:tcPr>
            <w:tcW w:w="517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With regards to a considered grant to a Participant, the RSUs will vest in accordance with the following vesting schedule, and subject to the fulfilment of the other conditions of vesting set forth in the Sub-Plan:</w:t>
            </w:r>
          </w:p>
          <w:p>
            <w:pPr>
              <w:pStyle w:val="TableContents"/>
              <w:spacing w:before="0" w:after="0"/>
              <w:jc w:val="left"/>
              <w:rPr/>
            </w:pPr>
            <w:r>
              <w:rPr/>
            </w:r>
          </w:p>
          <w:p>
            <w:pPr>
              <w:pStyle w:val="TableContents"/>
              <w:spacing w:before="0" w:after="0"/>
              <w:jc w:val="left"/>
              <w:rPr/>
            </w:pPr>
            <w:r>
              <w:rPr/>
            </w:r>
          </w:p>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avoidance, of doubt, the Holding Period is applicable to all Common Stock delivered under the RSUs, as from their vesting.</w:t>
            </w:r>
          </w:p>
          <w:p>
            <w:pPr>
              <w:pStyle w:val="TableContents"/>
              <w:spacing w:before="0" w:after="0"/>
              <w:rPr/>
            </w:pPr>
            <w:r>
              <w:rPr/>
            </w:r>
          </w:p>
        </w:tc>
        <w:tc>
          <w:tcPr>
            <w:tcW w:w="503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Les AGAs seront acquises par chaque Bénéficiaire considéré selon le calendrier suivant, sous réserve que les autres conditions d’acquisitions prévues au Sous-Plan soient également remplies :</w:t>
            </w:r>
          </w:p>
          <w:p>
            <w:pPr>
              <w:pStyle w:val="TableContents"/>
              <w:spacing w:before="0" w:after="0"/>
              <w:jc w:val="left"/>
              <w:rPr/>
            </w:pPr>
            <w:r>
              <w:rPr/>
            </w:r>
          </w:p>
          <w:p>
            <w:pPr>
              <w:pStyle w:val="TableContents"/>
              <w:spacing w:before="0" w:after="0"/>
              <w:jc w:val="left"/>
              <w:rPr/>
            </w:pPr>
            <w:r>
              <w:rPr/>
            </w:r>
          </w:p>
          <w:p>
            <w:pPr>
              <w:pStyle w:val="TableContents"/>
              <w:spacing w:lineRule="auto" w:line="288" w:before="0" w:after="0"/>
              <w:jc w:val="both"/>
              <w:rPr>
                <w:rFonts w:ascii="Arial;sans-serif" w:hAnsi="Arial;sans-serif"/>
                <w:b w:val="false"/>
                <w:color w:val="000000"/>
                <w:sz w:val="20"/>
              </w:rPr>
            </w:pPr>
            <w:r>
              <w:rPr>
                <w:rFonts w:ascii="Arial;sans-serif" w:hAnsi="Arial;sans-serif"/>
                <w:b w:val="false"/>
                <w:color w:val="000000"/>
                <w:sz w:val="20"/>
              </w:rPr>
              <w:t>Il est ici précisé que la Période de Conservation est applicable à toutes Actions Ordinaires livrées en application des AGAS, à compter de leur date d’acquisition.</w:t>
            </w:r>
          </w:p>
        </w:tc>
      </w:tr>
    </w:tbl>
    <w:p>
      <w:pPr>
        <w:pStyle w:val="TextBody"/>
        <w:spacing w:before="0" w:after="2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00"/>
        <w:jc w:val="right"/>
        <w:rPr>
          <w:rFonts w:ascii="Calibri;sans-serif" w:hAnsi="Calibri;sans-serif"/>
          <w:b/>
          <w:color w:val="000000"/>
          <w:sz w:val="22"/>
        </w:rPr>
      </w:pPr>
      <w:r>
        <w:rPr>
          <w:rFonts w:ascii="Calibri;sans-serif" w:hAnsi="Calibri;sans-serif"/>
          <w:b/>
          <w:color w:val="000000"/>
          <w:sz w:val="22"/>
        </w:rPr>
        <w:t>F</w:t>
      </w:r>
      <w:r>
        <w:rPr>
          <w:rFonts w:ascii="Calibri;sans-serif" w:hAnsi="Calibri;sans-serif"/>
          <w:b/>
          <w:color w:val="000000"/>
          <w:sz w:val="22"/>
        </w:rPr>
        <w:t>RENCH FORM RSU WITH ONE-YEAR HOLDING PERIOD</w:t>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350520"/>
                <wp:effectExtent l="0" t="0" r="0" b="0"/>
                <wp:wrapNone/>
                <wp:docPr id="263" name="Frame15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33.1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p>
                      <w:pPr>
                        <w:pStyle w:val="TextBody"/>
                        <w:spacing w:before="0" w:after="200"/>
                        <w:rPr/>
                      </w:pPr>
                      <w:r>
                        <w:rPr/>
                      </w:r>
                    </w:p>
                  </w:txbxContent>
                </v:textbox>
              </v:rect>
            </w:pict>
          </mc:Fallback>
        </mc:AlternateContent>
      </w:r>
    </w:p>
    <w:p>
      <w:pPr>
        <w:pStyle w:val="TextBody"/>
        <w:spacing w:before="0" w:after="200"/>
        <w:jc w:val="right"/>
        <w:rPr/>
      </w:pPr>
      <w:r>
        <w:rPr/>
      </w:r>
    </w:p>
    <w:p>
      <w:pPr>
        <w:pStyle w:val="TextBody"/>
        <w:spacing w:lineRule="auto" w:line="319" w:before="0" w:after="200"/>
        <w:jc w:val="center"/>
        <w:rPr>
          <w:rFonts w:ascii="Calibri;sans-serif" w:hAnsi="Calibri;sans-serif"/>
          <w:b/>
          <w:color w:val="000000"/>
          <w:sz w:val="22"/>
        </w:rPr>
      </w:pPr>
      <w:r>
        <w:rPr>
          <w:rFonts w:ascii="Calibri;sans-serif" w:hAnsi="Calibri;sans-serif"/>
          <w:b/>
          <w:color w:val="000000"/>
          <w:sz w:val="22"/>
        </w:rPr>
        <w:t>Asana, Inc.</w:t>
      </w:r>
    </w:p>
    <w:p>
      <w:pPr>
        <w:pStyle w:val="TextBody"/>
        <w:spacing w:lineRule="auto" w:line="319" w:before="0" w:after="240"/>
        <w:jc w:val="center"/>
        <w:rPr>
          <w:rFonts w:ascii="Calibri;sans-serif" w:hAnsi="Calibri;sans-serif"/>
          <w:b/>
          <w:color w:val="000000"/>
          <w:sz w:val="22"/>
        </w:rPr>
      </w:pPr>
      <w:r>
        <w:rPr>
          <w:rFonts w:ascii="Calibri;sans-serif" w:hAnsi="Calibri;sans-serif"/>
          <w:b/>
          <w:color w:val="000000"/>
          <w:sz w:val="22"/>
        </w:rPr>
        <w:t>2020 Equity Incentive Plan</w:t>
      </w:r>
    </w:p>
    <w:p>
      <w:pPr>
        <w:pStyle w:val="TextBody"/>
        <w:spacing w:lineRule="auto" w:line="319" w:before="0" w:after="240"/>
        <w:jc w:val="center"/>
        <w:rPr>
          <w:rFonts w:ascii="Calibri;sans-serif" w:hAnsi="Calibri;sans-serif"/>
          <w:b/>
          <w:color w:val="000000"/>
          <w:sz w:val="22"/>
        </w:rPr>
      </w:pPr>
      <w:r>
        <w:rPr>
          <w:rFonts w:ascii="Calibri;sans-serif" w:hAnsi="Calibri;sans-serif"/>
          <w:b/>
          <w:color w:val="000000"/>
          <w:sz w:val="22"/>
        </w:rPr>
        <w:t>RSU Award Grant Notice</w:t>
      </w:r>
    </w:p>
    <w:p>
      <w:pPr>
        <w:pStyle w:val="TextBody"/>
        <w:spacing w:lineRule="auto" w:line="319" w:before="0" w:after="240"/>
        <w:rPr/>
      </w:pPr>
      <w:r>
        <w:rPr>
          <w:rFonts w:ascii="Calibri;sans-serif" w:hAnsi="Calibri;sans-serif"/>
          <w:b w:val="false"/>
          <w:color w:val="000000"/>
          <w:sz w:val="22"/>
        </w:rPr>
        <w:t xml:space="preserve">Asana, Inc. (the </w:t>
      </w:r>
      <w:r>
        <w:rPr>
          <w:color w:val="000000"/>
        </w:rPr>
        <w:t>“</w:t>
      </w:r>
      <w:r>
        <w:rPr>
          <w:rFonts w:ascii="Calibri;sans-serif" w:hAnsi="Calibri;sans-serif"/>
          <w:b/>
          <w:i/>
          <w:color w:val="000000"/>
          <w:sz w:val="22"/>
        </w:rPr>
        <w:t>Company”</w:t>
      </w:r>
      <w:r>
        <w:rPr>
          <w:rFonts w:ascii="Calibri;sans-serif" w:hAnsi="Calibri;sans-serif"/>
          <w:b w:val="false"/>
          <w:color w:val="000000"/>
          <w:sz w:val="22"/>
        </w:rPr>
        <w:t>) has awarded to you (the “</w:t>
      </w:r>
      <w:r>
        <w:rPr>
          <w:rFonts w:ascii="Calibri;sans-serif" w:hAnsi="Calibri;sans-serif"/>
          <w:b/>
          <w:i/>
          <w:color w:val="000000"/>
          <w:sz w:val="22"/>
        </w:rPr>
        <w:t>Participant</w:t>
      </w:r>
      <w:r>
        <w:rPr>
          <w:color w:val="000000"/>
        </w:rPr>
        <w:t>”</w:t>
      </w:r>
      <w:r>
        <w:rPr>
          <w:rFonts w:ascii="Calibri;sans-serif" w:hAnsi="Calibri;sans-serif"/>
          <w:b w:val="false"/>
          <w:color w:val="000000"/>
          <w:sz w:val="22"/>
        </w:rPr>
        <w:t xml:space="preserve">) the number of restricted stock units specified and on the terms set forth below in consideration of your services (the </w:t>
      </w:r>
      <w:r>
        <w:rPr>
          <w:color w:val="000000"/>
        </w:rPr>
        <w:t>“</w:t>
      </w:r>
      <w:r>
        <w:rPr>
          <w:rFonts w:ascii="Calibri;sans-serif" w:hAnsi="Calibri;sans-serif"/>
          <w:b/>
          <w:i/>
          <w:color w:val="000000"/>
          <w:sz w:val="22"/>
        </w:rPr>
        <w:t>RSU Award”</w:t>
      </w:r>
      <w:r>
        <w:rPr>
          <w:rFonts w:ascii="Calibri;sans-serif" w:hAnsi="Calibri;sans-serif"/>
          <w:b w:val="false"/>
          <w:color w:val="000000"/>
          <w:sz w:val="22"/>
        </w:rPr>
        <w:t xml:space="preserve">). Your RSU Award is subject to all of the terms and conditions as set forth herein and in the Company’s 2020 Equity Incentive Plan (the </w:t>
      </w:r>
      <w:r>
        <w:rPr>
          <w:color w:val="000000"/>
        </w:rPr>
        <w:t>“</w:t>
      </w:r>
      <w:r>
        <w:rPr>
          <w:rFonts w:ascii="Calibri;sans-serif" w:hAnsi="Calibri;sans-serif"/>
          <w:b/>
          <w:i/>
          <w:color w:val="000000"/>
          <w:sz w:val="22"/>
        </w:rPr>
        <w:t>Plan”</w:t>
      </w:r>
      <w:r>
        <w:rPr>
          <w:rFonts w:ascii="Calibri;sans-serif" w:hAnsi="Calibri;sans-serif"/>
          <w:b w:val="false"/>
          <w:color w:val="000000"/>
          <w:sz w:val="22"/>
        </w:rPr>
        <w:t>), its French sub-plan applicable to any Participant being a French resident (the “</w:t>
      </w:r>
      <w:r>
        <w:rPr>
          <w:rFonts w:ascii="Calibri;sans-serif" w:hAnsi="Calibri;sans-serif"/>
          <w:b/>
          <w:color w:val="000000"/>
          <w:sz w:val="22"/>
        </w:rPr>
        <w:t>French Sub-Plan</w:t>
      </w:r>
      <w:r>
        <w:rPr>
          <w:color w:val="000000"/>
        </w:rPr>
        <w:t>”</w:t>
      </w:r>
      <w:r>
        <w:rPr>
          <w:rFonts w:ascii="Calibri;sans-serif" w:hAnsi="Calibri;sans-serif"/>
          <w:b w:val="false"/>
          <w:color w:val="000000"/>
          <w:sz w:val="22"/>
        </w:rPr>
        <w:t>), and the Award Agreement (the “</w:t>
      </w:r>
      <w:r>
        <w:rPr>
          <w:rFonts w:ascii="Calibri;sans-serif" w:hAnsi="Calibri;sans-serif"/>
          <w:b/>
          <w:i/>
          <w:color w:val="000000"/>
          <w:sz w:val="22"/>
        </w:rPr>
        <w:t>Agreement</w:t>
      </w:r>
      <w:r>
        <w:rPr>
          <w:color w:val="000000"/>
        </w:rPr>
        <w:t>”</w:t>
      </w:r>
      <w:r>
        <w:rPr>
          <w:rFonts w:ascii="Calibri;sans-serif" w:hAnsi="Calibri;sans-serif"/>
          <w:b w:val="false"/>
          <w:color w:val="000000"/>
          <w:sz w:val="22"/>
        </w:rPr>
        <w:t>), which are attached hereto and incorporated herein in their entirety. Capitalized terms not explicitly defined herein but defined in the Plan, the French Sub-Plan, or the Agreement shall have the meanings set forth in the Plan, the French Sub-Plan, or the Agreement.</w:t>
      </w:r>
    </w:p>
    <w:p>
      <w:pPr>
        <w:pStyle w:val="TextBody"/>
        <w:spacing w:lineRule="auto" w:line="319" w:before="0" w:after="200"/>
        <w:rPr/>
      </w:pPr>
      <w:r>
        <w:rPr>
          <w:rFonts w:ascii="Calibri;sans-serif" w:hAnsi="Calibri;sans-serif"/>
          <w:b w:val="false"/>
          <w:color w:val="000000"/>
          <w:sz w:val="22"/>
        </w:rPr>
        <w:t>Participant:    </w:t>
      </w:r>
      <w:r>
        <w:rPr>
          <w:color w:val="000000"/>
          <w:u w:val="single"/>
        </w:rPr>
        <w:t>    </w:t>
      </w:r>
    </w:p>
    <w:p>
      <w:pPr>
        <w:pStyle w:val="TextBody"/>
        <w:spacing w:lineRule="auto" w:line="319" w:before="0" w:after="200"/>
        <w:rPr/>
      </w:pPr>
      <w:r>
        <w:rPr>
          <w:rFonts w:ascii="Calibri;sans-serif" w:hAnsi="Calibri;sans-serif"/>
          <w:b w:val="false"/>
          <w:color w:val="000000"/>
          <w:sz w:val="22"/>
        </w:rPr>
        <w:t>Date of Grant:    </w:t>
      </w:r>
      <w:r>
        <w:rPr>
          <w:color w:val="000000"/>
          <w:u w:val="single"/>
        </w:rPr>
        <w:t>    </w:t>
      </w:r>
    </w:p>
    <w:p>
      <w:pPr>
        <w:pStyle w:val="TextBody"/>
        <w:spacing w:lineRule="auto" w:line="319" w:before="0" w:after="200"/>
        <w:rPr/>
      </w:pPr>
      <w:r>
        <w:rPr>
          <w:rFonts w:ascii="Calibri;sans-serif" w:hAnsi="Calibri;sans-serif"/>
          <w:b w:val="false"/>
          <w:color w:val="000000"/>
          <w:sz w:val="22"/>
        </w:rPr>
        <w:t>Vesting Commencement Date:    </w:t>
      </w:r>
      <w:r>
        <w:rPr>
          <w:color w:val="000000"/>
          <w:u w:val="single"/>
        </w:rPr>
        <w:t>    </w:t>
      </w:r>
    </w:p>
    <w:p>
      <w:pPr>
        <w:pStyle w:val="TextBody"/>
        <w:spacing w:lineRule="auto" w:line="319" w:before="0" w:after="200"/>
        <w:rPr/>
      </w:pPr>
      <w:r>
        <w:rPr>
          <w:rFonts w:ascii="Calibri;sans-serif" w:hAnsi="Calibri;sans-serif"/>
          <w:b w:val="false"/>
          <w:color w:val="000000"/>
          <w:sz w:val="22"/>
        </w:rPr>
        <w:t>Number of Restricted Stock Units:    </w:t>
      </w:r>
      <w:r>
        <w:rPr>
          <w:color w:val="000000"/>
          <w:u w:val="single"/>
        </w:rPr>
        <w:t>    </w:t>
      </w:r>
    </w:p>
    <w:p>
      <w:pPr>
        <w:pStyle w:val="TextBody"/>
        <w:spacing w:before="0" w:after="200"/>
        <w:ind w:left="0" w:right="0" w:hanging="1782"/>
        <w:rPr/>
      </w:pPr>
      <w:r>
        <w:rPr/>
      </w:r>
    </w:p>
    <w:p>
      <w:pPr>
        <w:pStyle w:val="TextBody"/>
        <w:spacing w:lineRule="auto" w:line="319" w:before="0" w:after="200"/>
        <w:ind w:left="0" w:right="0" w:hanging="2862"/>
        <w:rPr/>
      </w:pPr>
      <w:r>
        <w:rPr>
          <w:rFonts w:ascii="Calibri;sans-serif" w:hAnsi="Calibri;sans-serif"/>
          <w:b/>
          <w:color w:val="000000"/>
          <w:sz w:val="22"/>
        </w:rPr>
        <w:t>Vesting Schedule</w:t>
      </w:r>
      <w:r>
        <w:rPr>
          <w:rFonts w:ascii="Calibri;sans-serif" w:hAnsi="Calibri;sans-serif"/>
          <w:b w:val="false"/>
          <w:color w:val="000000"/>
          <w:sz w:val="22"/>
        </w:rPr>
        <w:t>:     [___________________________________________________].</w:t>
      </w:r>
      <w:r>
        <w:rPr>
          <w:color w:val="000000"/>
        </w:rPr>
        <w:t xml:space="preserve"> </w:t>
      </w:r>
    </w:p>
    <w:p>
      <w:pPr>
        <w:pStyle w:val="TextBody"/>
        <w:spacing w:lineRule="auto" w:line="319" w:before="0" w:after="200"/>
        <w:ind w:left="0" w:right="0" w:hanging="45"/>
        <w:rPr>
          <w:rFonts w:ascii="Calibri;sans-serif" w:hAnsi="Calibri;sans-serif"/>
          <w:b w:val="false"/>
          <w:color w:val="000000"/>
          <w:sz w:val="22"/>
        </w:rPr>
      </w:pPr>
      <w:r>
        <w:rPr>
          <w:rFonts w:ascii="Calibri;sans-serif" w:hAnsi="Calibri;sans-serif"/>
          <w:b w:val="false"/>
          <w:color w:val="000000"/>
          <w:sz w:val="22"/>
        </w:rPr>
        <w:t>Notwithstanding the foregoing, vesting shall terminate upon the Participant’s termination of Continuous Service as indicated in section 3.6§2 of the French Sub-Plan.</w:t>
      </w:r>
    </w:p>
    <w:p>
      <w:pPr>
        <w:pStyle w:val="TextBody"/>
        <w:spacing w:lineRule="auto" w:line="319" w:before="0" w:after="240"/>
        <w:ind w:left="0" w:right="0" w:hanging="2880"/>
        <w:rPr/>
      </w:pPr>
      <w:r>
        <w:rPr>
          <w:rFonts w:ascii="Calibri;sans-serif" w:hAnsi="Calibri;sans-serif"/>
          <w:b/>
          <w:color w:val="000000"/>
          <w:sz w:val="22"/>
        </w:rPr>
        <w:t>Issuance Schedule:    </w:t>
      </w:r>
      <w:r>
        <w:rPr>
          <w:rFonts w:ascii="Calibri;sans-serif" w:hAnsi="Calibri;sans-serif"/>
          <w:b w:val="false"/>
          <w:color w:val="000000"/>
          <w:sz w:val="22"/>
        </w:rPr>
        <w:t>The Company shall issue and deliver one (1) share of Common Stock for each restricted stock unit that has vested under this RSU Award in accordance with the terms of the French Sub-Plan. Such Common Stock will be subject to a holding period as set forth in the French Sub-Plan.</w:t>
      </w:r>
    </w:p>
    <w:p>
      <w:pPr>
        <w:pStyle w:val="TextBody"/>
        <w:spacing w:lineRule="auto" w:line="319" w:before="120" w:after="120"/>
        <w:rPr/>
      </w:pPr>
      <w:r>
        <w:rPr>
          <w:rFonts w:ascii="Calibri;sans-serif" w:hAnsi="Calibri;sans-serif"/>
          <w:b/>
          <w:color w:val="000000"/>
          <w:sz w:val="22"/>
        </w:rPr>
        <w:t>Participant Acknowledgements:</w:t>
      </w:r>
      <w:r>
        <w:rPr>
          <w:color w:val="000000"/>
        </w:rPr>
        <w:t xml:space="preserve"> </w:t>
      </w:r>
      <w:r>
        <w:rPr>
          <w:rFonts w:ascii="Calibri;sans-serif" w:hAnsi="Calibri;sans-serif"/>
          <w:b w:val="false"/>
          <w:color w:val="000000"/>
          <w:sz w:val="22"/>
        </w:rPr>
        <w:t>By your signature below or by electronic acceptance or authentication in a form authorized by the Company, you understand and agree that:</w:t>
      </w:r>
    </w:p>
    <w:p>
      <w:pPr>
        <w:pStyle w:val="TextBody"/>
        <w:spacing w:lineRule="auto" w:line="288" w:before="120" w:after="120"/>
        <w:ind w:left="0" w:right="0" w:hanging="360"/>
        <w:jc w:val="both"/>
        <w:rPr/>
      </w:pPr>
      <w:r>
        <w:rPr>
          <w:color w:val="000000"/>
        </w:rPr>
        <w:t>•</w:t>
      </w:r>
      <w:r>
        <w:rPr>
          <w:rFonts w:ascii="Calibri;sans-serif" w:hAnsi="Calibri;sans-serif"/>
          <w:b w:val="false"/>
          <w:color w:val="000000"/>
          <w:sz w:val="22"/>
        </w:rPr>
        <w:t>The RSU Award is governed by this RSU Award Grant Notice (the “</w:t>
      </w:r>
      <w:r>
        <w:rPr>
          <w:rFonts w:ascii="Calibri;sans-serif" w:hAnsi="Calibri;sans-serif"/>
          <w:b/>
          <w:i/>
          <w:color w:val="000000"/>
          <w:sz w:val="22"/>
        </w:rPr>
        <w:t>Grant Notice</w:t>
      </w:r>
      <w:r>
        <w:rPr>
          <w:color w:val="000000"/>
        </w:rPr>
        <w:t>”</w:t>
      </w:r>
      <w:r>
        <w:rPr>
          <w:rFonts w:ascii="Calibri;sans-serif" w:hAnsi="Calibri;sans-serif"/>
          <w:b w:val="false"/>
          <w:color w:val="000000"/>
          <w:sz w:val="22"/>
        </w:rPr>
        <w:t>), and the provisions of the Plan, the French Sub-Plan and the Agreement, all of which are made a part of this document. Unless otherwise provided in the Plan, the French Sub-Plan, this Grant Notice and the Agreement (together, the “</w:t>
      </w:r>
      <w:r>
        <w:rPr>
          <w:rFonts w:ascii="Calibri;sans-serif" w:hAnsi="Calibri;sans-serif"/>
          <w:b/>
          <w:i/>
          <w:color w:val="000000"/>
          <w:sz w:val="22"/>
        </w:rPr>
        <w:t>RSU Award Agreement</w:t>
      </w:r>
      <w:r>
        <w:rPr>
          <w:color w:val="000000"/>
        </w:rPr>
        <w:t>”</w:t>
      </w:r>
      <w:r>
        <w:rPr>
          <w:rFonts w:ascii="Calibri;sans-serif" w:hAnsi="Calibri;sans-serif"/>
          <w:b w:val="false"/>
          <w:color w:val="000000"/>
          <w:sz w:val="22"/>
        </w:rPr>
        <w:t xml:space="preserve">) may not be modified, amended or revised except in a writing signed by you and a duly authorized officer of the Company. </w:t>
      </w:r>
    </w:p>
    <w:p>
      <w:pPr>
        <w:pStyle w:val="TextBody"/>
        <w:spacing w:lineRule="auto" w:line="288" w:before="120" w:after="120"/>
        <w:ind w:left="0" w:right="0" w:hanging="360"/>
        <w:jc w:val="both"/>
        <w:rPr/>
      </w:pPr>
      <w:r>
        <w:rPr>
          <w:color w:val="000000"/>
        </w:rPr>
        <w:t>•</w:t>
      </w:r>
      <w:r>
        <w:rPr>
          <w:rFonts w:ascii="Calibri;sans-serif" w:hAnsi="Calibri;sans-serif"/>
          <w:b w:val="false"/>
          <w:color w:val="000000"/>
          <w:sz w:val="22"/>
        </w:rPr>
        <w:t xml:space="preserve">You have read and are familiar with the provisions of the Plan, the French Sub-Plan, the RSU Award Agreement and the Prospectus. In the event of any conflict between the provisions in the RSU Award Agreement, or the Prospectus and the terms of the French Sub-Plan and the terms of the Plan, the terms of the French Sub-Plan shall control, and then the terms of the Plan </w:t>
      </w:r>
      <w:r>
        <w:br w:type="page"/>
      </w:r>
    </w:p>
    <w:p>
      <w:pPr>
        <w:pStyle w:val="TextBody"/>
        <w:spacing w:before="0" w:after="200"/>
        <w:jc w:val="righ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4" name="Frame1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120" w:after="120"/>
        <w:jc w:val="both"/>
        <w:rPr>
          <w:rFonts w:ascii="Calibri;sans-serif" w:hAnsi="Calibri;sans-serif"/>
          <w:b w:val="false"/>
          <w:color w:val="000000"/>
          <w:sz w:val="22"/>
        </w:rPr>
      </w:pPr>
      <w:r>
        <w:rPr>
          <w:rFonts w:ascii="Calibri;sans-serif" w:hAnsi="Calibri;sans-serif"/>
          <w:b w:val="false"/>
          <w:color w:val="000000"/>
          <w:sz w:val="22"/>
        </w:rPr>
        <w:t xml:space="preserve">in that order. In the event of any conflict between the provisions of the Plan and the terms of the French Sub-Plan, the terms of the French Sub-Plan shall control. </w:t>
      </w:r>
    </w:p>
    <w:p>
      <w:pPr>
        <w:pStyle w:val="TextBody"/>
        <w:spacing w:lineRule="auto" w:line="288" w:before="120" w:after="120"/>
        <w:ind w:left="0" w:right="0" w:hanging="360"/>
        <w:jc w:val="both"/>
        <w:rPr/>
      </w:pPr>
      <w:r>
        <w:rPr>
          <w:color w:val="000000"/>
        </w:rPr>
        <w:t>•</w:t>
      </w:r>
      <w:r>
        <w:rPr>
          <w:rFonts w:ascii="Calibri;sans-serif" w:hAnsi="Calibri;sans-serif"/>
          <w:b w:val="false"/>
          <w:color w:val="000000"/>
          <w:sz w:val="22"/>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pStyle w:val="TextBody"/>
        <w:spacing w:lineRule="auto" w:line="319" w:before="360" w:after="360"/>
        <w:rPr>
          <w:rFonts w:ascii="Calibri;sans-serif" w:hAnsi="Calibri;sans-serif"/>
          <w:b/>
          <w:color w:val="000000"/>
          <w:sz w:val="22"/>
        </w:rPr>
      </w:pPr>
      <w:r>
        <w:rPr>
          <w:rFonts w:ascii="Calibri;sans-serif" w:hAnsi="Calibri;sans-serif"/>
          <w:b/>
          <w:color w:val="000000"/>
          <w:sz w:val="22"/>
        </w:rPr>
        <w:t>Asana, Inc.    Participant:</w:t>
      </w:r>
    </w:p>
    <w:p>
      <w:pPr>
        <w:pStyle w:val="TextBody"/>
        <w:spacing w:lineRule="auto" w:line="319" w:before="0" w:after="200"/>
        <w:rPr/>
      </w:pPr>
      <w:r>
        <w:rPr>
          <w:rFonts w:ascii="Calibri;sans-serif" w:hAnsi="Calibri;sans-serif"/>
          <w:b w:val="false"/>
          <w:color w:val="000000"/>
          <w:sz w:val="22"/>
        </w:rPr>
        <w:t xml:space="preserve">By: </w:t>
      </w:r>
      <w:r>
        <w:rPr>
          <w:color w:val="000000"/>
          <w:u w:val="single"/>
        </w:rPr>
        <w:t>    </w:t>
      </w:r>
      <w:r>
        <w:rPr>
          <w:color w:val="000000"/>
        </w:rPr>
        <w:t>    </w:t>
      </w:r>
      <w:r>
        <w:rPr>
          <w:color w:val="000000"/>
          <w:u w:val="single"/>
        </w:rPr>
        <w:t>    </w:t>
      </w:r>
    </w:p>
    <w:p>
      <w:pPr>
        <w:pStyle w:val="TextBody"/>
        <w:spacing w:lineRule="auto" w:line="319" w:before="0" w:after="240"/>
        <w:rPr>
          <w:color w:val="000000"/>
        </w:rPr>
      </w:pPr>
      <w:r>
        <w:rPr>
          <w:color w:val="000000"/>
        </w:rPr>
        <w:t>    </w:t>
      </w:r>
      <w:r>
        <w:rPr>
          <w:rFonts w:ascii="Calibri;sans-serif" w:hAnsi="Calibri;sans-serif"/>
          <w:b w:val="false"/>
          <w:color w:val="000000"/>
          <w:sz w:val="22"/>
        </w:rPr>
        <w:t>Signature    Signature</w:t>
      </w:r>
    </w:p>
    <w:p>
      <w:pPr>
        <w:pStyle w:val="TextBody"/>
        <w:spacing w:lineRule="auto" w:line="319" w:before="0" w:after="240"/>
        <w:rPr/>
      </w:pPr>
      <w:r>
        <w:rPr>
          <w:rFonts w:ascii="Calibri;sans-serif" w:hAnsi="Calibri;sans-serif"/>
          <w:b w:val="false"/>
          <w:color w:val="000000"/>
          <w:sz w:val="22"/>
        </w:rPr>
        <w:t xml:space="preserve">Title: </w:t>
      </w:r>
      <w:r>
        <w:rPr>
          <w:color w:val="000000"/>
          <w:u w:val="single"/>
        </w:rPr>
        <w:t>    </w:t>
      </w:r>
      <w:r>
        <w:rPr>
          <w:color w:val="000000"/>
        </w:rPr>
        <w:t>    </w:t>
      </w:r>
      <w:r>
        <w:rPr>
          <w:rFonts w:ascii="Calibri;sans-serif" w:hAnsi="Calibri;sans-serif"/>
          <w:b w:val="false"/>
          <w:color w:val="000000"/>
          <w:sz w:val="22"/>
        </w:rPr>
        <w:t xml:space="preserve">Date: </w:t>
      </w:r>
      <w:r>
        <w:rPr>
          <w:color w:val="000000"/>
          <w:u w:val="single"/>
        </w:rPr>
        <w:t>    </w:t>
      </w:r>
    </w:p>
    <w:p>
      <w:pPr>
        <w:pStyle w:val="TextBody"/>
        <w:spacing w:lineRule="auto" w:line="319" w:before="0" w:after="240"/>
        <w:rPr/>
      </w:pPr>
      <w:r>
        <w:rPr>
          <w:rFonts w:ascii="Calibri;sans-serif" w:hAnsi="Calibri;sans-serif"/>
          <w:b w:val="false"/>
          <w:color w:val="000000"/>
          <w:sz w:val="22"/>
        </w:rPr>
        <w:t>Date:</w:t>
      </w:r>
      <w:r>
        <w:rPr>
          <w:color w:val="000000"/>
          <w:u w:val="single"/>
        </w:rPr>
        <w:t>    </w:t>
      </w:r>
    </w:p>
    <w:p>
      <w:pPr>
        <w:pStyle w:val="TextBody"/>
        <w:spacing w:before="0" w:after="200"/>
        <w:ind w:left="0" w:right="0" w:hanging="1710"/>
        <w:rPr/>
      </w:pPr>
      <w:r>
        <w:rPr/>
      </w:r>
    </w:p>
    <w:p>
      <w:pPr>
        <w:pStyle w:val="TextBody"/>
        <w:spacing w:lineRule="auto" w:line="319" w:before="0" w:after="200"/>
        <w:ind w:left="0" w:right="0" w:hanging="1710"/>
        <w:rPr/>
      </w:pPr>
      <w:r>
        <w:rPr>
          <w:rFonts w:ascii="Calibri;sans-serif" w:hAnsi="Calibri;sans-serif"/>
          <w:b/>
          <w:color w:val="000000"/>
          <w:sz w:val="22"/>
        </w:rPr>
        <w:t>Attachments</w:t>
      </w:r>
      <w:r>
        <w:rPr>
          <w:rFonts w:ascii="Calibri;sans-serif" w:hAnsi="Calibri;sans-serif"/>
          <w:b w:val="false"/>
          <w:color w:val="000000"/>
          <w:sz w:val="22"/>
        </w:rPr>
        <w:t>:     RSU Award Agreement, 2020</w:t>
      </w:r>
      <w:r>
        <w:rPr>
          <w:color w:val="4F81BD"/>
        </w:rPr>
        <w:t xml:space="preserve"> </w:t>
      </w:r>
      <w:r>
        <w:rPr>
          <w:rFonts w:ascii="Calibri;sans-serif" w:hAnsi="Calibri;sans-serif"/>
          <w:b w:val="false"/>
          <w:color w:val="000000"/>
          <w:sz w:val="22"/>
        </w:rPr>
        <w:t>Equity Incentive Plan</w:t>
      </w:r>
      <w:r>
        <w:rPr/>
        <w:drawing>
          <wp:inline distT="0" distB="63500" distL="0" distR="0">
            <wp:extent cx="47625" cy="57150"/>
            <wp:effectExtent l="0" t="0" r="0" b="0"/>
            <wp:docPr id="265"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08" descr=""/>
                    <pic:cNvPicPr>
                      <a:picLocks noChangeAspect="1" noChangeArrowheads="1"/>
                    </pic:cNvPicPr>
                  </pic:nvPicPr>
                  <pic:blipFill>
                    <a:blip r:embed="rId109"/>
                    <a:stretch>
                      <a:fillRect/>
                    </a:stretch>
                  </pic:blipFill>
                  <pic:spPr bwMode="auto">
                    <a:xfrm>
                      <a:off x="0" y="0"/>
                      <a:ext cx="47625" cy="57150"/>
                    </a:xfrm>
                    <a:prstGeom prst="rect">
                      <a:avLst/>
                    </a:prstGeom>
                  </pic:spPr>
                </pic:pic>
              </a:graphicData>
            </a:graphic>
          </wp:inline>
        </w:drawing>
      </w:r>
    </w:p>
    <w:p>
      <w:pPr>
        <w:pStyle w:val="TextBody"/>
        <w:spacing w:before="0" w:after="2"/>
        <w:rPr/>
      </w:pPr>
      <w:r>
        <w:rPr/>
      </w:r>
    </w:p>
    <w:p>
      <w:pPr>
        <w:pStyle w:val="TextBody"/>
        <w:spacing w:before="0" w:after="2"/>
        <w:rPr/>
      </w:pPr>
      <w:r>
        <w:rPr/>
      </w:r>
    </w:p>
    <w:p>
      <w:pPr>
        <w:pStyle w:val="TextBody"/>
        <w:spacing w:before="0" w:after="200"/>
        <w:ind w:left="0" w:right="0" w:hanging="171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6" name="Frame1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rPr/>
                      </w:pPr>
                      <w:r>
                        <w:rPr/>
                      </w:r>
                    </w:p>
                  </w:txbxContent>
                </v:textbox>
              </v:rect>
            </w:pict>
          </mc:Fallback>
        </mc:AlternateContent>
      </w:r>
    </w:p>
    <w:p>
      <w:pPr>
        <w:pStyle w:val="TextBody"/>
        <w:spacing w:lineRule="auto" w:line="319" w:before="0" w:after="200"/>
        <w:jc w:val="center"/>
        <w:rPr>
          <w:rFonts w:ascii="Calibri;sans-serif" w:hAnsi="Calibri;sans-serif"/>
          <w:b/>
          <w:color w:val="000000"/>
          <w:sz w:val="22"/>
        </w:rPr>
      </w:pPr>
      <w:r>
        <w:rPr>
          <w:rFonts w:ascii="Calibri;sans-serif" w:hAnsi="Calibri;sans-serif"/>
          <w:b/>
          <w:color w:val="000000"/>
          <w:sz w:val="22"/>
        </w:rPr>
        <w:t>Attachment I</w:t>
      </w:r>
    </w:p>
    <w:p>
      <w:pPr>
        <w:pStyle w:val="TextBody"/>
        <w:spacing w:lineRule="auto" w:line="319" w:before="0" w:after="200"/>
        <w:jc w:val="center"/>
        <w:rPr>
          <w:rFonts w:ascii="Calibri;sans-serif" w:hAnsi="Calibri;sans-serif"/>
          <w:b/>
          <w:color w:val="000000"/>
          <w:sz w:val="22"/>
        </w:rPr>
      </w:pPr>
      <w:r>
        <w:rPr>
          <w:rFonts w:ascii="Calibri;sans-serif" w:hAnsi="Calibri;sans-serif"/>
          <w:b/>
          <w:color w:val="000000"/>
          <w:sz w:val="22"/>
        </w:rPr>
        <w:t>Asana, Inc.</w:t>
      </w:r>
    </w:p>
    <w:p>
      <w:pPr>
        <w:pStyle w:val="TextBody"/>
        <w:spacing w:lineRule="auto" w:line="319" w:before="0" w:after="240"/>
        <w:jc w:val="center"/>
        <w:rPr>
          <w:rFonts w:ascii="Calibri;sans-serif" w:hAnsi="Calibri;sans-serif"/>
          <w:b/>
          <w:color w:val="000000"/>
          <w:sz w:val="22"/>
        </w:rPr>
      </w:pPr>
      <w:r>
        <w:rPr>
          <w:rFonts w:ascii="Calibri;sans-serif" w:hAnsi="Calibri;sans-serif"/>
          <w:b/>
          <w:color w:val="000000"/>
          <w:sz w:val="22"/>
        </w:rPr>
        <w:t>2020 Equity Incentive Plan</w:t>
      </w:r>
    </w:p>
    <w:p>
      <w:pPr>
        <w:pStyle w:val="TextBody"/>
        <w:spacing w:lineRule="auto" w:line="319" w:before="0" w:after="480"/>
        <w:jc w:val="center"/>
        <w:rPr>
          <w:rFonts w:ascii="Calibri;sans-serif" w:hAnsi="Calibri;sans-serif"/>
          <w:b/>
          <w:color w:val="000000"/>
          <w:sz w:val="22"/>
        </w:rPr>
      </w:pPr>
      <w:r>
        <w:rPr>
          <w:rFonts w:ascii="Calibri;sans-serif" w:hAnsi="Calibri;sans-serif"/>
          <w:b/>
          <w:color w:val="000000"/>
          <w:sz w:val="22"/>
        </w:rPr>
        <w:t>Award Agreement (RSU Award)</w:t>
      </w:r>
    </w:p>
    <w:p>
      <w:pPr>
        <w:pStyle w:val="TextBody"/>
        <w:spacing w:lineRule="auto" w:line="319" w:before="0" w:after="240"/>
        <w:ind w:left="0" w:right="0" w:firstLine="720"/>
        <w:rPr/>
      </w:pPr>
      <w:r>
        <w:rPr>
          <w:rFonts w:ascii="Calibri;sans-serif" w:hAnsi="Calibri;sans-serif"/>
          <w:b w:val="false"/>
          <w:color w:val="000000"/>
          <w:sz w:val="22"/>
        </w:rPr>
        <w:t>As reflected by your RSU Award Grant Notice (“</w:t>
      </w:r>
      <w:r>
        <w:rPr>
          <w:rFonts w:ascii="Calibri;sans-serif" w:hAnsi="Calibri;sans-serif"/>
          <w:b/>
          <w:i/>
          <w:color w:val="000000"/>
          <w:sz w:val="22"/>
        </w:rPr>
        <w:t>Grant Notice</w:t>
      </w:r>
      <w:r>
        <w:rPr>
          <w:color w:val="000000"/>
        </w:rPr>
        <w:t>”</w:t>
      </w:r>
      <w:r>
        <w:rPr>
          <w:rFonts w:ascii="Calibri;sans-serif" w:hAnsi="Calibri;sans-serif"/>
          <w:b w:val="false"/>
          <w:color w:val="000000"/>
          <w:sz w:val="22"/>
        </w:rPr>
        <w:t>) Asana, Inc. (the “</w:t>
      </w:r>
      <w:r>
        <w:rPr>
          <w:rFonts w:ascii="Calibri;sans-serif" w:hAnsi="Calibri;sans-serif"/>
          <w:b/>
          <w:i/>
          <w:color w:val="000000"/>
          <w:sz w:val="22"/>
        </w:rPr>
        <w:t>Company</w:t>
      </w:r>
      <w:r>
        <w:rPr>
          <w:color w:val="000000"/>
        </w:rPr>
        <w:t>”</w:t>
      </w:r>
      <w:r>
        <w:rPr>
          <w:rFonts w:ascii="Calibri;sans-serif" w:hAnsi="Calibri;sans-serif"/>
          <w:b w:val="false"/>
          <w:color w:val="000000"/>
          <w:sz w:val="22"/>
        </w:rPr>
        <w:t>) has granted you a RSU Award under its 2020 Equity Incentive Plan (the “</w:t>
      </w:r>
      <w:r>
        <w:rPr>
          <w:rFonts w:ascii="Calibri;sans-serif" w:hAnsi="Calibri;sans-serif"/>
          <w:b/>
          <w:i/>
          <w:color w:val="000000"/>
          <w:sz w:val="22"/>
        </w:rPr>
        <w:t>Plan</w:t>
      </w:r>
      <w:r>
        <w:rPr>
          <w:color w:val="000000"/>
        </w:rPr>
        <w:t>”</w:t>
      </w:r>
      <w:r>
        <w:rPr>
          <w:rFonts w:ascii="Calibri;sans-serif" w:hAnsi="Calibri;sans-serif"/>
          <w:b w:val="false"/>
          <w:color w:val="000000"/>
          <w:sz w:val="22"/>
        </w:rPr>
        <w:t>) for the number of restricted stock units as indicated in your Grant Notice (the “</w:t>
      </w:r>
      <w:r>
        <w:rPr>
          <w:rFonts w:ascii="Calibri;sans-serif" w:hAnsi="Calibri;sans-serif"/>
          <w:b/>
          <w:i/>
          <w:color w:val="000000"/>
          <w:sz w:val="22"/>
        </w:rPr>
        <w:t>RSU Award</w:t>
      </w:r>
      <w:r>
        <w:rPr>
          <w:color w:val="000000"/>
        </w:rPr>
        <w:t>”</w:t>
      </w:r>
      <w:r>
        <w:rPr>
          <w:rFonts w:ascii="Calibri;sans-serif" w:hAnsi="Calibri;sans-serif"/>
          <w:b w:val="false"/>
          <w:color w:val="000000"/>
          <w:sz w:val="22"/>
        </w:rPr>
        <w:t>). The terms of your RSU Award as specified in this Award Agreement for your RSU Award (the “</w:t>
      </w:r>
      <w:r>
        <w:rPr>
          <w:rFonts w:ascii="Calibri;sans-serif" w:hAnsi="Calibri;sans-serif"/>
          <w:b/>
          <w:i/>
          <w:color w:val="000000"/>
          <w:sz w:val="22"/>
        </w:rPr>
        <w:t>Agreement</w:t>
      </w:r>
      <w:r>
        <w:rPr>
          <w:color w:val="000000"/>
        </w:rPr>
        <w:t>”</w:t>
      </w:r>
      <w:r>
        <w:rPr>
          <w:rFonts w:ascii="Calibri;sans-serif" w:hAnsi="Calibri;sans-serif"/>
          <w:b w:val="false"/>
          <w:color w:val="000000"/>
          <w:sz w:val="22"/>
        </w:rPr>
        <w:t>) and the Grant Notice constitute your “</w:t>
      </w:r>
      <w:r>
        <w:rPr>
          <w:rFonts w:ascii="Calibri;sans-serif" w:hAnsi="Calibri;sans-serif"/>
          <w:b/>
          <w:i/>
          <w:color w:val="000000"/>
          <w:sz w:val="22"/>
        </w:rPr>
        <w:t>RSU Award Agreement</w:t>
      </w:r>
      <w:r>
        <w:rPr>
          <w:color w:val="000000"/>
        </w:rPr>
        <w:t>”</w:t>
      </w:r>
      <w:r>
        <w:rPr>
          <w:rFonts w:ascii="Calibri;sans-serif" w:hAnsi="Calibri;sans-serif"/>
          <w:b w:val="false"/>
          <w:color w:val="000000"/>
          <w:sz w:val="22"/>
        </w:rPr>
        <w:t xml:space="preserve">. Defined terms not explicitly defined in this Agreement but defined in the Grant Notice or the Plan shall have the same definitions as in the Grant Notice or Plan, as applicable. </w:t>
      </w:r>
    </w:p>
    <w:p>
      <w:pPr>
        <w:pStyle w:val="TextBody"/>
        <w:spacing w:lineRule="auto" w:line="319" w:before="0" w:after="240"/>
        <w:ind w:left="0" w:right="0" w:firstLine="720"/>
        <w:rPr>
          <w:rFonts w:ascii="Calibri;sans-serif" w:hAnsi="Calibri;sans-serif"/>
          <w:b w:val="false"/>
          <w:color w:val="000000"/>
          <w:sz w:val="22"/>
        </w:rPr>
      </w:pPr>
      <w:r>
        <w:rPr>
          <w:rFonts w:ascii="Calibri;sans-serif" w:hAnsi="Calibri;sans-serif"/>
          <w:b w:val="false"/>
          <w:color w:val="000000"/>
          <w:sz w:val="22"/>
        </w:rPr>
        <w:t>The general terms applicable to your RSU Award are as follows:</w:t>
      </w:r>
    </w:p>
    <w:p>
      <w:pPr>
        <w:pStyle w:val="TextBody"/>
        <w:spacing w:lineRule="auto" w:line="288" w:before="0" w:after="240"/>
        <w:ind w:left="0" w:right="0" w:firstLine="720"/>
        <w:jc w:val="both"/>
        <w:rPr/>
      </w:pPr>
      <w:r>
        <w:rPr>
          <w:rFonts w:ascii="Times New Roman;sans-serif" w:hAnsi="Times New Roman;sans-serif"/>
          <w:b/>
          <w:color w:val="000000"/>
          <w:sz w:val="24"/>
        </w:rPr>
        <w:t>1.</w:t>
      </w:r>
      <w:r>
        <w:rPr>
          <w:rFonts w:ascii="Calibri;sans-serif" w:hAnsi="Calibri;sans-serif"/>
          <w:b/>
          <w:color w:val="000000"/>
          <w:sz w:val="22"/>
        </w:rPr>
        <w:t>Governing Plan Document.</w:t>
      </w:r>
      <w:r>
        <w:rPr>
          <w:color w:val="000000"/>
        </w:rPr>
        <w:t xml:space="preserve"> </w:t>
      </w:r>
      <w:r>
        <w:rPr>
          <w:rFonts w:ascii="Calibri;sans-serif" w:hAnsi="Calibri;sans-serif"/>
          <w:b w:val="false"/>
          <w:color w:val="000000"/>
          <w:sz w:val="22"/>
        </w:rPr>
        <w:t xml:space="preserve">Your RSU Award is subject to all the provisions of the Plan, including but not limited to the provisions in: </w:t>
      </w:r>
    </w:p>
    <w:p>
      <w:pPr>
        <w:pStyle w:val="TextBody"/>
        <w:spacing w:lineRule="auto" w:line="288" w:before="0" w:after="240"/>
        <w:ind w:left="0" w:right="0" w:firstLine="1313"/>
        <w:jc w:val="both"/>
        <w:rPr/>
      </w:pPr>
      <w:r>
        <w:rPr>
          <w:rFonts w:ascii="Times New Roman;sans-serif" w:hAnsi="Times New Roman;sans-serif"/>
          <w:b/>
          <w:color w:val="000000"/>
          <w:sz w:val="24"/>
        </w:rPr>
        <w:t>i.</w:t>
      </w:r>
      <w:r>
        <w:rPr>
          <w:rFonts w:ascii="Calibri;sans-serif" w:hAnsi="Calibri;sans-serif"/>
          <w:b w:val="false"/>
          <w:color w:val="000000"/>
          <w:sz w:val="22"/>
        </w:rPr>
        <w:t>Section 3 of the French Sub-Plan, and Section 6 of the Plan regarding the impact of a Capitalization Adjustment, dissolution, liquidation, or Corporate Transaction on your RSU Award;</w:t>
      </w:r>
    </w:p>
    <w:p>
      <w:pPr>
        <w:pStyle w:val="TextBody"/>
        <w:spacing w:lineRule="auto" w:line="288" w:before="0" w:after="240"/>
        <w:ind w:left="0" w:right="0" w:firstLine="1247"/>
        <w:jc w:val="both"/>
        <w:rPr/>
      </w:pPr>
      <w:r>
        <w:rPr>
          <w:rFonts w:ascii="Times New Roman;sans-serif" w:hAnsi="Times New Roman;sans-serif"/>
          <w:b/>
          <w:color w:val="000000"/>
          <w:sz w:val="24"/>
        </w:rPr>
        <w:t>ii.</w:t>
      </w:r>
      <w:r>
        <w:rPr>
          <w:rFonts w:ascii="Calibri;sans-serif" w:hAnsi="Calibri;sans-serif"/>
          <w:b w:val="false"/>
          <w:color w:val="000000"/>
          <w:sz w:val="22"/>
        </w:rPr>
        <w:t xml:space="preserve">Section 3.6 of the French Sub-Plan, and Section 9(e) of the Plan regarding the Company’s retained rights to terminate your Continuous Service notwithstanding the grant of the RSU Award; and </w:t>
      </w:r>
    </w:p>
    <w:p>
      <w:pPr>
        <w:pStyle w:val="TextBody"/>
        <w:spacing w:lineRule="auto" w:line="288" w:before="0" w:after="240"/>
        <w:ind w:left="0" w:right="0" w:firstLine="1180"/>
        <w:jc w:val="both"/>
        <w:rPr/>
      </w:pPr>
      <w:r>
        <w:rPr>
          <w:rFonts w:ascii="Times New Roman;sans-serif" w:hAnsi="Times New Roman;sans-serif"/>
          <w:b/>
          <w:color w:val="000000"/>
          <w:sz w:val="24"/>
        </w:rPr>
        <w:t>iii.</w:t>
      </w:r>
      <w:r>
        <w:rPr>
          <w:rFonts w:ascii="Calibri;sans-serif" w:hAnsi="Calibri;sans-serif"/>
          <w:b w:val="false"/>
          <w:color w:val="000000"/>
          <w:sz w:val="22"/>
        </w:rPr>
        <w:t xml:space="preserve">Section 7 of the French Sub-Plan, and Section 8(c) of the Plan regarding the tax consequences of your RSU Award. </w:t>
      </w:r>
    </w:p>
    <w:p>
      <w:pPr>
        <w:pStyle w:val="TextBody"/>
        <w:spacing w:lineRule="auto" w:line="319" w:before="0" w:after="240"/>
        <w:ind w:left="0" w:right="0" w:firstLine="1440"/>
        <w:rPr>
          <w:rFonts w:ascii="Calibri;sans-serif" w:hAnsi="Calibri;sans-serif"/>
          <w:b w:val="false"/>
          <w:color w:val="000000"/>
          <w:sz w:val="22"/>
        </w:rPr>
      </w:pPr>
      <w:r>
        <w:rPr>
          <w:rFonts w:ascii="Calibri;sans-serif" w:hAnsi="Calibri;sans-serif"/>
          <w:b w:val="false"/>
          <w:color w:val="000000"/>
          <w:sz w:val="22"/>
        </w:rPr>
        <w:t xml:space="preserve">Your RSU Award is further subject to all interpretations, amendments, rules and regulations, which may from time to time be promulgated and adopted pursuant to the Plan and the French Sub-Plan. In the event of any conflict between the RSU Award Agreement and the provisions of the Plan and/or the provisions of the French Sub-Plan, the provisions of the French Sub-Plan shall control, and then the provisions of the Plan, in that order. </w:t>
      </w:r>
    </w:p>
    <w:p>
      <w:pPr>
        <w:pStyle w:val="TextBody"/>
        <w:spacing w:lineRule="auto" w:line="288" w:before="0" w:after="240"/>
        <w:ind w:left="0" w:right="0" w:firstLine="720"/>
        <w:jc w:val="both"/>
        <w:rPr/>
      </w:pPr>
      <w:r>
        <w:rPr>
          <w:rFonts w:ascii="Times New Roman;sans-serif" w:hAnsi="Times New Roman;sans-serif"/>
          <w:b/>
          <w:color w:val="000000"/>
          <w:sz w:val="24"/>
        </w:rPr>
        <w:t>a.</w:t>
      </w:r>
      <w:r>
        <w:rPr>
          <w:rFonts w:ascii="Calibri;sans-serif" w:hAnsi="Calibri;sans-serif"/>
          <w:b/>
          <w:color w:val="000000"/>
          <w:sz w:val="22"/>
        </w:rPr>
        <w:t xml:space="preserve">Grant of the RSU Award. </w:t>
      </w:r>
      <w:r>
        <w:rPr>
          <w:rFonts w:ascii="Calibri;sans-serif" w:hAnsi="Calibri;sans-serif"/>
          <w:b w:val="false"/>
          <w:color w:val="000000"/>
          <w:sz w:val="22"/>
        </w:rPr>
        <w:t>This RSU Award represents your right to be issued on a future date the number of shares of the Company’s Common Stock that is equal to the number of restricted stock units indicated in the Grant Notice as modified to reflect any adjustment as provided in the French Subs-Plan, and/or any Capitalization Adjustment and subject to your satisfaction of the vesting conditions set forth therein (the “</w:t>
      </w:r>
      <w:r>
        <w:rPr>
          <w:rFonts w:ascii="Calibri;sans-serif" w:hAnsi="Calibri;sans-serif"/>
          <w:b/>
          <w:i/>
          <w:color w:val="000000"/>
          <w:sz w:val="22"/>
        </w:rPr>
        <w:t>Restricted Stock Units</w:t>
      </w:r>
      <w:r>
        <w:rPr>
          <w:color w:val="000000"/>
        </w:rPr>
        <w:t>”</w:t>
      </w:r>
      <w:r>
        <w:rPr>
          <w:rFonts w:ascii="Calibri;sans-serif" w:hAnsi="Calibri;sans-serif"/>
          <w:b w:val="false"/>
          <w:color w:val="000000"/>
          <w:sz w:val="22"/>
        </w:rPr>
        <w:t>). Any additional Restricted Stock Units that become subject to the RSU Award pursuant to an adjustment as set forth in the French Sub-Plan, and/or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r>
        <w:br w:type="page"/>
      </w:r>
    </w:p>
    <w:p>
      <w:pPr>
        <w:pStyle w:val="TextBody"/>
        <w:spacing w:before="0" w:after="200"/>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535305"/>
                <wp:effectExtent l="0" t="0" r="0" b="0"/>
                <wp:wrapNone/>
                <wp:docPr id="267" name="Frame159"/>
                <a:graphic xmlns:a="http://schemas.openxmlformats.org/drawingml/2006/main">
                  <a:graphicData uri="http://schemas.microsoft.com/office/word/2010/wordprocessingShape">
                    <wps:wsp>
                      <wps:cNvSpPr txBox="1"/>
                      <wps:spPr>
                        <a:xfrm>
                          <a:off x="0" y="0"/>
                          <a:ext cx="6480175" cy="535305"/>
                        </a:xfrm>
                        <a:prstGeom prst="rect"/>
                      </wps:spPr>
                      <wps:txbx>
                        <w:txbxContent>
                          <w:p>
                            <w:pPr>
                              <w:pStyle w:val="TextBody"/>
                              <w:spacing w:lineRule="auto" w:line="319" w:before="0" w:after="200"/>
                              <w:rPr>
                                <w:color w:val="000000"/>
                              </w:rPr>
                            </w:pPr>
                            <w:r>
                              <w:rPr>
                                <w:color w:val="000000"/>
                              </w:rPr>
                              <w:t>    </w:t>
                            </w:r>
                          </w:p>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0" w:after="200"/>
                        <w:rPr>
                          <w:color w:val="000000"/>
                        </w:rPr>
                      </w:pPr>
                      <w:r>
                        <w:rPr>
                          <w:color w:val="000000"/>
                        </w:rPr>
                        <w:t>    </w:t>
                      </w:r>
                    </w:p>
                    <w:p>
                      <w:pPr>
                        <w:pStyle w:val="TextBody"/>
                        <w:spacing w:before="0" w:after="200"/>
                        <w:rPr/>
                      </w:pPr>
                      <w:r>
                        <w:rPr/>
                      </w:r>
                    </w:p>
                  </w:txbxContent>
                </v:textbox>
              </v:rect>
            </w:pict>
          </mc:Fallback>
        </mc:AlternateContent>
      </w:r>
    </w:p>
    <w:p>
      <w:pPr>
        <w:pStyle w:val="TextBody"/>
        <w:spacing w:lineRule="auto" w:line="288" w:before="0" w:after="240"/>
        <w:ind w:left="0" w:right="0" w:firstLine="720"/>
        <w:jc w:val="both"/>
        <w:rPr/>
      </w:pPr>
      <w:r>
        <w:rPr>
          <w:rFonts w:ascii="Times New Roman;sans-serif" w:hAnsi="Times New Roman;sans-serif"/>
          <w:b/>
          <w:color w:val="000000"/>
          <w:sz w:val="24"/>
        </w:rPr>
        <w:t>b.</w:t>
      </w:r>
      <w:r>
        <w:rPr>
          <w:rFonts w:ascii="Calibri;sans-serif" w:hAnsi="Calibri;sans-serif"/>
          <w:b/>
          <w:color w:val="000000"/>
          <w:sz w:val="22"/>
        </w:rPr>
        <w:t xml:space="preserve">Dividends. </w:t>
      </w:r>
      <w:r>
        <w:rPr>
          <w:rFonts w:ascii="Calibri;sans-serif" w:hAnsi="Calibri;sans-serif"/>
          <w:b w:val="false"/>
          <w:color w:val="000000"/>
          <w:sz w:val="22"/>
        </w:rPr>
        <w:t>You shall receive no benefit or adjustment to your RSU Award with respect to any cash dividend, stock dividend or other distribution that does not result from an adjustment under the provisions of the French Sub-Plan, and Or Capitalization Adjustment as provided in the Plan; provided, however, that this sentence shall not apply with respect to any shares of Common Stock that are delivered to you in connection with your RSU Award after such shares have been delivered to you.</w:t>
      </w:r>
    </w:p>
    <w:p>
      <w:pPr>
        <w:pStyle w:val="TextBody"/>
        <w:spacing w:lineRule="auto" w:line="288" w:before="0" w:after="240"/>
        <w:ind w:left="0" w:right="0" w:firstLine="720"/>
        <w:jc w:val="both"/>
        <w:rPr/>
      </w:pPr>
      <w:r>
        <w:rPr>
          <w:rFonts w:ascii="Times New Roman;sans-serif" w:hAnsi="Times New Roman;sans-serif"/>
          <w:b/>
          <w:color w:val="000000"/>
          <w:sz w:val="24"/>
        </w:rPr>
        <w:t>c.</w:t>
      </w:r>
      <w:r>
        <w:rPr>
          <w:rFonts w:ascii="Calibri;sans-serif" w:hAnsi="Calibri;sans-serif"/>
          <w:b/>
          <w:color w:val="000000"/>
          <w:sz w:val="22"/>
        </w:rPr>
        <w:t xml:space="preserve">Withholding Obligations. </w:t>
      </w:r>
      <w:r>
        <w:rPr>
          <w:rFonts w:ascii="Calibri;sans-serif" w:hAnsi="Calibri;sans-serif"/>
          <w:b w:val="false"/>
          <w:color w:val="000000"/>
          <w:sz w:val="22"/>
        </w:rPr>
        <w:t>As further provided in Section 8 of the Plan, you hereby authorize withholding from payroll and any other amounts payable to you, and otherwise agree to make adequate provision for, any sums required to satisfy the federal, state, local and foreign tax and/or social security withholding obligations (including those administrations of France), if any, which arise in connection with your RSU Award (the “</w:t>
      </w:r>
      <w:r>
        <w:rPr>
          <w:rFonts w:ascii="Calibri;sans-serif" w:hAnsi="Calibri;sans-serif"/>
          <w:b/>
          <w:i/>
          <w:color w:val="000000"/>
          <w:sz w:val="22"/>
        </w:rPr>
        <w:t>Withholding Taxes</w:t>
      </w:r>
      <w:r>
        <w:rPr>
          <w:color w:val="000000"/>
        </w:rPr>
        <w:t>”</w:t>
      </w:r>
      <w:r>
        <w:rPr>
          <w:rFonts w:ascii="Calibri;sans-serif" w:hAnsi="Calibri;sans-serif"/>
          <w:b w:val="false"/>
          <w:color w:val="000000"/>
          <w:sz w:val="22"/>
        </w:rPr>
        <w:t>) in accordance with the withholding procedures established by the Company. Unless the Withholding Taxes are satisfied, the Company shall have no obligation to deliver to you any Common Stock in respect of the RSU Award. In the event the obligation of the company or its Affiliate with respect to Withholding Taxes (a “</w:t>
      </w:r>
      <w:r>
        <w:rPr>
          <w:rFonts w:ascii="Calibri;sans-serif" w:hAnsi="Calibri;sans-serif"/>
          <w:b/>
          <w:i/>
          <w:color w:val="000000"/>
          <w:sz w:val="22"/>
        </w:rPr>
        <w:t>Withholding Obligation</w:t>
      </w:r>
      <w:r>
        <w:rPr>
          <w:color w:val="000000"/>
        </w:rPr>
        <w:t>”</w:t>
      </w:r>
      <w:r>
        <w:rPr>
          <w:rFonts w:ascii="Calibri;sans-serif" w:hAnsi="Calibri;sans-serif"/>
          <w:b w:val="false"/>
          <w:color w:val="000000"/>
          <w:sz w:val="22"/>
        </w:rPr>
        <w:t>) arises prior to the delivery to you of Common Stock or it is determined after the delivery of Common Stock to you that the amount of the Withholding Taxes was greater than the amount withheld by the Company and/or its Affiliate (as applicable), you agree to indemnify and hold the Company and/or its Affiliate (as applicable) harmless from any failure by the Company to withhold the proper amount.</w:t>
      </w:r>
    </w:p>
    <w:p>
      <w:pPr>
        <w:pStyle w:val="TextBody"/>
        <w:spacing w:lineRule="auto" w:line="288" w:before="0" w:after="240"/>
        <w:ind w:left="0" w:right="0" w:firstLine="720"/>
        <w:jc w:val="both"/>
        <w:rPr/>
      </w:pPr>
      <w:r>
        <w:rPr>
          <w:rFonts w:ascii="Times New Roman;sans-serif" w:hAnsi="Times New Roman;sans-serif"/>
          <w:b/>
          <w:color w:val="000000"/>
          <w:sz w:val="24"/>
        </w:rPr>
        <w:t>d.</w:t>
      </w:r>
      <w:r>
        <w:rPr>
          <w:rFonts w:ascii="Calibri;sans-serif" w:hAnsi="Calibri;sans-serif"/>
          <w:b/>
          <w:color w:val="000000"/>
          <w:sz w:val="22"/>
        </w:rPr>
        <w:t>Date of Issuance.</w:t>
      </w:r>
    </w:p>
    <w:p>
      <w:pPr>
        <w:pStyle w:val="TextBody"/>
        <w:spacing w:lineRule="auto" w:line="288" w:before="0" w:after="240"/>
        <w:ind w:left="0" w:right="0" w:firstLine="1313"/>
        <w:jc w:val="both"/>
        <w:rPr/>
      </w:pPr>
      <w:r>
        <w:rPr>
          <w:rFonts w:ascii="Times New Roman;sans-serif" w:hAnsi="Times New Roman;sans-serif"/>
          <w:b/>
          <w:color w:val="000000"/>
          <w:sz w:val="24"/>
        </w:rPr>
        <w:t>i.</w:t>
      </w:r>
      <w:r>
        <w:rPr>
          <w:rFonts w:ascii="Calibri;sans-serif" w:hAnsi="Calibri;sans-serif"/>
          <w:b w:val="false"/>
          <w:color w:val="000000"/>
          <w:sz w:val="22"/>
        </w:rPr>
        <w:t>The issuance of shares in respect of the Restricted Stock Units is intended to comply with Treasury Regulations Section 1.409A-3(a) and will be construed and administered in such a manner. Subject to the satisfaction of the Withholding Obligation, if any, in the event one or more Restricted Stock Units vests, the Company shall issue to you, in accordance with the Issuance Schedule on the Grant Notice, one (1) share of Common Stock for each vested Restricted Stock Unit. Each issuance date determined by this paragraph is referred to as an “</w:t>
      </w:r>
      <w:r>
        <w:rPr>
          <w:rFonts w:ascii="Calibri;sans-serif" w:hAnsi="Calibri;sans-serif"/>
          <w:b/>
          <w:i/>
          <w:color w:val="000000"/>
          <w:sz w:val="22"/>
        </w:rPr>
        <w:t>Original Issuance Date</w:t>
      </w:r>
      <w:r>
        <w:rPr>
          <w:rFonts w:ascii="Calibri;sans-serif" w:hAnsi="Calibri;sans-serif"/>
          <w:b w:val="false"/>
          <w:color w:val="000000"/>
          <w:sz w:val="22"/>
        </w:rPr>
        <w:t xml:space="preserve">.” </w:t>
      </w:r>
    </w:p>
    <w:p>
      <w:pPr>
        <w:pStyle w:val="TextBody"/>
        <w:spacing w:lineRule="auto" w:line="288" w:before="0" w:after="240"/>
        <w:ind w:left="0" w:right="0" w:firstLine="1247"/>
        <w:jc w:val="both"/>
        <w:rPr/>
      </w:pPr>
      <w:r>
        <w:rPr>
          <w:rFonts w:ascii="Times New Roman;sans-serif" w:hAnsi="Times New Roman;sans-serif"/>
          <w:b/>
          <w:color w:val="000000"/>
          <w:sz w:val="24"/>
        </w:rPr>
        <w:t>ii.</w:t>
      </w:r>
      <w:r>
        <w:rPr>
          <w:rFonts w:ascii="Calibri;sans-serif" w:hAnsi="Calibri;sans-serif"/>
          <w:b w:val="false"/>
          <w:color w:val="000000"/>
          <w:sz w:val="22"/>
        </w:rPr>
        <w:t>If the Original Issuance Date falls on a date that is not a business day, delivery shall instead occur on the next following business day. In addition, if:</w:t>
      </w:r>
    </w:p>
    <w:p>
      <w:pPr>
        <w:pStyle w:val="TextBody"/>
        <w:spacing w:lineRule="auto" w:line="288" w:before="0" w:after="240"/>
        <w:ind w:left="0" w:right="0" w:firstLine="2160"/>
        <w:jc w:val="both"/>
        <w:rPr/>
      </w:pPr>
      <w:r>
        <w:rPr>
          <w:rFonts w:ascii="Times New Roman;sans-serif" w:hAnsi="Times New Roman;sans-serif"/>
          <w:b/>
          <w:color w:val="000000"/>
          <w:sz w:val="24"/>
        </w:rPr>
        <w:t>a.</w:t>
      </w:r>
      <w:r>
        <w:rPr>
          <w:rFonts w:ascii="Calibri;sans-serif" w:hAnsi="Calibri;sans-serif"/>
          <w:b w:val="false"/>
          <w:color w:val="000000"/>
          <w:sz w:val="22"/>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Calibri;sans-serif" w:hAnsi="Calibri;sans-serif"/>
          <w:b/>
          <w:i/>
          <w:color w:val="000000"/>
          <w:sz w:val="22"/>
        </w:rPr>
        <w:t>10b5-1 Arrangement</w:t>
      </w:r>
      <w:r>
        <w:rPr>
          <w:rFonts w:ascii="Calibri;sans-serif" w:hAnsi="Calibri;sans-serif"/>
          <w:b w:val="false"/>
          <w:color w:val="000000"/>
          <w:sz w:val="22"/>
        </w:rPr>
        <w:t xml:space="preserve">)), </w:t>
      </w:r>
      <w:r>
        <w:rPr>
          <w:rFonts w:ascii="Calibri;sans-serif" w:hAnsi="Calibri;sans-serif"/>
          <w:b w:val="false"/>
          <w:i/>
          <w:color w:val="000000"/>
          <w:sz w:val="22"/>
        </w:rPr>
        <w:t>and</w:t>
      </w:r>
      <w:r>
        <w:rPr>
          <w:color w:val="000000"/>
        </w:rPr>
        <w:t xml:space="preserve"> </w:t>
      </w:r>
    </w:p>
    <w:p>
      <w:pPr>
        <w:pStyle w:val="TextBody"/>
        <w:spacing w:lineRule="auto" w:line="288" w:before="0" w:after="240"/>
        <w:ind w:left="0" w:right="0" w:firstLine="2160"/>
        <w:jc w:val="both"/>
        <w:rPr/>
      </w:pPr>
      <w:r>
        <w:rPr>
          <w:rFonts w:ascii="Times New Roman;sans-serif" w:hAnsi="Times New Roman;sans-serif"/>
          <w:b/>
          <w:color w:val="000000"/>
          <w:sz w:val="24"/>
        </w:rPr>
        <w:t>b.</w:t>
      </w:r>
      <w:r>
        <w:rPr>
          <w:rFonts w:ascii="Calibri;sans-serif" w:hAnsi="Calibri;sans-serif"/>
          <w:b w:val="false"/>
          <w:color w:val="000000"/>
          <w:sz w:val="22"/>
        </w:rPr>
        <w:t xml:space="preserve">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 </w:t>
      </w:r>
      <w:r>
        <w:br w:type="page"/>
      </w:r>
    </w:p>
    <w:p>
      <w:pPr>
        <w:pStyle w:val="TextBody"/>
        <w:spacing w:before="0" w:after="200"/>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535305"/>
                <wp:effectExtent l="0" t="0" r="0" b="0"/>
                <wp:wrapNone/>
                <wp:docPr id="268" name="Frame160"/>
                <a:graphic xmlns:a="http://schemas.openxmlformats.org/drawingml/2006/main">
                  <a:graphicData uri="http://schemas.microsoft.com/office/word/2010/wordprocessingShape">
                    <wps:wsp>
                      <wps:cNvSpPr txBox="1"/>
                      <wps:spPr>
                        <a:xfrm>
                          <a:off x="0" y="0"/>
                          <a:ext cx="6480175" cy="535305"/>
                        </a:xfrm>
                        <a:prstGeom prst="rect"/>
                      </wps:spPr>
                      <wps:txbx>
                        <w:txbxContent>
                          <w:p>
                            <w:pPr>
                              <w:pStyle w:val="TextBody"/>
                              <w:spacing w:lineRule="auto" w:line="319" w:before="0" w:after="200"/>
                              <w:rPr>
                                <w:color w:val="000000"/>
                              </w:rPr>
                            </w:pPr>
                            <w:r>
                              <w:rPr>
                                <w:color w:val="000000"/>
                              </w:rPr>
                              <w:t>    </w:t>
                            </w:r>
                          </w:p>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0" w:after="200"/>
                        <w:rPr>
                          <w:color w:val="000000"/>
                        </w:rPr>
                      </w:pPr>
                      <w:r>
                        <w:rPr>
                          <w:color w:val="000000"/>
                        </w:rPr>
                        <w:t>    </w:t>
                      </w:r>
                    </w:p>
                    <w:p>
                      <w:pPr>
                        <w:pStyle w:val="TextBody"/>
                        <w:spacing w:before="0" w:after="200"/>
                        <w:rPr/>
                      </w:pPr>
                      <w:r>
                        <w:rPr/>
                      </w:r>
                    </w:p>
                  </w:txbxContent>
                </v:textbox>
              </v:rect>
            </w:pict>
          </mc:Fallback>
        </mc:AlternateContent>
      </w:r>
    </w:p>
    <w:p>
      <w:pPr>
        <w:pStyle w:val="TextBody"/>
        <w:spacing w:lineRule="auto" w:line="319" w:before="0" w:after="240"/>
        <w:ind w:left="0" w:right="0" w:firstLine="2160"/>
        <w:rPr/>
      </w:pPr>
      <w:r>
        <w:rPr>
          <w:rFonts w:ascii="Calibri;sans-serif" w:hAnsi="Calibri;sans-serif"/>
          <w:b w:val="false"/>
          <w:color w:val="000000"/>
          <w:sz w:val="22"/>
          <w:u w:val="single"/>
        </w:rPr>
        <w:t>then</w:t>
      </w:r>
      <w:r>
        <w:rPr>
          <w:color w:val="000000"/>
        </w:rPr>
        <w:t xml:space="preserve"> </w:t>
      </w:r>
      <w:r>
        <w:rPr>
          <w:rFonts w:ascii="Calibri;sans-serif" w:hAnsi="Calibri;sans-serif"/>
          <w:b w:val="false"/>
          <w:color w:val="000000"/>
          <w:sz w:val="22"/>
        </w:rPr>
        <w:t xml:space="preserve">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Calibri;sans-serif" w:hAnsi="Calibri;sans-serif"/>
          <w:b w:val="false"/>
          <w:color w:val="000000"/>
          <w:sz w:val="22"/>
          <w:u w:val="single"/>
        </w:rPr>
        <w:t>if and only if</w:t>
      </w:r>
      <w:r>
        <w:rPr>
          <w:color w:val="000000"/>
        </w:rPr>
        <w:t xml:space="preserve"> </w:t>
      </w:r>
      <w:r>
        <w:rPr>
          <w:rFonts w:ascii="Calibri;sans-serif" w:hAnsi="Calibri;sans-serif"/>
          <w:b w:val="false"/>
          <w:color w:val="000000"/>
          <w:sz w:val="22"/>
        </w:rPr>
        <w:t>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pStyle w:val="TextBody"/>
        <w:spacing w:lineRule="auto" w:line="288" w:before="240" w:after="240"/>
        <w:ind w:left="0" w:right="0" w:firstLine="720"/>
        <w:jc w:val="both"/>
        <w:rPr/>
      </w:pPr>
      <w:r>
        <w:rPr>
          <w:rFonts w:ascii="Times New Roman;sans-serif" w:hAnsi="Times New Roman;sans-serif"/>
          <w:b/>
          <w:color w:val="000000"/>
          <w:sz w:val="24"/>
        </w:rPr>
        <w:t>2.</w:t>
      </w:r>
      <w:r>
        <w:rPr>
          <w:rFonts w:ascii="Calibri;sans-serif" w:hAnsi="Calibri;sans-serif"/>
          <w:b/>
          <w:color w:val="000000"/>
          <w:sz w:val="22"/>
          <w:highlight w:val="white"/>
        </w:rPr>
        <w:t>CLOSED PERIODS.</w:t>
      </w:r>
      <w:r>
        <w:rPr>
          <w:color w:val="000000"/>
          <w:highlight w:val="white"/>
        </w:rPr>
        <w:t> </w:t>
      </w:r>
      <w:r>
        <w:rPr>
          <w:rFonts w:ascii="Calibri;sans-serif" w:hAnsi="Calibri;sans-serif"/>
          <w:b w:val="false"/>
          <w:color w:val="000000"/>
          <w:sz w:val="22"/>
          <w:highlight w:val="white"/>
        </w:rPr>
        <w:t xml:space="preserve">Pursuant to article L.22-10-59 of the French commercial Code, you shall not transfer the Common Stock resulting from the RSUs (i) within 30 calendar days before the announcement of an interim financial report or year-end report which the Company is required to make public; (ii) and in such case that you have knowledge of Insider Information that has not been made public. For the purpose hereof, </w:t>
      </w:r>
      <w:r>
        <w:rPr>
          <w:color w:val="000000"/>
          <w:highlight w:val="white"/>
        </w:rPr>
        <w:t>“</w:t>
      </w:r>
      <w:r>
        <w:rPr>
          <w:rFonts w:ascii="Calibri;sans-serif" w:hAnsi="Calibri;sans-serif"/>
          <w:b/>
          <w:i/>
          <w:color w:val="000000"/>
          <w:sz w:val="22"/>
          <w:highlight w:val="white"/>
        </w:rPr>
        <w:t>Insider Information”</w:t>
      </w:r>
      <w:r>
        <w:rPr>
          <w:color w:val="000000"/>
          <w:highlight w:val="white"/>
        </w:rPr>
        <w:t xml:space="preserve"> </w:t>
      </w:r>
      <w:r>
        <w:rPr>
          <w:rFonts w:ascii="Calibri;sans-serif" w:hAnsi="Calibri;sans-serif"/>
          <w:b w:val="false"/>
          <w:color w:val="000000"/>
          <w:sz w:val="22"/>
          <w:highlight w:val="white"/>
        </w:rPr>
        <w:t>has the meaning set forth by article 7 of the Regulation (EU) n°596/2014 of the European Parliament and the Council dated 16 April 2014 relating to market abuse.</w:t>
      </w:r>
    </w:p>
    <w:p>
      <w:pPr>
        <w:pStyle w:val="TextBody"/>
        <w:spacing w:lineRule="auto" w:line="288" w:before="0" w:after="240"/>
        <w:ind w:left="0" w:right="0" w:firstLine="720"/>
        <w:jc w:val="both"/>
        <w:rPr/>
      </w:pPr>
      <w:r>
        <w:rPr>
          <w:rFonts w:ascii="Times New Roman;sans-serif" w:hAnsi="Times New Roman;sans-serif"/>
          <w:b/>
          <w:color w:val="000000"/>
          <w:sz w:val="24"/>
        </w:rPr>
        <w:t>3.</w:t>
      </w:r>
      <w:r>
        <w:rPr>
          <w:rFonts w:ascii="Calibri;sans-serif" w:hAnsi="Calibri;sans-serif"/>
          <w:b/>
          <w:color w:val="000000"/>
          <w:sz w:val="22"/>
        </w:rPr>
        <w:t>Transferability.</w:t>
      </w:r>
      <w:r>
        <w:rPr>
          <w:color w:val="000000"/>
        </w:rPr>
        <w:t xml:space="preserve"> </w:t>
      </w:r>
      <w:r>
        <w:rPr>
          <w:rFonts w:ascii="Calibri;sans-serif" w:hAnsi="Calibri;sans-serif"/>
          <w:b w:val="false"/>
          <w:color w:val="000000"/>
          <w:sz w:val="22"/>
        </w:rPr>
        <w:t>Except as otherwise provided in the Plan, your RSU Award is not transferable, except by will or by the applicable laws of descent and distribution.</w:t>
      </w:r>
    </w:p>
    <w:p>
      <w:pPr>
        <w:pStyle w:val="TextBody"/>
        <w:spacing w:lineRule="auto" w:line="288" w:before="0" w:after="240"/>
        <w:ind w:left="0" w:right="0" w:firstLine="720"/>
        <w:jc w:val="both"/>
        <w:rPr/>
      </w:pPr>
      <w:r>
        <w:rPr>
          <w:rFonts w:ascii="Times New Roman;sans-serif" w:hAnsi="Times New Roman;sans-serif"/>
          <w:b/>
          <w:color w:val="000000"/>
          <w:sz w:val="24"/>
        </w:rPr>
        <w:t>4.</w:t>
      </w:r>
      <w:r>
        <w:rPr>
          <w:rFonts w:ascii="Calibri;sans-serif" w:hAnsi="Calibri;sans-serif"/>
          <w:b/>
          <w:color w:val="000000"/>
          <w:sz w:val="22"/>
        </w:rPr>
        <w:t>Corporate Transaction.</w:t>
      </w:r>
      <w:r>
        <w:rPr>
          <w:color w:val="000000"/>
        </w:rPr>
        <w:t xml:space="preserve"> </w:t>
      </w:r>
      <w:r>
        <w:rPr>
          <w:rFonts w:ascii="Calibri;sans-serif" w:hAnsi="Calibri;sans-serif"/>
          <w:b w:val="false"/>
          <w:color w:val="000000"/>
          <w:sz w:val="22"/>
        </w:rPr>
        <w:t>Subject to the French Sub-Plan, your RSU Award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w:t>
      </w:r>
    </w:p>
    <w:p>
      <w:pPr>
        <w:pStyle w:val="TextBody"/>
        <w:spacing w:lineRule="auto" w:line="288" w:before="0" w:after="240"/>
        <w:ind w:left="0" w:right="0" w:firstLine="720"/>
        <w:jc w:val="both"/>
        <w:rPr/>
      </w:pPr>
      <w:r>
        <w:rPr>
          <w:rFonts w:ascii="Times New Roman;sans-serif" w:hAnsi="Times New Roman;sans-serif"/>
          <w:b/>
          <w:color w:val="000000"/>
          <w:sz w:val="24"/>
        </w:rPr>
        <w:t>5.</w:t>
      </w:r>
      <w:r>
        <w:rPr>
          <w:rFonts w:ascii="Calibri;sans-serif" w:hAnsi="Calibri;sans-serif"/>
          <w:b/>
          <w:color w:val="000000"/>
          <w:sz w:val="22"/>
        </w:rPr>
        <w:t>No Liability for Taxes</w:t>
      </w:r>
      <w:r>
        <w:rPr>
          <w:rFonts w:ascii="Calibri;sans-serif" w:hAnsi="Calibri;sans-serif"/>
          <w:b w:val="false"/>
          <w:color w:val="000000"/>
          <w:sz w:val="22"/>
        </w:rPr>
        <w:t>. As a condition to accepting the RSU Award, you hereby (a) agree to not make any 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pStyle w:val="TextBody"/>
        <w:spacing w:lineRule="auto" w:line="288" w:before="0" w:after="240"/>
        <w:ind w:left="0" w:right="0" w:firstLine="720"/>
        <w:jc w:val="both"/>
        <w:rPr/>
      </w:pPr>
      <w:r>
        <w:rPr>
          <w:rFonts w:ascii="Times New Roman;sans-serif" w:hAnsi="Times New Roman;sans-serif"/>
          <w:b/>
          <w:color w:val="000000"/>
          <w:sz w:val="24"/>
        </w:rPr>
        <w:t>6.</w:t>
      </w:r>
      <w:r>
        <w:rPr>
          <w:rFonts w:ascii="Calibri;sans-serif" w:hAnsi="Calibri;sans-serif"/>
          <w:b/>
          <w:color w:val="000000"/>
          <w:sz w:val="22"/>
        </w:rPr>
        <w:t>Severability</w:t>
      </w:r>
      <w:r>
        <w:rPr>
          <w:rFonts w:ascii="Calibri;sans-serif" w:hAnsi="Calibri;sans-serif"/>
          <w:b w:val="false"/>
          <w:color w:val="000000"/>
          <w:sz w:val="22"/>
        </w:rPr>
        <w:t>. If any part of this Agreement, the French Sub-Plan or the Plan is declared by any court or governmental authority to be unlawful or invalid, such unlawfulness or invalidity will not invalidate any portion of this Agreement, the French Sub-Plan,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pStyle w:val="TextBody"/>
        <w:spacing w:lineRule="auto" w:line="288" w:before="0" w:after="240"/>
        <w:ind w:left="0" w:right="0" w:firstLine="720"/>
        <w:jc w:val="both"/>
        <w:rPr/>
      </w:pPr>
      <w:r>
        <w:rPr>
          <w:rFonts w:ascii="Times New Roman;sans-serif" w:hAnsi="Times New Roman;sans-serif"/>
          <w:b/>
          <w:color w:val="000000"/>
          <w:sz w:val="24"/>
        </w:rPr>
        <w:t>7.</w:t>
      </w:r>
      <w:r>
        <w:rPr>
          <w:rFonts w:ascii="Calibri;sans-serif" w:hAnsi="Calibri;sans-serif"/>
          <w:b/>
          <w:color w:val="000000"/>
          <w:sz w:val="22"/>
        </w:rPr>
        <w:t>Other Documents.</w:t>
      </w:r>
      <w:r>
        <w:rPr>
          <w:color w:val="000000"/>
        </w:rPr>
        <w:t>  </w:t>
      </w:r>
      <w:r>
        <w:rPr>
          <w:rFonts w:ascii="Calibri;sans-serif" w:hAnsi="Calibri;sans-serif"/>
          <w:b w:val="false"/>
          <w:color w:val="000000"/>
          <w:sz w:val="22"/>
        </w:rPr>
        <w:t>You hereby acknowledge receipt of or the right to receive a document providing the information required by Rule 428(b)(1) promulgated under the Securities Act, which includes the Prospectus.  In addition, you acknowledge receipt of the Company’s Trading Policy.</w:t>
      </w:r>
      <w:r>
        <w:br w:type="page"/>
      </w:r>
    </w:p>
    <w:p>
      <w:pPr>
        <w:pStyle w:val="TextBody"/>
        <w:spacing w:before="0" w:after="200"/>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535305"/>
                <wp:effectExtent l="0" t="0" r="0" b="0"/>
                <wp:wrapNone/>
                <wp:docPr id="269" name="Frame161"/>
                <a:graphic xmlns:a="http://schemas.openxmlformats.org/drawingml/2006/main">
                  <a:graphicData uri="http://schemas.microsoft.com/office/word/2010/wordprocessingShape">
                    <wps:wsp>
                      <wps:cNvSpPr txBox="1"/>
                      <wps:spPr>
                        <a:xfrm>
                          <a:off x="0" y="0"/>
                          <a:ext cx="6480175" cy="535305"/>
                        </a:xfrm>
                        <a:prstGeom prst="rect"/>
                      </wps:spPr>
                      <wps:txbx>
                        <w:txbxContent>
                          <w:p>
                            <w:pPr>
                              <w:pStyle w:val="TextBody"/>
                              <w:spacing w:lineRule="auto" w:line="319" w:before="0" w:after="200"/>
                              <w:rPr>
                                <w:color w:val="000000"/>
                              </w:rPr>
                            </w:pPr>
                            <w:r>
                              <w:rPr>
                                <w:color w:val="000000"/>
                              </w:rPr>
                              <w:t>    </w:t>
                            </w:r>
                          </w:p>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0" w:after="200"/>
                        <w:rPr>
                          <w:color w:val="000000"/>
                        </w:rPr>
                      </w:pPr>
                      <w:r>
                        <w:rPr>
                          <w:color w:val="000000"/>
                        </w:rPr>
                        <w:t>    </w:t>
                      </w:r>
                    </w:p>
                    <w:p>
                      <w:pPr>
                        <w:pStyle w:val="TextBody"/>
                        <w:spacing w:before="0" w:after="200"/>
                        <w:rPr/>
                      </w:pPr>
                      <w:r>
                        <w:rPr/>
                      </w:r>
                    </w:p>
                  </w:txbxContent>
                </v:textbox>
              </v:rect>
            </w:pict>
          </mc:Fallback>
        </mc:AlternateContent>
      </w:r>
    </w:p>
    <w:p>
      <w:pPr>
        <w:pStyle w:val="TextBody"/>
        <w:spacing w:lineRule="auto" w:line="288" w:before="0" w:after="240"/>
        <w:ind w:left="0" w:right="0" w:firstLine="720"/>
        <w:jc w:val="both"/>
        <w:rPr/>
      </w:pPr>
      <w:r>
        <w:rPr>
          <w:rFonts w:ascii="Times New Roman;sans-serif" w:hAnsi="Times New Roman;sans-serif"/>
          <w:b/>
          <w:color w:val="000000"/>
          <w:sz w:val="24"/>
        </w:rPr>
        <w:t>8.</w:t>
      </w:r>
      <w:r>
        <w:rPr>
          <w:rFonts w:ascii="Calibri;sans-serif" w:hAnsi="Calibri;sans-serif"/>
          <w:b/>
          <w:color w:val="000000"/>
          <w:sz w:val="22"/>
        </w:rPr>
        <w:t xml:space="preserve">Questions. </w:t>
      </w:r>
      <w:r>
        <w:rPr>
          <w:rFonts w:ascii="Calibri;sans-serif" w:hAnsi="Calibri;sans-serif"/>
          <w:b w:val="false"/>
          <w:color w:val="000000"/>
          <w:sz w:val="22"/>
        </w:rPr>
        <w:t>If you have questions regarding these or any other terms and conditions applicable to your RSU Award, including a summary of the applicable federal income tax consequences please see the Prospectus.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535305"/>
                <wp:effectExtent l="0" t="0" r="0" b="0"/>
                <wp:wrapNone/>
                <wp:docPr id="270" name="Frame162"/>
                <a:graphic xmlns:a="http://schemas.openxmlformats.org/drawingml/2006/main">
                  <a:graphicData uri="http://schemas.microsoft.com/office/word/2010/wordprocessingShape">
                    <wps:wsp>
                      <wps:cNvSpPr txBox="1"/>
                      <wps:spPr>
                        <a:xfrm>
                          <a:off x="0" y="0"/>
                          <a:ext cx="6480175" cy="535305"/>
                        </a:xfrm>
                        <a:prstGeom prst="rect"/>
                      </wps:spPr>
                      <wps:txbx>
                        <w:txbxContent>
                          <w:p>
                            <w:pPr>
                              <w:pStyle w:val="TextBody"/>
                              <w:spacing w:lineRule="auto" w:line="319" w:before="0" w:after="200"/>
                              <w:rPr>
                                <w:color w:val="000000"/>
                              </w:rPr>
                            </w:pPr>
                            <w:r>
                              <w:rPr>
                                <w:color w:val="000000"/>
                              </w:rPr>
                              <w:t>    </w:t>
                            </w:r>
                          </w:p>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0" w:after="200"/>
                        <w:rPr>
                          <w:color w:val="000000"/>
                        </w:rPr>
                      </w:pPr>
                      <w:r>
                        <w:rPr>
                          <w:color w:val="000000"/>
                        </w:rPr>
                        <w:t>    </w:t>
                      </w:r>
                    </w:p>
                    <w:p>
                      <w:pPr>
                        <w:pStyle w:val="TextBody"/>
                        <w:spacing w:before="0" w:after="200"/>
                        <w:rPr/>
                      </w:pPr>
                      <w:r>
                        <w:rPr/>
                      </w:r>
                    </w:p>
                  </w:txbxContent>
                </v:textbox>
              </v:rect>
            </w:pict>
          </mc:Fallback>
        </mc:AlternateContent>
      </w:r>
    </w:p>
    <w:p>
      <w:pPr>
        <w:pStyle w:val="TextBody"/>
        <w:spacing w:lineRule="auto" w:line="319" w:before="0" w:after="200"/>
        <w:jc w:val="center"/>
        <w:rPr>
          <w:rFonts w:ascii="Calibri;sans-serif" w:hAnsi="Calibri;sans-serif"/>
          <w:b/>
          <w:color w:val="000000"/>
          <w:sz w:val="22"/>
        </w:rPr>
      </w:pPr>
      <w:r>
        <w:rPr>
          <w:rFonts w:ascii="Calibri;sans-serif" w:hAnsi="Calibri;sans-serif"/>
          <w:b/>
          <w:color w:val="000000"/>
          <w:sz w:val="22"/>
        </w:rPr>
        <w:t>Attachment II</w:t>
      </w:r>
    </w:p>
    <w:p>
      <w:pPr>
        <w:pStyle w:val="TextBody"/>
        <w:spacing w:lineRule="auto" w:line="319" w:before="0" w:after="200"/>
        <w:jc w:val="center"/>
        <w:rPr>
          <w:rFonts w:ascii="Calibri;sans-serif" w:hAnsi="Calibri;sans-serif"/>
          <w:b/>
          <w:color w:val="000000"/>
          <w:sz w:val="22"/>
        </w:rPr>
      </w:pPr>
      <w:r>
        <w:rPr>
          <w:rFonts w:ascii="Calibri;sans-serif" w:hAnsi="Calibri;sans-serif"/>
          <w:b/>
          <w:color w:val="000000"/>
          <w:sz w:val="22"/>
        </w:rPr>
        <w:t>Asana, Inc.</w:t>
      </w:r>
    </w:p>
    <w:p>
      <w:pPr>
        <w:pStyle w:val="TextBody"/>
        <w:spacing w:lineRule="auto" w:line="319" w:before="0" w:after="240"/>
        <w:jc w:val="center"/>
        <w:rPr>
          <w:rFonts w:ascii="Calibri;sans-serif" w:hAnsi="Calibri;sans-serif"/>
          <w:b/>
          <w:color w:val="000000"/>
          <w:sz w:val="22"/>
        </w:rPr>
      </w:pPr>
      <w:r>
        <w:rPr>
          <w:rFonts w:ascii="Calibri;sans-serif" w:hAnsi="Calibri;sans-serif"/>
          <w:b/>
          <w:color w:val="000000"/>
          <w:sz w:val="22"/>
        </w:rPr>
        <w:t>2020 Equity Incentive Plan</w:t>
      </w:r>
    </w:p>
    <w:p>
      <w:pPr>
        <w:pStyle w:val="TextBody"/>
        <w:spacing w:before="0" w:after="20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21.1</w:t>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535305"/>
                <wp:effectExtent l="0" t="0" r="0" b="0"/>
                <wp:wrapNone/>
                <wp:docPr id="271" name="Frame163"/>
                <a:graphic xmlns:a="http://schemas.openxmlformats.org/drawingml/2006/main">
                  <a:graphicData uri="http://schemas.microsoft.com/office/word/2010/wordprocessingShape">
                    <wps:wsp>
                      <wps:cNvSpPr txBox="1"/>
                      <wps:spPr>
                        <a:xfrm>
                          <a:off x="0" y="0"/>
                          <a:ext cx="6480175" cy="535305"/>
                        </a:xfrm>
                        <a:prstGeom prst="rect"/>
                      </wps:spPr>
                      <wps:txbx>
                        <w:txbxContent>
                          <w:p>
                            <w:pPr>
                              <w:pStyle w:val="TextBody"/>
                              <w:spacing w:lineRule="auto" w:line="319" w:before="0" w:after="200"/>
                              <w:rPr>
                                <w:color w:val="000000"/>
                              </w:rPr>
                            </w:pPr>
                            <w:r>
                              <w:rPr>
                                <w:color w:val="000000"/>
                              </w:rPr>
                              <w:t>    </w:t>
                            </w:r>
                          </w:p>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319" w:before="0" w:after="200"/>
                        <w:rPr>
                          <w:color w:val="000000"/>
                        </w:rPr>
                      </w:pPr>
                      <w:r>
                        <w:rPr>
                          <w:color w:val="000000"/>
                        </w:rPr>
                        <w:t>    </w:t>
                      </w:r>
                    </w:p>
                    <w:p>
                      <w:pPr>
                        <w:pStyle w:val="TextBody"/>
                        <w:spacing w:before="0" w:after="20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ASANA,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SUBSIDIARY LIST</w:t>
      </w:r>
    </w:p>
    <w:p>
      <w:pPr>
        <w:pStyle w:val="TextBody"/>
        <w:spacing w:before="0" w:after="0"/>
        <w:jc w:val="center"/>
        <w:rPr/>
      </w:pPr>
      <w:r>
        <w:rPr/>
      </w:r>
    </w:p>
    <w:tbl>
      <w:tblPr>
        <w:tblW w:w="5847" w:type="dxa"/>
        <w:jc w:val="center"/>
        <w:tblInd w:w="0" w:type="dxa"/>
        <w:tblCellMar>
          <w:top w:w="28" w:type="dxa"/>
          <w:left w:w="28" w:type="dxa"/>
          <w:bottom w:w="28" w:type="dxa"/>
          <w:right w:w="28" w:type="dxa"/>
        </w:tblCellMar>
      </w:tblPr>
      <w:tblGrid>
        <w:gridCol w:w="1070"/>
        <w:gridCol w:w="941"/>
        <w:gridCol w:w="944"/>
        <w:gridCol w:w="109"/>
        <w:gridCol w:w="109"/>
        <w:gridCol w:w="109"/>
        <w:gridCol w:w="751"/>
        <w:gridCol w:w="751"/>
        <w:gridCol w:w="1063"/>
      </w:tblGrid>
      <w:tr>
        <w:trPr/>
        <w:tc>
          <w:tcPr>
            <w:tcW w:w="107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Subsidiary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 Organization</w:t>
            </w:r>
          </w:p>
        </w:tc>
      </w:tr>
      <w:tr>
        <w:trPr/>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Asana Software Australia Pty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Asana Software Canada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Asana France SAS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Asana Germany GmbH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Asana Software Iceland ehf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Iceland</w:t>
            </w:r>
          </w:p>
        </w:tc>
      </w:tr>
      <w:tr>
        <w:trPr/>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Asana Software Ireland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Asana Japan KK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Asana Software UK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w:t>
            </w:r>
          </w:p>
        </w:tc>
      </w:tr>
      <w:tr>
        <w:trPr/>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Asana Software Singapore Pte.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2" name="Frame1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spacing w:before="0" w:after="0"/>
        <w:jc w:val="center"/>
        <w:rPr/>
      </w:pPr>
      <w:r>
        <w:rPr/>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I, Dustin Moskovitz, certify that:</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Asana, Inc.;</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for the registrant and have:</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0" w:after="240"/>
        <w:ind w:left="0" w:right="0" w:hanging="692"/>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0" w:after="240"/>
        <w:ind w:left="0" w:right="0" w:firstLine="28"/>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3" name="Frame1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5532" w:type="dxa"/>
        <w:jc w:val="left"/>
        <w:tblInd w:w="0" w:type="dxa"/>
        <w:tblCellMar>
          <w:top w:w="28" w:type="dxa"/>
          <w:left w:w="28" w:type="dxa"/>
          <w:bottom w:w="28" w:type="dxa"/>
          <w:right w:w="28" w:type="dxa"/>
        </w:tblCellMar>
      </w:tblPr>
      <w:tblGrid>
        <w:gridCol w:w="683"/>
        <w:gridCol w:w="601"/>
        <w:gridCol w:w="605"/>
        <w:gridCol w:w="134"/>
        <w:gridCol w:w="134"/>
        <w:gridCol w:w="136"/>
        <w:gridCol w:w="947"/>
        <w:gridCol w:w="947"/>
        <w:gridCol w:w="1345"/>
      </w:tblGrid>
      <w:tr>
        <w:trPr/>
        <w:tc>
          <w:tcPr>
            <w:tcW w:w="68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30, 2021</w:t>
            </w:r>
          </w:p>
        </w:tc>
        <w:tc>
          <w:tcPr>
            <w:tcW w:w="4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3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Dustin Moskovitz</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Dustin Moskovitz</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shd w:fill="auto" w:val="clear"/>
            <w:tcMar>
              <w:top w:w="0" w:type="dxa"/>
              <w:left w:w="0" w:type="dxa"/>
              <w:bottom w:w="0" w:type="dxa"/>
              <w:right w:w="0" w:type="dxa"/>
            </w:tcMar>
            <w:vAlign w:val="center"/>
          </w:tcPr>
          <w:p>
            <w:pPr>
              <w:pStyle w:val="TableContents"/>
              <w:spacing w:lineRule="auto" w:line="288" w:before="53" w:after="30"/>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p>
            <w:pPr>
              <w:pStyle w:val="TableContents"/>
              <w:spacing w:before="53" w:after="30"/>
              <w:rPr/>
            </w:pPr>
            <w:r>
              <w:rPr/>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4" name="Frame1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spacing w:before="0" w:after="0"/>
        <w:jc w:val="center"/>
        <w:rPr/>
      </w:pPr>
      <w:r>
        <w:rPr/>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I, Tim Wan, certify that:</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Asana, Inc.;</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for the registrant and have:</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0" w:after="240"/>
        <w:ind w:left="0" w:right="0" w:hanging="692"/>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0" w:after="240"/>
        <w:ind w:left="0" w:right="0" w:firstLine="28"/>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5" name="Frame1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4362" w:type="dxa"/>
        <w:jc w:val="left"/>
        <w:tblInd w:w="0" w:type="dxa"/>
        <w:tblCellMar>
          <w:top w:w="28" w:type="dxa"/>
          <w:left w:w="28" w:type="dxa"/>
          <w:bottom w:w="28" w:type="dxa"/>
          <w:right w:w="28" w:type="dxa"/>
        </w:tblCellMar>
      </w:tblPr>
      <w:tblGrid>
        <w:gridCol w:w="683"/>
        <w:gridCol w:w="601"/>
        <w:gridCol w:w="605"/>
        <w:gridCol w:w="134"/>
        <w:gridCol w:w="134"/>
        <w:gridCol w:w="136"/>
        <w:gridCol w:w="606"/>
        <w:gridCol w:w="606"/>
        <w:gridCol w:w="857"/>
      </w:tblGrid>
      <w:tr>
        <w:trPr/>
        <w:tc>
          <w:tcPr>
            <w:tcW w:w="68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30, 2021</w:t>
            </w:r>
          </w:p>
        </w:tc>
        <w:tc>
          <w:tcPr>
            <w:tcW w:w="4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 Wan</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 Wan</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88" w:before="53" w:after="3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p>
            <w:pPr>
              <w:pStyle w:val="TableContents"/>
              <w:spacing w:before="53" w:after="30"/>
              <w:rPr/>
            </w:pPr>
            <w:r>
              <w:rPr/>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6" name="Frame1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set forth in Rule 13a-14(b) of the Securities Exchange Act of 1934, as amended, (the “Exchange Act”) and Section 1350 of Chapter 63 of Title 18 of the United States Code (18 U.S.C. §1350), Dustin Moskovitz, Chief Executive Officer of Asana, Inc. (the “Company”), and Tim Wan, Chief Financial Officer of the Company, each hereby certifies that, to the best of his or her knowledge:</w:t>
      </w:r>
    </w:p>
    <w:p>
      <w:pPr>
        <w:pStyle w:val="TextBody"/>
        <w:spacing w:before="0" w:after="0"/>
        <w:jc w:val="both"/>
        <w:rPr/>
      </w:pPr>
      <w:r>
        <w:rPr/>
      </w:r>
    </w:p>
    <w:p>
      <w:pPr>
        <w:pStyle w:val="TextBody"/>
        <w:spacing w:lineRule="auto" w:line="276" w:before="0" w:after="0"/>
        <w:ind w:left="0" w:right="0" w:hanging="360"/>
        <w:jc w:val="both"/>
        <w:rPr/>
      </w:pPr>
      <w:r>
        <w:rPr>
          <w:rFonts w:ascii="Arial;sans-serif" w:hAnsi="Arial;sans-serif"/>
          <w:b w:val="false"/>
          <w:color w:val="000000"/>
          <w:sz w:val="20"/>
        </w:rPr>
        <w:t>1.</w:t>
      </w:r>
      <w:r>
        <w:rPr>
          <w:rFonts w:ascii="Times New Roman;sans-serif" w:hAnsi="Times New Roman;sans-serif"/>
          <w:b w:val="false"/>
          <w:color w:val="000000"/>
          <w:sz w:val="20"/>
        </w:rPr>
        <w:t>The Company’s Annual Report on Form 10-K for the fiscal year ended January 31, 2021, to which this Certification is attached as Exhibit 32.1 (the “Annual Report”), fully complies with the requirements of Section 13(a) or Section 15(d) of the Exchange Act; and</w:t>
      </w:r>
    </w:p>
    <w:p>
      <w:pPr>
        <w:pStyle w:val="TextBody"/>
        <w:spacing w:lineRule="auto" w:line="276" w:before="0" w:after="0"/>
        <w:ind w:left="0" w:right="0" w:hanging="360"/>
        <w:jc w:val="both"/>
        <w:rPr/>
      </w:pPr>
      <w:r>
        <w:rPr>
          <w:rFonts w:ascii="Arial;sans-serif" w:hAnsi="Arial;sans-serif"/>
          <w:b w:val="false"/>
          <w:color w:val="000000"/>
          <w:sz w:val="20"/>
        </w:rPr>
        <w:t>2.</w:t>
      </w:r>
      <w:r>
        <w:rPr>
          <w:rFonts w:ascii="Times New Roman;sans-serif" w:hAnsi="Times New Roman;sans-serif"/>
          <w:b w:val="false"/>
          <w:color w:val="000000"/>
          <w:sz w:val="20"/>
        </w:rPr>
        <w:t>The information contained in the Annual Report fairly presents, in all material respects, the financial condition and results of operations of the Company.</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Dated: March 30, 2021</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undersigned have set their hands hereto as of the 30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day of March, 2021.</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Dustin Moskovitz </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Dustin Moskovitz </w:t>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Chief Executive Officer </w:t>
      </w:r>
    </w:p>
    <w:p>
      <w:pPr>
        <w:pStyle w:val="TextBody"/>
        <w:spacing w:before="0" w:after="0"/>
        <w:jc w:val="both"/>
        <w:rPr/>
      </w:pPr>
      <w:r>
        <w:rPr/>
      </w:r>
    </w:p>
    <w:p>
      <w:pPr>
        <w:pStyle w:val="TextBody"/>
        <w:spacing w:lineRule="auto" w:line="276"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Tim Wan </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Tim Wan</w:t>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p>
      <w:pPr>
        <w:pStyle w:val="TextBody"/>
        <w:spacing w:before="0" w:after="0"/>
        <w:rPr/>
      </w:pPr>
      <w:r>
        <w:rPr/>
      </w:r>
    </w:p>
    <w:p>
      <w:pPr>
        <w:pStyle w:val="TextBody"/>
        <w:spacing w:lineRule="auto" w:line="276"/>
        <w:rPr>
          <w:rFonts w:ascii="Times New Roman;sans-serif" w:hAnsi="Times New Roman;sans-serif"/>
          <w:b w:val="false"/>
          <w:i/>
          <w:color w:val="000000"/>
          <w:sz w:val="20"/>
        </w:rPr>
      </w:pPr>
      <w:r>
        <w:rPr>
          <w:rFonts w:ascii="Times New Roman;sans-serif" w:hAnsi="Times New Roman;sans-serif"/>
          <w:b w:val="false"/>
          <w:i/>
          <w:color w:val="000000"/>
          <w:sz w:val="20"/>
        </w:rPr>
        <w:t>This certification accompanies the Form 10-K to which it relates, is not deemed filed with the Securities and Exchange Commission and is not to be incorporated by reference into any filing of Asana, Inc. under the Securities Act of 1933, as amended, or the Securities Exchange Act of 1934, as amended (whether made before or after the date of the Form 10-K), irrespective of any general incorporation language contained in such filing.</w:t>
      </w:r>
      <w:r>
        <w:br w:type="page"/>
      </w:r>
    </w:p>
    <w:p>
      <w:pPr>
        <w:pStyle w:val="TextBody"/>
        <w:spacing w:before="0" w:after="283"/>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7" name="Frame1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 w:name="Times">
    <w:altName w:val="Times New Roman"/>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png"/><Relationship Id="rId110" Type="http://schemas.openxmlformats.org/officeDocument/2006/relationships/fontTable" Target="fontTable.xml"/><Relationship Id="rId1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62</Pages>
  <Words>130811</Words>
  <CharactersWithSpaces>825486</CharactersWithSpaces>
  <Paragraphs>5120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a104-2020equityincentive</dc:title>
</cp:coreProperties>
</file>