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Asana,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04342Y104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04342Y104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Rosenstein Justin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12,672,002.00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12,672,002.00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12,672,002.00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Asana,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633 Folsom Street, Suite 100, San Francisco, CA 94107</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Justin Rosenstein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Asana, Inc., 633 Folsom Street, Suite 100, San Francisco, CA 94107</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jc w:val="left"/>
              <w:rPr/>
            </w:pPr>
            <w:r>
              <w:rPr/>
              <w:t xml:space="preserve">CUSIP No.: </w:t>
            </w:r>
          </w:p>
          <w:p>
            <w:pPr>
              <w:pStyle w:val="TableContents"/>
              <w:bidi w:val="0"/>
              <w:spacing w:before="0" w:after="0"/>
              <w:jc w:val="left"/>
              <w:rPr/>
            </w:pPr>
            <w:r>
              <w:rPr/>
              <w:t>04342Y104</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the cover page to this Schedule 13G/A sets forth the aggregate number of securities of the Issuer beneficially owned by Mr. Rosenstein and is incorporated by reference. Mr. Rosenstein's beneficial ownership of the Issuer's securities consists of (i) 3,197,309 shares of Class A Common Stock held of record by Mr. Rosenstein, (ii) 575,984 shares of Class A Common Stock issuable to Mr. Rosenstein upon the exercise of stock options that are exercisable within 60 days of December 31, 2025, (iii) 7,176,532 shares of Class B Common Stock held of record by Mr. Rosenstein, (iv) 722,458 shares of Class B Common Stock held of record by the Justin Rosenstein 2024 Grantor Retained Annuity Trust, of which Mr. Rosenstein serves as trustee, (v) 460,000 shares of Class B Common Stock held of record by the Justin Rosenstein Trust, of which Mr. Rosenstein is the trustee, and (vi) 539,719 shares of Class B Common Stock held of record by the Justin Rosenstein Non-Exempt Trust, of which Mr. Rosenstein is the trustee. Each share of Class B Common Stock is convertible into one share of Class A Common Stock upon the option of the holder and has no expiration date. Each share of Class B Common Stock is entitled to 10 votes per share, whereas each share of Class A Common Stock is entitled to one vote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Mr. Rosenstein beneficially owns 7.3% of the Issuer's Class A Common Stock, which percentage is based upon 163,626,714 shares of Class A Common Stock issued and outstanding as of December 31, 2025, as reported by the Issuer to Mr. Rosenstein, and adjusted to give effect to Mr. Rosenstein's stock options exercisable within 60 days of December 31, 2025, and assumes the conversion of the Class B Common Stock beneficially owned by Mr. Rosenstein into Class A Common Stock.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the cover page to this Schedule 13G/A sets forth the sole power to vote or to direct the vote of securities of the Issuer beneficially owned by Mr. Rosenstein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the cover page to this Schedule 13G/A sets forth the shared power to vote or to direct the vote of securities of the Issuer beneficially owned by Mr. Rosenstein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the cover page to this Schedule 13G/A sets forth the sole power to dispose or to direct the disposition of securities of the Issuer beneficially owned by Mr. Rosenstein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the cover page to this Schedule 13G/A sets forth the shared power to dispose or to direct the disposition of securities of the Issuer beneficially owned by Mr. Rosenstein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Rosenstein Justin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Justin Rosenstein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Justin Rosenstein/Individual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1095</Words>
  <Characters>5528</Characters>
  <CharactersWithSpaces>6612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