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9.gif" ContentType="image/gif"/>
  <Override PartName="/word/media/image28.gif" ContentType="image/gif"/>
  <Override PartName="/word/media/image27.gif" ContentType="image/gif"/>
  <Override PartName="/word/media/image22.jpeg" ContentType="image/jpeg"/>
  <Override PartName="/word/media/image18.jpeg" ContentType="image/jpeg"/>
  <Override PartName="/word/media/image8.gif" ContentType="image/gif"/>
  <Override PartName="/word/media/image13.gif" ContentType="image/gif"/>
  <Override PartName="/word/media/image9.gif" ContentType="image/gif"/>
  <Override PartName="/word/media/image16.jpeg" ContentType="image/jpeg"/>
  <Override PartName="/word/media/image11.gif" ContentType="image/gif"/>
  <Override PartName="/word/media/image6.jpeg" ContentType="image/jpeg"/>
  <Override PartName="/word/media/image33.jpeg" ContentType="image/jpeg"/>
  <Override PartName="/word/media/image24.jpeg" ContentType="image/jpeg"/>
  <Override PartName="/word/media/image30.gif" ContentType="image/gif"/>
  <Override PartName="/word/media/image7.gif" ContentType="image/gif"/>
  <Override PartName="/word/media/image32.jpeg" ContentType="image/jpeg"/>
  <Override PartName="/word/media/image10.gif" ContentType="image/gif"/>
  <Override PartName="/word/media/image4.jpeg" ContentType="image/jpeg"/>
  <Override PartName="/word/media/image25.jpeg" ContentType="image/jpeg"/>
  <Override PartName="/word/media/image3.gif" ContentType="image/gif"/>
  <Override PartName="/word/media/image2.jpeg" ContentType="image/jpeg"/>
  <Override PartName="/word/media/image23.jpeg" ContentType="image/jpeg"/>
  <Override PartName="/word/media/image31.gif" ContentType="image/gif"/>
  <Override PartName="/word/media/image1.gif" ContentType="image/gif"/>
  <Override PartName="/word/media/image14.gif" ContentType="image/gif"/>
  <Override PartName="/word/media/image5.jpeg" ContentType="image/jpeg"/>
  <Override PartName="/word/media/image15.gif" ContentType="image/gif"/>
  <Override PartName="/word/media/image12.gif" ContentType="image/gif"/>
  <Override PartName="/word/media/image17.jpeg" ContentType="image/jpeg"/>
  <Override PartName="/word/media/image19.jpeg" ContentType="image/jpeg"/>
  <Override PartName="/word/media/image26.gif" ContentType="image/gif"/>
  <Override PartName="/word/media/image20.jpeg" ContentType="image/jpeg"/>
  <Override PartName="/word/media/image2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9"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SCHEDULE 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4"/>
        </w:rPr>
        <w:t>x</w:t>
      </w:r>
      <w:r>
        <w:rPr>
          <w:color w:val="000000"/>
        </w:rPr>
        <w:t>    </w:t>
      </w: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4"/>
        </w:rPr>
        <w:t>o</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ans-serif" w:hAnsi="Times New Roman;sans-serif"/>
          <w:b w:val="false"/>
          <w:color w:val="000000"/>
          <w:sz w:val="18"/>
        </w:rPr>
        <w:t>Preliminary Proxy Statement</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ans-serif" w:hAnsi="Times New Roman;sans-serif"/>
          <w:b w:val="false"/>
          <w:color w:val="000000"/>
          <w:sz w:val="18"/>
        </w:rPr>
        <w:t>Confidential, for Use of the Commission Only (as permitted by Rule 14a-6(e)(2))</w:t>
      </w:r>
    </w:p>
    <w:p>
      <w:pPr>
        <w:pStyle w:val="TextBody"/>
        <w:bidi w:val="0"/>
        <w:spacing w:lineRule="auto" w:line="288" w:before="0" w:after="0"/>
        <w:jc w:val="left"/>
        <w:rPr/>
      </w:pPr>
      <w:r>
        <w:rPr>
          <w:rFonts w:ascii="Wingdings;sans-serif" w:hAnsi="Wingdings;sans-serif"/>
          <w:b w:val="false"/>
          <w:color w:val="000000"/>
          <w:sz w:val="24"/>
        </w:rPr>
        <w:t>x</w:t>
      </w:r>
      <w:r>
        <w:rPr>
          <w:color w:val="000000"/>
        </w:rPr>
        <w:t>    </w:t>
      </w:r>
      <w:r>
        <w:rPr>
          <w:rFonts w:ascii="Times New Roman;sans-serif" w:hAnsi="Times New Roman;sans-serif"/>
          <w:b w:val="false"/>
          <w:color w:val="000000"/>
          <w:sz w:val="18"/>
        </w:rPr>
        <w:t>Definitive Proxy Statement</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ans-serif" w:hAnsi="Times New Roman;sans-serif"/>
          <w:b w:val="false"/>
          <w:color w:val="000000"/>
          <w:sz w:val="18"/>
        </w:rPr>
        <w:t>Definitive Additional Materials</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ans-serif" w:hAnsi="Times New Roman;sans-serif"/>
          <w:b w:val="false"/>
          <w:color w:val="000000"/>
          <w:sz w:val="18"/>
        </w:rPr>
        <w:t>Soliciting Material under §240.14a-12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bidi w:val="0"/>
        <w:spacing w:lineRule="auto" w:line="288" w:before="40" w:after="283"/>
        <w:jc w:val="center"/>
        <w:rPr>
          <w:rFonts w:ascii="Times New Roman;sans-serif" w:hAnsi="Times New Roman;sans-serif"/>
          <w:b/>
          <w:color w:val="000000"/>
          <w:sz w:val="44"/>
        </w:rPr>
      </w:pPr>
      <w:r>
        <w:rPr>
          <w:rFonts w:ascii="Times New Roman;sans-serif" w:hAnsi="Times New Roman;sans-serif"/>
          <w:b/>
          <w:color w:val="000000"/>
          <w:sz w:val="44"/>
        </w:rPr>
        <w:t>ASANA,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p>
      <w:pPr>
        <w:pStyle w:val="TextBody"/>
        <w:bidi w:val="0"/>
        <w:spacing w:lineRule="auto" w:line="288" w:before="0" w:after="0"/>
        <w:jc w:val="left"/>
        <w:rPr/>
      </w:pPr>
      <w:r>
        <w:rPr>
          <w:rFonts w:ascii="Wingdings;sans-serif" w:hAnsi="Wingdings;sans-serif"/>
          <w:b w:val="false"/>
          <w:color w:val="000000"/>
          <w:sz w:val="24"/>
        </w:rPr>
        <w:t>x</w:t>
      </w:r>
      <w:r>
        <w:rPr>
          <w:color w:val="000000"/>
        </w:rPr>
        <w:t>    </w:t>
      </w:r>
      <w:r>
        <w:rPr>
          <w:rFonts w:ascii="Times New Roman;sans-serif" w:hAnsi="Times New Roman;sans-serif"/>
          <w:b w:val="false"/>
          <w:color w:val="000000"/>
          <w:sz w:val="18"/>
        </w:rPr>
        <w:t>No fee required.</w:t>
      </w:r>
    </w:p>
    <w:p>
      <w:pPr>
        <w:pStyle w:val="TextBody"/>
        <w:bidi w:val="0"/>
        <w:spacing w:lineRule="auto" w:line="288" w:before="0" w:after="0"/>
        <w:jc w:val="left"/>
        <w:rPr/>
      </w:pPr>
      <w:r>
        <w:rPr>
          <w:rFonts w:ascii="Wingdings;sans-serif" w:hAnsi="Wingdings;sans-serif"/>
          <w:b w:val="false"/>
          <w:color w:val="000000"/>
          <w:sz w:val="24"/>
        </w:rPr>
        <w:t>o</w:t>
      </w:r>
      <w:r>
        <w:rPr>
          <w:color w:val="000000"/>
        </w:rPr>
        <w:t>    </w:t>
      </w:r>
      <w:r>
        <w:rPr>
          <w:rFonts w:ascii="Times New Roman;sans-serif" w:hAnsi="Times New Roman;sans-serif"/>
          <w:b w:val="false"/>
          <w:color w:val="000000"/>
          <w:sz w:val="18"/>
        </w:rPr>
        <w:t>Fee paid previously with preliminary materials.</w:t>
      </w:r>
    </w:p>
    <w:p>
      <w:pPr>
        <w:pStyle w:val="TextBody"/>
        <w:bidi w:val="0"/>
        <w:spacing w:lineRule="auto" w:line="288" w:before="0" w:after="60"/>
        <w:jc w:val="left"/>
        <w:rPr/>
      </w:pPr>
      <w:r>
        <w:rPr>
          <w:rFonts w:ascii="Wingdings;sans-serif" w:hAnsi="Wingdings;sans-serif"/>
          <w:b w:val="false"/>
          <w:color w:val="000000"/>
          <w:sz w:val="24"/>
        </w:rPr>
        <w:t>o</w:t>
      </w:r>
      <w:r>
        <w:rPr>
          <w:color w:val="000000"/>
        </w:rPr>
        <w:t>    </w:t>
      </w:r>
      <w:r>
        <w:rPr>
          <w:rFonts w:ascii="Times New Roman;sans-serif" w:hAnsi="Times New Roman;sans-serif"/>
          <w:b w:val="false"/>
          <w:color w:val="000000"/>
          <w:sz w:val="18"/>
        </w:rPr>
        <w:t>Fee computed on table in exhibit required by Item 25(b) per Exchange Act Rules 14a-6(i)(1) and 0-11.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Notice of Annual Meeting of Stockholders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16"/>
        <w:gridCol w:w="716"/>
        <w:gridCol w:w="719"/>
        <w:gridCol w:w="109"/>
        <w:gridCol w:w="109"/>
        <w:gridCol w:w="109"/>
        <w:gridCol w:w="109"/>
        <w:gridCol w:w="109"/>
        <w:gridCol w:w="109"/>
        <w:gridCol w:w="409"/>
        <w:gridCol w:w="409"/>
        <w:gridCol w:w="411"/>
        <w:gridCol w:w="109"/>
        <w:gridCol w:w="109"/>
        <w:gridCol w:w="109"/>
        <w:gridCol w:w="109"/>
        <w:gridCol w:w="109"/>
        <w:gridCol w:w="109"/>
        <w:gridCol w:w="364"/>
        <w:gridCol w:w="364"/>
        <w:gridCol w:w="366"/>
        <w:gridCol w:w="109"/>
        <w:gridCol w:w="109"/>
        <w:gridCol w:w="109"/>
        <w:gridCol w:w="109"/>
        <w:gridCol w:w="109"/>
        <w:gridCol w:w="109"/>
        <w:gridCol w:w="1016"/>
        <w:gridCol w:w="1016"/>
        <w:gridCol w:w="1017"/>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690031" w:val="clear"/>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914400" cy="180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914400" cy="180975"/>
                          </a:xfrm>
                          <a:prstGeom prst="rect">
                            <a:avLst/>
                          </a:prstGeom>
                        </pic:spPr>
                      </pic:pic>
                    </a:graphicData>
                  </a:graphic>
                </wp:inline>
              </w:drawing>
            </w:r>
          </w:p>
          <w:p>
            <w:pPr>
              <w:pStyle w:val="TableContents"/>
              <w:bidi w:val="0"/>
              <w:spacing w:lineRule="atLeast" w:line="220" w:before="0" w:after="0"/>
              <w:jc w:val="left"/>
              <w:rPr>
                <w:rFonts w:ascii="Inter Light;sans-serif" w:hAnsi="Inter Light;sans-serif"/>
                <w:b w:val="false"/>
                <w:color w:val="FFEAEC"/>
                <w:sz w:val="16"/>
              </w:rPr>
            </w:pPr>
            <w:r>
              <w:rPr>
                <w:rFonts w:ascii="Inter Light;sans-serif" w:hAnsi="Inter Light;sans-serif"/>
                <w:b w:val="false"/>
                <w:color w:val="FFEAEC"/>
                <w:sz w:val="16"/>
              </w:rPr>
              <w:t>633 Folsom Street, Suite 100</w:t>
            </w:r>
          </w:p>
          <w:p>
            <w:pPr>
              <w:pStyle w:val="TableContents"/>
              <w:bidi w:val="0"/>
              <w:spacing w:lineRule="atLeast" w:line="220" w:before="0" w:after="420"/>
              <w:jc w:val="left"/>
              <w:rPr>
                <w:rFonts w:ascii="Inter Light;sans-serif" w:hAnsi="Inter Light;sans-serif"/>
                <w:b w:val="false"/>
                <w:color w:val="FFEAEC"/>
                <w:sz w:val="16"/>
              </w:rPr>
            </w:pPr>
            <w:r>
              <w:rPr>
                <w:rFonts w:ascii="Inter Light;sans-serif" w:hAnsi="Inter Light;sans-serif"/>
                <w:b w:val="false"/>
                <w:color w:val="FFEAEC"/>
                <w:sz w:val="16"/>
              </w:rPr>
              <w:t>San Francisco, CA 94107</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690031" w:val="clear"/>
            <w:tcMar>
              <w:top w:w="0" w:type="dxa"/>
              <w:left w:w="0" w:type="dxa"/>
              <w:bottom w:w="0" w:type="dxa"/>
              <w:right w:w="0" w:type="dxa"/>
            </w:tcMar>
            <w:vAlign w:val="center"/>
          </w:tcPr>
          <w:p>
            <w:pPr>
              <w:pStyle w:val="TableContents"/>
              <w:bidi w:val="0"/>
              <w:spacing w:lineRule="atLeast" w:line="360" w:before="0" w:after="0"/>
              <w:jc w:val="left"/>
              <w:rPr>
                <w:rFonts w:ascii="Inter SemiBold;sans-serif" w:hAnsi="Inter SemiBold;sans-serif"/>
                <w:b w:val="false"/>
                <w:color w:val="FFEAEC"/>
                <w:sz w:val="24"/>
              </w:rPr>
            </w:pPr>
            <w:r>
              <w:rPr>
                <w:rFonts w:ascii="Inter SemiBold;sans-serif" w:hAnsi="Inter SemiBold;sans-serif"/>
                <w:b w:val="false"/>
                <w:color w:val="FFEAEC"/>
                <w:sz w:val="24"/>
              </w:rPr>
              <w:t>Date</w:t>
            </w:r>
          </w:p>
          <w:p>
            <w:pPr>
              <w:pStyle w:val="TableContents"/>
              <w:bidi w:val="0"/>
              <w:spacing w:lineRule="atLeast" w:line="280" w:before="0" w:after="0"/>
              <w:jc w:val="left"/>
              <w:rPr>
                <w:rFonts w:ascii="Inter Light;sans-serif" w:hAnsi="Inter Light;sans-serif"/>
                <w:b w:val="false"/>
                <w:color w:val="FFEAEC"/>
                <w:sz w:val="20"/>
              </w:rPr>
            </w:pPr>
            <w:r>
              <w:rPr>
                <w:rFonts w:ascii="Inter Light;sans-serif" w:hAnsi="Inter Light;sans-serif"/>
                <w:b w:val="false"/>
                <w:color w:val="FFEAEC"/>
                <w:sz w:val="20"/>
              </w:rPr>
              <w:t xml:space="preserve">Monday, </w:t>
            </w:r>
          </w:p>
          <w:p>
            <w:pPr>
              <w:pStyle w:val="TableContents"/>
              <w:bidi w:val="0"/>
              <w:spacing w:lineRule="atLeast" w:line="280" w:before="0" w:after="0"/>
              <w:jc w:val="left"/>
              <w:rPr>
                <w:rFonts w:ascii="Inter Light;sans-serif" w:hAnsi="Inter Light;sans-serif"/>
                <w:b w:val="false"/>
                <w:color w:val="FFEAEC"/>
                <w:sz w:val="20"/>
              </w:rPr>
            </w:pPr>
            <w:r>
              <w:rPr>
                <w:rFonts w:ascii="Inter Light;sans-serif" w:hAnsi="Inter Light;sans-serif"/>
                <w:b w:val="false"/>
                <w:color w:val="FFEAEC"/>
                <w:sz w:val="20"/>
              </w:rPr>
              <w:t>June 16, 2025</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690031" w:val="clear"/>
            <w:tcMar>
              <w:top w:w="0" w:type="dxa"/>
              <w:left w:w="0" w:type="dxa"/>
              <w:bottom w:w="0" w:type="dxa"/>
              <w:right w:w="0" w:type="dxa"/>
            </w:tcMar>
            <w:vAlign w:val="center"/>
          </w:tcPr>
          <w:p>
            <w:pPr>
              <w:pStyle w:val="TableContents"/>
              <w:bidi w:val="0"/>
              <w:spacing w:lineRule="atLeast" w:line="360" w:before="0" w:after="0"/>
              <w:jc w:val="left"/>
              <w:rPr>
                <w:rFonts w:ascii="Inter SemiBold;sans-serif" w:hAnsi="Inter SemiBold;sans-serif"/>
                <w:b w:val="false"/>
                <w:color w:val="FFEAEC"/>
                <w:sz w:val="24"/>
              </w:rPr>
            </w:pPr>
            <w:r>
              <w:rPr>
                <w:rFonts w:ascii="Inter SemiBold;sans-serif" w:hAnsi="Inter SemiBold;sans-serif"/>
                <w:b w:val="false"/>
                <w:color w:val="FFEAEC"/>
                <w:sz w:val="24"/>
              </w:rPr>
              <w:t>Time</w:t>
            </w:r>
          </w:p>
          <w:p>
            <w:pPr>
              <w:pStyle w:val="TableContents"/>
              <w:bidi w:val="0"/>
              <w:spacing w:lineRule="atLeast" w:line="280" w:before="0" w:after="0"/>
              <w:jc w:val="left"/>
              <w:rPr>
                <w:rFonts w:ascii="Inter Light;sans-serif" w:hAnsi="Inter Light;sans-serif"/>
                <w:b w:val="false"/>
                <w:color w:val="FFEAEC"/>
                <w:sz w:val="20"/>
              </w:rPr>
            </w:pPr>
            <w:r>
              <w:rPr>
                <w:rFonts w:ascii="Inter Light;sans-serif" w:hAnsi="Inter Light;sans-serif"/>
                <w:b w:val="false"/>
                <w:color w:val="FFEAEC"/>
                <w:sz w:val="20"/>
              </w:rPr>
              <w:t xml:space="preserve">2:00 P.M. </w:t>
            </w:r>
          </w:p>
          <w:p>
            <w:pPr>
              <w:pStyle w:val="TableContents"/>
              <w:bidi w:val="0"/>
              <w:spacing w:lineRule="atLeast" w:line="280" w:before="0" w:after="0"/>
              <w:jc w:val="left"/>
              <w:rPr>
                <w:rFonts w:ascii="Inter Light;sans-serif" w:hAnsi="Inter Light;sans-serif"/>
                <w:b w:val="false"/>
                <w:color w:val="FFEAEC"/>
                <w:sz w:val="20"/>
              </w:rPr>
            </w:pPr>
            <w:r>
              <w:rPr>
                <w:rFonts w:ascii="Inter Light;sans-serif" w:hAnsi="Inter Light;sans-serif"/>
                <w:b w:val="false"/>
                <w:color w:val="FFEAEC"/>
                <w:sz w:val="20"/>
              </w:rPr>
              <w:t>Pacific Time</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690031" w:val="clear"/>
            <w:tcMar>
              <w:top w:w="0" w:type="dxa"/>
              <w:left w:w="0" w:type="dxa"/>
              <w:bottom w:w="0" w:type="dxa"/>
              <w:right w:w="0" w:type="dxa"/>
            </w:tcMar>
            <w:vAlign w:val="center"/>
          </w:tcPr>
          <w:p>
            <w:pPr>
              <w:pStyle w:val="TableContents"/>
              <w:bidi w:val="0"/>
              <w:spacing w:lineRule="atLeast" w:line="320" w:before="0" w:after="0"/>
              <w:jc w:val="left"/>
              <w:rPr>
                <w:rFonts w:ascii="Inter SemiBold;sans-serif" w:hAnsi="Inter SemiBold;sans-serif"/>
                <w:b w:val="false"/>
                <w:color w:val="FFEAEC"/>
                <w:sz w:val="24"/>
              </w:rPr>
            </w:pPr>
            <w:r>
              <w:rPr>
                <w:rFonts w:ascii="Inter SemiBold;sans-serif" w:hAnsi="Inter SemiBold;sans-serif"/>
                <w:b w:val="false"/>
                <w:color w:val="FFEAEC"/>
                <w:sz w:val="24"/>
              </w:rPr>
              <w:t>Place</w:t>
            </w:r>
          </w:p>
          <w:p>
            <w:pPr>
              <w:pStyle w:val="TableContents"/>
              <w:bidi w:val="0"/>
              <w:spacing w:lineRule="atLeast" w:line="280" w:before="0" w:after="0"/>
              <w:jc w:val="left"/>
              <w:rPr>
                <w:rFonts w:ascii="Inter Light;sans-serif" w:hAnsi="Inter Light;sans-serif"/>
                <w:b/>
                <w:color w:val="FFEAEC"/>
                <w:sz w:val="20"/>
              </w:rPr>
            </w:pPr>
            <w:r>
              <w:rPr>
                <w:rFonts w:ascii="Inter Light;sans-serif" w:hAnsi="Inter Light;sans-serif"/>
                <w:b/>
                <w:color w:val="FFEAEC"/>
                <w:sz w:val="20"/>
              </w:rPr>
              <w:t>www.virtualshare</w:t>
            </w:r>
          </w:p>
          <w:p>
            <w:pPr>
              <w:pStyle w:val="TableContents"/>
              <w:bidi w:val="0"/>
              <w:spacing w:lineRule="atLeast" w:line="260" w:before="0" w:after="180"/>
              <w:jc w:val="left"/>
              <w:rPr>
                <w:rFonts w:ascii="Inter Light;sans-serif" w:hAnsi="Inter Light;sans-serif"/>
                <w:b/>
                <w:color w:val="FFEAEC"/>
                <w:sz w:val="20"/>
              </w:rPr>
            </w:pPr>
            <w:r>
              <w:rPr>
                <w:rFonts w:ascii="Inter Light;sans-serif" w:hAnsi="Inter Light;sans-serif"/>
                <w:b/>
                <w:color w:val="FFEAEC"/>
                <w:sz w:val="20"/>
              </w:rPr>
              <w:t>holdermeeting.com/ASAN2025</w:t>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0" w:after="180"/>
        <w:jc w:val="left"/>
        <w:rPr>
          <w:rFonts w:ascii="Inter SemiBold;sans-serif" w:hAnsi="Inter SemiBold;sans-serif"/>
          <w:b w:val="false"/>
          <w:color w:val="FF584A"/>
          <w:sz w:val="24"/>
          <w:shd w:fill="FFFFFF" w:val="clear"/>
        </w:rPr>
      </w:pPr>
      <w:r>
        <w:rPr>
          <w:rFonts w:ascii="Inter SemiBold;sans-serif" w:hAnsi="Inter SemiBold;sans-serif"/>
          <w:b w:val="false"/>
          <w:color w:val="FF584A"/>
          <w:sz w:val="24"/>
          <w:shd w:fill="FFFFFF" w:val="clear"/>
        </w:rPr>
        <w:t>Dear Stockholders of Asana, Inc.:</w:t>
      </w:r>
    </w:p>
    <w:p>
      <w:pPr>
        <w:pStyle w:val="TextBody"/>
        <w:bidi w:val="0"/>
        <w:spacing w:lineRule="atLeast" w:line="260" w:before="0" w:after="180"/>
        <w:jc w:val="left"/>
        <w:rPr>
          <w:rFonts w:ascii="Inter Light;sans-serif" w:hAnsi="Inter Light;sans-serif"/>
          <w:b w:val="false"/>
          <w:color w:val="000000"/>
          <w:sz w:val="18"/>
          <w:shd w:fill="FFFFFF" w:val="clear"/>
        </w:rPr>
      </w:pPr>
      <w:r>
        <w:rPr>
          <w:rFonts w:ascii="Inter Light;sans-serif" w:hAnsi="Inter Light;sans-serif"/>
          <w:b w:val="false"/>
          <w:color w:val="000000"/>
          <w:sz w:val="18"/>
          <w:shd w:fill="FFFFFF" w:val="clear"/>
        </w:rPr>
        <w:t xml:space="preserve">We cordially invite you to attend the 2025 annual meeting of stockholders, or the Annual Meeting, of Asana, Inc., a Delaware corporation, which will be held as a virtual meeting on Monday, June 16, 2025 at 2:00 p.m. Pacific Time. The Annual Meeting will be held through a live audio-only </w:t>
      </w:r>
    </w:p>
    <w:p>
      <w:pPr>
        <w:pStyle w:val="TextBody"/>
        <w:bidi w:val="0"/>
        <w:spacing w:lineRule="atLeast" w:line="260" w:before="0" w:after="180"/>
        <w:jc w:val="left"/>
        <w:rPr/>
      </w:pPr>
      <w:r>
        <w:rPr>
          <w:rFonts w:ascii="Inter Light;sans-serif" w:hAnsi="Inter Light;sans-serif"/>
          <w:b w:val="false"/>
          <w:color w:val="000000"/>
          <w:sz w:val="18"/>
          <w:shd w:fill="FFFFFF" w:val="clear"/>
        </w:rPr>
        <w:t xml:space="preserve">webcast at </w:t>
      </w:r>
      <w:r>
        <w:rPr>
          <w:rFonts w:ascii="Inter Light;sans-serif" w:hAnsi="Inter Light;sans-serif"/>
          <w:b w:val="false"/>
          <w:color w:val="FF584A"/>
          <w:sz w:val="18"/>
          <w:u w:val="single"/>
          <w:shd w:fill="FFFFFF" w:val="clear"/>
        </w:rPr>
        <w:t>www.virtualshareholdermeeting.com/ASAN2025</w:t>
      </w:r>
      <w:r>
        <w:rPr>
          <w:rFonts w:ascii="Inter Light;sans-serif" w:hAnsi="Inter Light;sans-serif"/>
          <w:b w:val="false"/>
          <w:color w:val="000000"/>
          <w:sz w:val="18"/>
          <w:shd w:fill="FFFFFF" w:val="clear"/>
        </w:rPr>
        <w:t>, where you will also be able to submit questions and vote online.</w:t>
      </w:r>
    </w:p>
    <w:p>
      <w:pPr>
        <w:pStyle w:val="TextBody"/>
        <w:bidi w:val="0"/>
        <w:spacing w:lineRule="atLeast" w:line="260" w:before="0" w:after="180"/>
        <w:jc w:val="left"/>
        <w:rPr>
          <w:rFonts w:ascii="Inter Light;sans-serif" w:hAnsi="Inter Light;sans-serif"/>
          <w:b w:val="false"/>
          <w:color w:val="000000"/>
          <w:sz w:val="18"/>
          <w:shd w:fill="FFFFFF" w:val="clear"/>
        </w:rPr>
      </w:pPr>
      <w:r>
        <w:rPr>
          <w:rFonts w:ascii="Inter Light;sans-serif" w:hAnsi="Inter Light;sans-serif"/>
          <w:b w:val="false"/>
          <w:color w:val="000000"/>
          <w:sz w:val="18"/>
          <w:shd w:fill="FFFFFF" w:val="clear"/>
        </w:rPr>
        <w:t>We are holding the Annual Meeting for the following purposes, as more fully described in the accompanying proxy statement: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61"/>
        <w:gridCol w:w="2732"/>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1</w:t>
            </w:r>
          </w:p>
        </w:tc>
        <w:tc>
          <w:tcPr>
            <w:tcW w:w="986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To elect the three nominees for Class II directors to serve on Asana’s board of directors until the 2028 annual meeting of stockholders and until their successors are duly elected and qualified;</w:t>
            </w:r>
          </w:p>
        </w:tc>
      </w:tr>
      <w:tr>
        <w:trPr/>
        <w:tc>
          <w:tcPr>
            <w:tcW w:w="34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2</w:t>
            </w:r>
          </w:p>
        </w:tc>
        <w:tc>
          <w:tcPr>
            <w:tcW w:w="986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To ratify the selection of PricewaterhouseCoopers LLP by the Audit Committee of Asana’s board of directors as Asana’s independent registered public accounting firm for its fiscal year ending January 31, 2026;</w:t>
            </w:r>
          </w:p>
        </w:tc>
      </w:tr>
      <w:tr>
        <w:trPr/>
        <w:tc>
          <w:tcPr>
            <w:tcW w:w="34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3</w:t>
            </w:r>
          </w:p>
        </w:tc>
        <w:tc>
          <w:tcPr>
            <w:tcW w:w="986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To solicit a non-binding advisory vote to approve the compensation of Asana’s named executive officers; and</w:t>
            </w:r>
          </w:p>
        </w:tc>
      </w:tr>
      <w:tr>
        <w:trPr/>
        <w:tc>
          <w:tcPr>
            <w:tcW w:w="342"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4</w:t>
            </w:r>
          </w:p>
        </w:tc>
        <w:tc>
          <w:tcPr>
            <w:tcW w:w="986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To transact such other business that may properly come before the Annual Meeting or any adjournments or postponements thereof.</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has fixed the close of business on April 21. 2025 as the record date for the Annual Meeting, or the Record Date. Only stockholders of record on April 21, 2025 are entitled to notice of and to vote at the Annual Meeting. Further information regarding voting rights and the matters to be voted upon is presented in the accompanying proxy statement.</w:t>
      </w:r>
    </w:p>
    <w:p>
      <w:pPr>
        <w:pStyle w:val="TextBody"/>
        <w:bidi w:val="0"/>
        <w:spacing w:lineRule="atLeast" w:line="260" w:before="0" w:after="200"/>
        <w:jc w:val="left"/>
        <w:rPr>
          <w:rFonts w:ascii="Inter Light;sans-serif" w:hAnsi="Inter Light;sans-serif"/>
          <w:b w:val="false"/>
          <w:color w:val="000000"/>
          <w:sz w:val="18"/>
        </w:rPr>
      </w:pPr>
      <w:r>
        <w:rPr>
          <w:rFonts w:ascii="Inter Light;sans-serif" w:hAnsi="Inter Light;sans-serif"/>
          <w:b w:val="false"/>
          <w:color w:val="000000"/>
          <w:sz w:val="18"/>
        </w:rPr>
        <w:t>On or about April 30, 2025, we expect to mail to our stockholders a Notice of Internet Availability of Proxy Materials, or the Notice, containing instructions on how to access our proxy statement and annual report. The Notice provides instructions on how to vote via the Internet or by telephone and includes instructions on how to receive a paper copy of our proxy materials by mail.</w:t>
      </w:r>
    </w:p>
    <w:tbl>
      <w:tblPr>
        <w:tblW w:w="10205" w:type="dxa"/>
        <w:jc w:val="left"/>
        <w:tblInd w:w="0" w:type="dxa"/>
        <w:tblLayout w:type="fixed"/>
        <w:tblCellMar>
          <w:top w:w="28" w:type="dxa"/>
          <w:left w:w="28" w:type="dxa"/>
          <w:bottom w:w="28" w:type="dxa"/>
          <w:right w:w="28" w:type="dxa"/>
        </w:tblCellMar>
      </w:tblPr>
      <w:tblGrid>
        <w:gridCol w:w="652"/>
        <w:gridCol w:w="573"/>
        <w:gridCol w:w="575"/>
        <w:gridCol w:w="2457"/>
        <w:gridCol w:w="2457"/>
        <w:gridCol w:w="3491"/>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EAEC" w:val="clear"/>
            <w:tcMar>
              <w:top w:w="0" w:type="dxa"/>
              <w:left w:w="0" w:type="dxa"/>
              <w:bottom w:w="0" w:type="dxa"/>
              <w:right w:w="0" w:type="dxa"/>
            </w:tcMar>
            <w:vAlign w:val="center"/>
          </w:tcPr>
          <w:p>
            <w:pPr>
              <w:pStyle w:val="TableContents"/>
              <w:bidi w:val="0"/>
              <w:spacing w:lineRule="atLeast" w:line="300" w:before="240" w:after="120"/>
              <w:jc w:val="center"/>
              <w:rPr>
                <w:rFonts w:ascii="Inter SemiBold;sans-serif" w:hAnsi="Inter SemiBold;sans-serif"/>
                <w:b/>
                <w:color w:val="FF584A"/>
                <w:sz w:val="22"/>
              </w:rPr>
            </w:pPr>
            <w:r>
              <w:rPr>
                <w:rFonts w:ascii="Inter SemiBold;sans-serif" w:hAnsi="Inter SemiBold;sans-serif"/>
                <w:b/>
                <w:color w:val="FF584A"/>
                <w:sz w:val="22"/>
              </w:rPr>
              <w:t>Your vote is important.</w:t>
            </w:r>
          </w:p>
        </w:tc>
        <w:tc>
          <w:tcPr>
            <w:tcW w:w="840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virtually and to vote your shares at the Annual Meeting.</w:t>
            </w:r>
          </w:p>
        </w:tc>
      </w:tr>
    </w:tbl>
    <w:tbl>
      <w:tblPr>
        <w:tblW w:w="7648" w:type="dxa"/>
        <w:jc w:val="left"/>
        <w:tblInd w:w="0" w:type="dxa"/>
        <w:tblLayout w:type="fixed"/>
        <w:tblCellMar>
          <w:top w:w="28" w:type="dxa"/>
          <w:left w:w="28" w:type="dxa"/>
          <w:bottom w:w="28" w:type="dxa"/>
          <w:right w:w="28" w:type="dxa"/>
        </w:tblCellMar>
      </w:tblPr>
      <w:tblGrid>
        <w:gridCol w:w="1918"/>
        <w:gridCol w:w="1687"/>
        <w:gridCol w:w="1689"/>
        <w:gridCol w:w="689"/>
        <w:gridCol w:w="689"/>
        <w:gridCol w:w="976"/>
      </w:tblGrid>
      <w:tr>
        <w:trPr/>
        <w:tc>
          <w:tcPr>
            <w:tcW w:w="191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appreciate your continued support of Asana.</w:t>
            </w:r>
          </w:p>
          <w:p>
            <w:pPr>
              <w:pStyle w:val="TableContents"/>
              <w:bidi w:val="0"/>
              <w:spacing w:lineRule="atLeast" w:line="260" w:before="0" w:after="60"/>
              <w:jc w:val="left"/>
              <w:rPr>
                <w:rFonts w:ascii="Inter Light;sans-serif" w:hAnsi="Inter Light;sans-serif"/>
                <w:b w:val="false"/>
                <w:color w:val="000000"/>
                <w:sz w:val="18"/>
              </w:rPr>
            </w:pPr>
            <w:r>
              <w:rPr>
                <w:rFonts w:ascii="Inter Light;sans-serif" w:hAnsi="Inter Light;sans-serif"/>
                <w:b w:val="false"/>
                <w:color w:val="000000"/>
                <w:sz w:val="18"/>
              </w:rPr>
              <w:t>By order of the board of directors,</w:t>
            </w:r>
          </w:p>
          <w:p>
            <w:pPr>
              <w:pStyle w:val="TableContents"/>
              <w:bidi w:val="0"/>
              <w:spacing w:before="0" w:after="0"/>
              <w:jc w:val="left"/>
              <w:rPr/>
            </w:pPr>
            <w:r>
              <w:rPr/>
              <w:drawing>
                <wp:inline distT="0" distB="0" distL="0" distR="0">
                  <wp:extent cx="2047875" cy="2667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047875" cy="266700"/>
                          </a:xfrm>
                          <a:prstGeom prst="rect">
                            <a:avLst/>
                          </a:prstGeom>
                        </pic:spPr>
                      </pic:pic>
                    </a:graphicData>
                  </a:graphic>
                </wp:inline>
              </w:drawing>
            </w:r>
          </w:p>
          <w:p>
            <w:pPr>
              <w:pStyle w:val="TableContents"/>
              <w:bidi w:val="0"/>
              <w:spacing w:lineRule="atLeast" w:line="260" w:before="0" w:after="0"/>
              <w:jc w:val="left"/>
              <w:rPr>
                <w:rFonts w:ascii="Inter SemiBold;sans-serif" w:hAnsi="Inter SemiBold;sans-serif"/>
                <w:b/>
                <w:color w:val="000000"/>
                <w:sz w:val="18"/>
              </w:rPr>
            </w:pPr>
            <w:r>
              <w:rPr>
                <w:rFonts w:ascii="Inter SemiBold;sans-serif" w:hAnsi="Inter SemiBold;sans-serif"/>
                <w:b/>
                <w:color w:val="000000"/>
                <w:sz w:val="18"/>
              </w:rPr>
              <w:t>Dustin Moskovitz</w:t>
            </w:r>
          </w:p>
          <w:p>
            <w:pPr>
              <w:pStyle w:val="TableContents"/>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President, Chief Executive Officer, and Chair of the Board</w:t>
            </w:r>
          </w:p>
        </w:tc>
        <w:tc>
          <w:tcPr>
            <w:tcW w:w="2354" w:type="dxa"/>
            <w:gridSpan w:val="3"/>
            <w:tcBorders/>
            <w:tcMar>
              <w:top w:w="0" w:type="dxa"/>
              <w:left w:w="0" w:type="dxa"/>
              <w:bottom w:w="0" w:type="dxa"/>
              <w:right w:w="0" w:type="dxa"/>
            </w:tcMar>
            <w:vAlign w:val="center"/>
          </w:tcPr>
          <w:p>
            <w:pPr>
              <w:pStyle w:val="TableContents"/>
              <w:bidi w:val="0"/>
              <w:spacing w:lineRule="atLeast" w:line="260" w:before="0" w:after="0"/>
              <w:jc w:val="right"/>
              <w:rPr>
                <w:rFonts w:ascii="Inter Light;sans-serif" w:hAnsi="Inter Light;sans-serif"/>
                <w:b w:val="false"/>
                <w:color w:val="636466"/>
                <w:sz w:val="18"/>
              </w:rPr>
            </w:pPr>
            <w:r>
              <w:rPr>
                <w:rFonts w:ascii="Inter Light;sans-serif" w:hAnsi="Inter Light;sans-serif"/>
                <w:b w:val="false"/>
                <w:color w:val="636466"/>
                <w:sz w:val="18"/>
              </w:rPr>
              <w:t>San Francisco, California</w:t>
            </w:r>
          </w:p>
          <w:p>
            <w:pPr>
              <w:pStyle w:val="TableContents"/>
              <w:bidi w:val="0"/>
              <w:spacing w:lineRule="atLeast" w:line="260" w:before="0" w:after="0"/>
              <w:jc w:val="right"/>
              <w:rPr>
                <w:rFonts w:ascii="Inter Light;sans-serif" w:hAnsi="Inter Light;sans-serif"/>
                <w:b w:val="false"/>
                <w:color w:val="636466"/>
                <w:sz w:val="18"/>
              </w:rPr>
            </w:pPr>
            <w:r>
              <w:rPr>
                <w:rFonts w:ascii="Inter Light;sans-serif" w:hAnsi="Inter Light;sans-serif"/>
                <w:b w:val="false"/>
                <w:color w:val="636466"/>
                <w:sz w:val="18"/>
              </w:rPr>
              <w:t>April 30,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99" w:type="dxa"/>
        <w:jc w:val="left"/>
        <w:tblInd w:w="0" w:type="dxa"/>
        <w:tblLayout w:type="fixed"/>
        <w:tblCellMar>
          <w:top w:w="28" w:type="dxa"/>
          <w:left w:w="28" w:type="dxa"/>
          <w:bottom w:w="28" w:type="dxa"/>
          <w:right w:w="28" w:type="dxa"/>
        </w:tblCellMar>
      </w:tblPr>
      <w:tblGrid>
        <w:gridCol w:w="1632"/>
        <w:gridCol w:w="1436"/>
        <w:gridCol w:w="2031"/>
      </w:tblGrid>
      <w:tr>
        <w:trPr/>
        <w:tc>
          <w:tcPr>
            <w:tcW w:w="16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Table of Contents</w:t>
            </w:r>
          </w:p>
        </w:tc>
      </w:tr>
    </w:tbl>
    <w:tbl>
      <w:tblPr>
        <w:tblW w:w="8814" w:type="dxa"/>
        <w:jc w:val="left"/>
        <w:tblInd w:w="0" w:type="dxa"/>
        <w:tblLayout w:type="fixed"/>
        <w:tblCellMar>
          <w:top w:w="28" w:type="dxa"/>
          <w:left w:w="28" w:type="dxa"/>
          <w:bottom w:w="28" w:type="dxa"/>
          <w:right w:w="28" w:type="dxa"/>
        </w:tblCellMar>
      </w:tblPr>
      <w:tblGrid>
        <w:gridCol w:w="124"/>
        <w:gridCol w:w="109"/>
        <w:gridCol w:w="109"/>
        <w:gridCol w:w="2581"/>
        <w:gridCol w:w="2581"/>
        <w:gridCol w:w="2592"/>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Proxy Summary</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3">
              <w:r>
                <w:rPr>
                  <w:rStyle w:val="InternetLink"/>
                  <w:rFonts w:ascii="Inter SemiBold;sans-serif" w:hAnsi="Inter SemiBold;sans-serif"/>
                  <w:b w:val="false"/>
                  <w:strike w:val="false"/>
                  <w:dstrike w:val="false"/>
                  <w:color w:val="FF584A"/>
                  <w:sz w:val="20"/>
                  <w:u w:val="none"/>
                  <w:effect w:val="none"/>
                </w:rPr>
                <w:t>1</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rFonts w:ascii="Inter SemiBold;sans-serif" w:hAnsi="Inter SemiBold;sans-serif"/>
                <w:b w:val="false"/>
                <w:color w:val="FF584A"/>
                <w:sz w:val="20"/>
              </w:rPr>
            </w:pPr>
            <w:r>
              <w:rPr>
                <w:rFonts w:ascii="Inter SemiBold;sans-serif" w:hAnsi="Inter SemiBold;sans-serif"/>
                <w:b w:val="false"/>
                <w:color w:val="FF584A"/>
                <w:sz w:val="20"/>
              </w:rPr>
              <w:t>2025 Annual Meeting of Stockholders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9">
              <w:r>
                <w:rPr>
                  <w:rStyle w:val="InternetLink"/>
                  <w:rFonts w:ascii="Inter SemiBold;sans-serif" w:hAnsi="Inter SemiBold;sans-serif"/>
                  <w:b w:val="false"/>
                  <w:strike w:val="false"/>
                  <w:dstrike w:val="false"/>
                  <w:color w:val="FF584A"/>
                  <w:sz w:val="20"/>
                  <w:u w:val="none"/>
                  <w:effect w:val="none"/>
                </w:rPr>
                <w:t>2</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39b121e38a8e480087239f339633667c_19">
              <w:r>
                <w:rPr>
                  <w:rStyle w:val="InternetLink"/>
                  <w:rFonts w:ascii="Inter Light;sans-serif" w:hAnsi="Inter Light;sans-serif"/>
                  <w:b w:val="false"/>
                  <w:strike w:val="false"/>
                  <w:dstrike w:val="false"/>
                  <w:color w:val="690031"/>
                  <w:sz w:val="18"/>
                  <w:u w:val="none"/>
                  <w:effect w:val="none"/>
                </w:rPr>
                <w:t>Questions and Answers Regarding this Solicitation and Voting at the Annual Meeting</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9">
              <w:r>
                <w:rPr>
                  <w:rStyle w:val="InternetLink"/>
                  <w:rFonts w:ascii="Inter Light;sans-serif" w:hAnsi="Inter Light;sans-serif"/>
                  <w:b w:val="false"/>
                  <w:strike w:val="false"/>
                  <w:dstrike w:val="false"/>
                  <w:color w:val="690031"/>
                  <w:sz w:val="18"/>
                  <w:u w:val="none"/>
                  <w:effect w:val="none"/>
                </w:rPr>
                <w:t>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71914b8427ff4d0e8d9d6de83a3c8b5e_58127">
              <w:r>
                <w:rPr>
                  <w:rStyle w:val="InternetLink"/>
                  <w:rFonts w:ascii="Inter Light;sans-serif" w:hAnsi="Inter Light;sans-serif"/>
                  <w:b w:val="false"/>
                  <w:strike w:val="false"/>
                  <w:dstrike w:val="false"/>
                  <w:color w:val="690031"/>
                  <w:sz w:val="18"/>
                  <w:u w:val="none"/>
                  <w:effect w:val="none"/>
                </w:rPr>
                <w:t>Nomination of Director Candidates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71914b8427ff4d0e8d9d6de83a3c8b5e_58127">
              <w:r>
                <w:rPr>
                  <w:rStyle w:val="InternetLink"/>
                  <w:rFonts w:ascii="Inter Light;sans-serif" w:hAnsi="Inter Light;sans-serif"/>
                  <w:b w:val="false"/>
                  <w:strike w:val="false"/>
                  <w:dstrike w:val="false"/>
                  <w:color w:val="690031"/>
                  <w:sz w:val="18"/>
                  <w:u w:val="none"/>
                  <w:effect w:val="none"/>
                </w:rPr>
                <w:t>6</w:t>
              </w:r>
            </w:hyperlink>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71914b8427ff4d0e8d9d6de83a3c8b5e_58128">
              <w:r>
                <w:rPr>
                  <w:rStyle w:val="InternetLink"/>
                  <w:rFonts w:ascii="Inter Light;sans-serif" w:hAnsi="Inter Light;sans-serif"/>
                  <w:b w:val="false"/>
                  <w:strike w:val="false"/>
                  <w:dstrike w:val="false"/>
                  <w:color w:val="690031"/>
                  <w:sz w:val="18"/>
                  <w:u w:val="none"/>
                  <w:effect w:val="none"/>
                </w:rPr>
                <w:t>Universal Proxy</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71914b8427ff4d0e8d9d6de83a3c8b5e_58128">
              <w:r>
                <w:rPr>
                  <w:rStyle w:val="InternetLink"/>
                  <w:rFonts w:ascii="Inter Light;sans-serif" w:hAnsi="Inter Light;sans-serif"/>
                  <w:b w:val="false"/>
                  <w:strike w:val="false"/>
                  <w:dstrike w:val="false"/>
                  <w:color w:val="690031"/>
                  <w:sz w:val="18"/>
                  <w:u w:val="none"/>
                  <w:effect w:val="none"/>
                </w:rPr>
                <w:t>7</w:t>
              </w:r>
            </w:hyperlink>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71914b8427ff4d0e8d9d6de83a3c8b5e_58129">
              <w:r>
                <w:rPr>
                  <w:rStyle w:val="InternetLink"/>
                  <w:rFonts w:ascii="Inter Light;sans-serif" w:hAnsi="Inter Light;sans-serif"/>
                  <w:b w:val="false"/>
                  <w:strike w:val="false"/>
                  <w:dstrike w:val="false"/>
                  <w:color w:val="690031"/>
                  <w:sz w:val="18"/>
                  <w:u w:val="none"/>
                  <w:effect w:val="none"/>
                </w:rPr>
                <w:t>Availability of Bylaws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71914b8427ff4d0e8d9d6de83a3c8b5e_58129">
              <w:r>
                <w:rPr>
                  <w:rStyle w:val="InternetLink"/>
                  <w:rFonts w:ascii="Inter Light;sans-serif" w:hAnsi="Inter Light;sans-serif"/>
                  <w:b w:val="false"/>
                  <w:strike w:val="false"/>
                  <w:dstrike w:val="false"/>
                  <w:color w:val="690031"/>
                  <w:sz w:val="18"/>
                  <w:u w:val="none"/>
                  <w:effect w:val="none"/>
                </w:rPr>
                <w:t>7</w:t>
              </w:r>
            </w:hyperlink>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Special Note Regarding Forward-Looking Statements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22">
              <w:r>
                <w:rPr>
                  <w:rStyle w:val="InternetLink"/>
                  <w:rFonts w:ascii="Inter SemiBold;sans-serif" w:hAnsi="Inter SemiBold;sans-serif"/>
                  <w:b w:val="false"/>
                  <w:strike w:val="false"/>
                  <w:dstrike w:val="false"/>
                  <w:color w:val="FF584A"/>
                  <w:sz w:val="20"/>
                  <w:u w:val="none"/>
                  <w:effect w:val="none"/>
                </w:rPr>
                <w:t>8</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Board of Directors and Corporate Governance</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25">
              <w:r>
                <w:rPr>
                  <w:rStyle w:val="InternetLink"/>
                  <w:rFonts w:ascii="Inter SemiBold;sans-serif" w:hAnsi="Inter SemiBold;sans-serif"/>
                  <w:b w:val="false"/>
                  <w:strike w:val="false"/>
                  <w:dstrike w:val="false"/>
                  <w:color w:val="FF584A"/>
                  <w:sz w:val="20"/>
                  <w:u w:val="none"/>
                  <w:effect w:val="none"/>
                </w:rPr>
                <w:t>9</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39b121e38a8e480087239f339633667c_1086">
              <w:r>
                <w:rPr>
                  <w:rStyle w:val="InternetLink"/>
                  <w:rFonts w:ascii="Inter Light;sans-serif" w:hAnsi="Inter Light;sans-serif"/>
                  <w:b w:val="false"/>
                  <w:strike w:val="false"/>
                  <w:dstrike w:val="false"/>
                  <w:color w:val="690031"/>
                  <w:sz w:val="18"/>
                  <w:u w:val="none"/>
                  <w:effect w:val="none"/>
                </w:rPr>
                <w:t>Director Skills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086">
              <w:r>
                <w:rPr>
                  <w:rStyle w:val="InternetLink"/>
                  <w:rFonts w:ascii="Inter Light;sans-serif" w:hAnsi="Inter Light;sans-serif"/>
                  <w:b w:val="false"/>
                  <w:strike w:val="false"/>
                  <w:dstrike w:val="false"/>
                  <w:color w:val="690031"/>
                  <w:sz w:val="18"/>
                  <w:u w:val="none"/>
                  <w:effect w:val="none"/>
                </w:rPr>
                <w:t>10</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28">
              <w:r>
                <w:rPr>
                  <w:rStyle w:val="InternetLink"/>
                  <w:rFonts w:ascii="Inter Light;sans-serif" w:hAnsi="Inter Light;sans-serif"/>
                  <w:b w:val="false"/>
                  <w:strike w:val="false"/>
                  <w:dstrike w:val="false"/>
                  <w:color w:val="690031"/>
                  <w:sz w:val="18"/>
                  <w:u w:val="none"/>
                  <w:effect w:val="none"/>
                </w:rPr>
                <w:t>Board Composition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28">
              <w:r>
                <w:rPr>
                  <w:rStyle w:val="InternetLink"/>
                  <w:rFonts w:ascii="Inter Light;sans-serif" w:hAnsi="Inter Light;sans-serif"/>
                  <w:b w:val="false"/>
                  <w:strike w:val="false"/>
                  <w:dstrike w:val="false"/>
                  <w:color w:val="690031"/>
                  <w:sz w:val="18"/>
                  <w:u w:val="none"/>
                  <w:effect w:val="none"/>
                </w:rPr>
                <w:t>10</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31">
              <w:r>
                <w:rPr>
                  <w:rStyle w:val="InternetLink"/>
                  <w:rFonts w:ascii="Inter Light;sans-serif" w:hAnsi="Inter Light;sans-serif"/>
                  <w:b w:val="false"/>
                  <w:strike w:val="false"/>
                  <w:dstrike w:val="false"/>
                  <w:color w:val="690031"/>
                  <w:sz w:val="18"/>
                  <w:u w:val="none"/>
                  <w:effect w:val="none"/>
                </w:rPr>
                <w:t>Nominees for Director</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31">
              <w:r>
                <w:rPr>
                  <w:rStyle w:val="InternetLink"/>
                  <w:rFonts w:ascii="Inter Light;sans-serif" w:hAnsi="Inter Light;sans-serif"/>
                  <w:b w:val="false"/>
                  <w:strike w:val="false"/>
                  <w:dstrike w:val="false"/>
                  <w:color w:val="690031"/>
                  <w:sz w:val="18"/>
                  <w:u w:val="none"/>
                  <w:effect w:val="none"/>
                </w:rPr>
                <w:t>11</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34">
              <w:r>
                <w:rPr>
                  <w:rStyle w:val="InternetLink"/>
                  <w:rFonts w:ascii="Inter Light;sans-serif" w:hAnsi="Inter Light;sans-serif"/>
                  <w:b w:val="false"/>
                  <w:strike w:val="false"/>
                  <w:dstrike w:val="false"/>
                  <w:color w:val="690031"/>
                  <w:sz w:val="18"/>
                  <w:u w:val="none"/>
                  <w:effect w:val="none"/>
                </w:rPr>
                <w:t>Continuing Directors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34">
              <w:r>
                <w:rPr>
                  <w:rStyle w:val="InternetLink"/>
                  <w:rFonts w:ascii="Inter Light;sans-serif" w:hAnsi="Inter Light;sans-serif"/>
                  <w:b w:val="false"/>
                  <w:strike w:val="false"/>
                  <w:dstrike w:val="false"/>
                  <w:color w:val="690031"/>
                  <w:sz w:val="18"/>
                  <w:u w:val="none"/>
                  <w:effect w:val="none"/>
                </w:rPr>
                <w:t>12</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37">
              <w:r>
                <w:rPr>
                  <w:rStyle w:val="InternetLink"/>
                  <w:rFonts w:ascii="Inter Light;sans-serif" w:hAnsi="Inter Light;sans-serif"/>
                  <w:b w:val="false"/>
                  <w:strike w:val="false"/>
                  <w:dstrike w:val="false"/>
                  <w:color w:val="690031"/>
                  <w:sz w:val="18"/>
                  <w:u w:val="none"/>
                  <w:effect w:val="none"/>
                </w:rPr>
                <w:t>Director Independence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37">
              <w:r>
                <w:rPr>
                  <w:rStyle w:val="InternetLink"/>
                  <w:rFonts w:ascii="Inter Light;sans-serif" w:hAnsi="Inter Light;sans-serif"/>
                  <w:b w:val="false"/>
                  <w:strike w:val="false"/>
                  <w:dstrike w:val="false"/>
                  <w:color w:val="690031"/>
                  <w:sz w:val="18"/>
                  <w:u w:val="none"/>
                  <w:effect w:val="none"/>
                </w:rPr>
                <w:t>15</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40">
              <w:r>
                <w:rPr>
                  <w:rStyle w:val="InternetLink"/>
                  <w:rFonts w:ascii="Inter Light;sans-serif" w:hAnsi="Inter Light;sans-serif"/>
                  <w:b w:val="false"/>
                  <w:strike w:val="false"/>
                  <w:dstrike w:val="false"/>
                  <w:color w:val="690031"/>
                  <w:sz w:val="18"/>
                  <w:u w:val="none"/>
                  <w:effect w:val="none"/>
                </w:rPr>
                <w:t>Board Leadership Structure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40">
              <w:r>
                <w:rPr>
                  <w:rStyle w:val="InternetLink"/>
                  <w:rFonts w:ascii="Inter Light;sans-serif" w:hAnsi="Inter Light;sans-serif"/>
                  <w:b w:val="false"/>
                  <w:strike w:val="false"/>
                  <w:dstrike w:val="false"/>
                  <w:color w:val="690031"/>
                  <w:sz w:val="18"/>
                  <w:u w:val="none"/>
                  <w:effect w:val="none"/>
                </w:rPr>
                <w:t>16</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43">
              <w:r>
                <w:rPr>
                  <w:rStyle w:val="InternetLink"/>
                  <w:rFonts w:ascii="Inter Light;sans-serif" w:hAnsi="Inter Light;sans-serif"/>
                  <w:b w:val="false"/>
                  <w:strike w:val="false"/>
                  <w:dstrike w:val="false"/>
                  <w:color w:val="690031"/>
                  <w:sz w:val="18"/>
                  <w:u w:val="none"/>
                  <w:effect w:val="none"/>
                </w:rPr>
                <w:t>Lead Independent Director</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43">
              <w:r>
                <w:rPr>
                  <w:rStyle w:val="InternetLink"/>
                  <w:rFonts w:ascii="Inter Light;sans-serif" w:hAnsi="Inter Light;sans-serif"/>
                  <w:b w:val="false"/>
                  <w:strike w:val="false"/>
                  <w:dstrike w:val="false"/>
                  <w:color w:val="690031"/>
                  <w:sz w:val="18"/>
                  <w:u w:val="none"/>
                  <w:effect w:val="none"/>
                </w:rPr>
                <w:t>16</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46">
              <w:r>
                <w:rPr>
                  <w:rStyle w:val="InternetLink"/>
                  <w:rFonts w:ascii="Inter Light;sans-serif" w:hAnsi="Inter Light;sans-serif"/>
                  <w:b w:val="false"/>
                  <w:strike w:val="false"/>
                  <w:dstrike w:val="false"/>
                  <w:color w:val="690031"/>
                  <w:sz w:val="18"/>
                  <w:u w:val="none"/>
                  <w:effect w:val="none"/>
                </w:rPr>
                <w:t>Board and Stockholder Meetings and Committees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46">
              <w:r>
                <w:rPr>
                  <w:rStyle w:val="InternetLink"/>
                  <w:rFonts w:ascii="Inter Light;sans-serif" w:hAnsi="Inter Light;sans-serif"/>
                  <w:b w:val="false"/>
                  <w:strike w:val="false"/>
                  <w:dstrike w:val="false"/>
                  <w:color w:val="690031"/>
                  <w:sz w:val="18"/>
                  <w:u w:val="none"/>
                  <w:effect w:val="none"/>
                </w:rPr>
                <w:t>16</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49">
              <w:r>
                <w:rPr>
                  <w:rStyle w:val="InternetLink"/>
                  <w:rFonts w:ascii="Inter Light;sans-serif" w:hAnsi="Inter Light;sans-serif"/>
                  <w:b w:val="false"/>
                  <w:strike w:val="false"/>
                  <w:dstrike w:val="false"/>
                  <w:color w:val="690031"/>
                  <w:sz w:val="18"/>
                  <w:u w:val="none"/>
                  <w:effect w:val="none"/>
                </w:rPr>
                <w:t>Compensation Committee Interlocks and Insider Participation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49">
              <w:r>
                <w:rPr>
                  <w:rStyle w:val="InternetLink"/>
                  <w:rFonts w:ascii="Inter Light;sans-serif" w:hAnsi="Inter Light;sans-serif"/>
                  <w:b w:val="false"/>
                  <w:strike w:val="false"/>
                  <w:dstrike w:val="false"/>
                  <w:color w:val="690031"/>
                  <w:sz w:val="18"/>
                  <w:u w:val="none"/>
                  <w:effect w:val="none"/>
                </w:rPr>
                <w:t>19</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52">
              <w:r>
                <w:rPr>
                  <w:rStyle w:val="InternetLink"/>
                  <w:rFonts w:ascii="Inter Light;sans-serif" w:hAnsi="Inter Light;sans-serif"/>
                  <w:b w:val="false"/>
                  <w:strike w:val="false"/>
                  <w:dstrike w:val="false"/>
                  <w:color w:val="690031"/>
                  <w:sz w:val="18"/>
                  <w:u w:val="none"/>
                  <w:effect w:val="none"/>
                </w:rPr>
                <w:t>Considerations in Evaluating Director Nominees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52">
              <w:r>
                <w:rPr>
                  <w:rStyle w:val="InternetLink"/>
                  <w:rFonts w:ascii="Inter Light;sans-serif" w:hAnsi="Inter Light;sans-serif"/>
                  <w:b w:val="false"/>
                  <w:strike w:val="false"/>
                  <w:dstrike w:val="false"/>
                  <w:color w:val="690031"/>
                  <w:sz w:val="18"/>
                  <w:u w:val="none"/>
                  <w:effect w:val="none"/>
                </w:rPr>
                <w:t>19</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55">
              <w:r>
                <w:rPr>
                  <w:rStyle w:val="InternetLink"/>
                  <w:rFonts w:ascii="Inter Light;sans-serif" w:hAnsi="Inter Light;sans-serif"/>
                  <w:b w:val="false"/>
                  <w:strike w:val="false"/>
                  <w:dstrike w:val="false"/>
                  <w:color w:val="690031"/>
                  <w:sz w:val="18"/>
                  <w:u w:val="none"/>
                  <w:effect w:val="none"/>
                </w:rPr>
                <w:t>Stockholder Recommendations for Nominations to the Board of Directors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55">
              <w:r>
                <w:rPr>
                  <w:rStyle w:val="InternetLink"/>
                  <w:rFonts w:ascii="Inter Light;sans-serif" w:hAnsi="Inter Light;sans-serif"/>
                  <w:b w:val="false"/>
                  <w:strike w:val="false"/>
                  <w:dstrike w:val="false"/>
                  <w:color w:val="690031"/>
                  <w:sz w:val="18"/>
                  <w:u w:val="none"/>
                  <w:effect w:val="none"/>
                </w:rPr>
                <w:t>20</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58">
              <w:r>
                <w:rPr>
                  <w:rStyle w:val="InternetLink"/>
                  <w:rFonts w:ascii="Inter Light;sans-serif" w:hAnsi="Inter Light;sans-serif"/>
                  <w:b w:val="false"/>
                  <w:strike w:val="false"/>
                  <w:dstrike w:val="false"/>
                  <w:color w:val="690031"/>
                  <w:sz w:val="18"/>
                  <w:u w:val="none"/>
                  <w:effect w:val="none"/>
                </w:rPr>
                <w:t>Communications with the Board of Directors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58">
              <w:r>
                <w:rPr>
                  <w:rStyle w:val="InternetLink"/>
                  <w:rFonts w:ascii="Inter Light;sans-serif" w:hAnsi="Inter Light;sans-serif"/>
                  <w:b w:val="false"/>
                  <w:strike w:val="false"/>
                  <w:dstrike w:val="false"/>
                  <w:color w:val="690031"/>
                  <w:sz w:val="18"/>
                  <w:u w:val="none"/>
                  <w:effect w:val="none"/>
                </w:rPr>
                <w:t>20</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61">
              <w:r>
                <w:rPr>
                  <w:rStyle w:val="InternetLink"/>
                  <w:rFonts w:ascii="Inter Light;sans-serif" w:hAnsi="Inter Light;sans-serif"/>
                  <w:b w:val="false"/>
                  <w:strike w:val="false"/>
                  <w:dstrike w:val="false"/>
                  <w:color w:val="000080"/>
                  <w:sz w:val="18"/>
                  <w:u w:val="single"/>
                  <w:effect w:val="none"/>
                </w:rPr>
                <w:t>Corporate Governance Guidelines and Code o</w:t>
              </w:r>
            </w:hyperlink>
            <w:hyperlink w:anchor="i39b121e38a8e480087239f339633667c_61">
              <w:r>
                <w:rPr>
                  <w:rStyle w:val="InternetLink"/>
                  <w:rFonts w:ascii="Inter Light;sans-serif" w:hAnsi="Inter Light;sans-serif"/>
                  <w:b w:val="false"/>
                  <w:strike w:val="false"/>
                  <w:dstrike w:val="false"/>
                  <w:color w:val="000080"/>
                  <w:sz w:val="18"/>
                  <w:u w:val="single"/>
                  <w:effect w:val="none"/>
                </w:rPr>
                <w:t>f</w:t>
              </w:r>
            </w:hyperlink>
            <w:hyperlink w:anchor="i39b121e38a8e480087239f339633667c_61">
              <w:r>
                <w:rPr>
                  <w:rStyle w:val="InternetLink"/>
                  <w:rFonts w:ascii="Inter Light;sans-serif" w:hAnsi="Inter Light;sans-serif"/>
                  <w:b w:val="false"/>
                  <w:strike w:val="false"/>
                  <w:dstrike w:val="false"/>
                  <w:color w:val="000080"/>
                  <w:sz w:val="18"/>
                  <w:u w:val="single"/>
                  <w:effect w:val="none"/>
                </w:rPr>
                <w:t xml:space="preserve"> Conduct and Ethics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61">
              <w:r>
                <w:rPr>
                  <w:rStyle w:val="InternetLink"/>
                  <w:rFonts w:ascii="Inter Light;sans-serif" w:hAnsi="Inter Light;sans-serif"/>
                  <w:b w:val="false"/>
                  <w:strike w:val="false"/>
                  <w:dstrike w:val="false"/>
                  <w:color w:val="690031"/>
                  <w:sz w:val="18"/>
                  <w:u w:val="none"/>
                  <w:effect w:val="none"/>
                </w:rPr>
                <w:t>20</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64">
              <w:r>
                <w:rPr>
                  <w:rStyle w:val="InternetLink"/>
                  <w:rFonts w:ascii="Inter Light;sans-serif" w:hAnsi="Inter Light;sans-serif"/>
                  <w:b w:val="false"/>
                  <w:strike w:val="false"/>
                  <w:dstrike w:val="false"/>
                  <w:color w:val="690031"/>
                  <w:sz w:val="18"/>
                  <w:u w:val="none"/>
                  <w:effect w:val="none"/>
                </w:rPr>
                <w:t>Risk Management and Oversight of Risk Management</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64">
              <w:r>
                <w:rPr>
                  <w:rStyle w:val="InternetLink"/>
                  <w:rFonts w:ascii="Inter Light;sans-serif" w:hAnsi="Inter Light;sans-serif"/>
                  <w:b w:val="false"/>
                  <w:strike w:val="false"/>
                  <w:dstrike w:val="false"/>
                  <w:color w:val="690031"/>
                  <w:sz w:val="18"/>
                  <w:u w:val="none"/>
                  <w:effect w:val="none"/>
                </w:rPr>
                <w:t>21</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r>
              <w:rPr>
                <w:rFonts w:ascii="Inter Light;sans-serif" w:hAnsi="Inter Light;sans-serif"/>
                <w:b w:val="false"/>
                <w:color w:val="690031"/>
                <w:sz w:val="18"/>
              </w:rPr>
              <w:t xml:space="preserve">Insider Trading Policy and </w:t>
            </w:r>
            <w:hyperlink w:anchor="i39b121e38a8e480087239f339633667c_67">
              <w:r>
                <w:rPr>
                  <w:rStyle w:val="InternetLink"/>
                  <w:rFonts w:ascii="Inter Light;sans-serif" w:hAnsi="Inter Light;sans-serif"/>
                  <w:b w:val="false"/>
                  <w:strike w:val="false"/>
                  <w:dstrike w:val="false"/>
                  <w:color w:val="690031"/>
                  <w:sz w:val="18"/>
                  <w:u w:val="none"/>
                  <w:effect w:val="none"/>
                </w:rPr>
                <w:t>Prohibition on Hedging, Short Sales, and Pledging</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67">
              <w:r>
                <w:rPr>
                  <w:rStyle w:val="InternetLink"/>
                  <w:rFonts w:ascii="Inter Light;sans-serif" w:hAnsi="Inter Light;sans-serif"/>
                  <w:b w:val="false"/>
                  <w:strike w:val="false"/>
                  <w:dstrike w:val="false"/>
                  <w:color w:val="690031"/>
                  <w:sz w:val="18"/>
                  <w:u w:val="none"/>
                  <w:effect w:val="none"/>
                </w:rPr>
                <w:t>21</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70">
              <w:r>
                <w:rPr>
                  <w:rStyle w:val="InternetLink"/>
                  <w:rFonts w:ascii="Inter Light;sans-serif" w:hAnsi="Inter Light;sans-serif"/>
                  <w:b w:val="false"/>
                  <w:strike w:val="false"/>
                  <w:dstrike w:val="false"/>
                  <w:color w:val="690031"/>
                  <w:sz w:val="18"/>
                  <w:u w:val="none"/>
                  <w:effect w:val="none"/>
                </w:rPr>
                <w:t>Non-Employee Director Compensation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70">
              <w:r>
                <w:rPr>
                  <w:rStyle w:val="InternetLink"/>
                  <w:rFonts w:ascii="Inter Light;sans-serif" w:hAnsi="Inter Light;sans-serif"/>
                  <w:b w:val="false"/>
                  <w:strike w:val="false"/>
                  <w:dstrike w:val="false"/>
                  <w:color w:val="690031"/>
                  <w:sz w:val="18"/>
                  <w:u w:val="none"/>
                  <w:effect w:val="none"/>
                </w:rPr>
                <w:t>22</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04">
              <w:r>
                <w:rPr>
                  <w:rStyle w:val="InternetLink"/>
                  <w:rFonts w:ascii="Inter Light;sans-serif" w:hAnsi="Inter Light;sans-serif"/>
                  <w:b w:val="false"/>
                  <w:strike w:val="false"/>
                  <w:dstrike w:val="false"/>
                  <w:color w:val="690031"/>
                  <w:sz w:val="18"/>
                  <w:u w:val="none"/>
                  <w:effect w:val="none"/>
                </w:rPr>
                <w:t>Directors' Deferred Compensation Plan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04">
              <w:r>
                <w:rPr>
                  <w:rStyle w:val="InternetLink"/>
                  <w:rFonts w:ascii="Inter Light;sans-serif" w:hAnsi="Inter Light;sans-serif"/>
                  <w:b w:val="false"/>
                  <w:strike w:val="false"/>
                  <w:dstrike w:val="false"/>
                  <w:color w:val="690031"/>
                  <w:sz w:val="18"/>
                  <w:u w:val="none"/>
                  <w:effect w:val="none"/>
                </w:rPr>
                <w:t>23</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12">
              <w:r>
                <w:rPr>
                  <w:rStyle w:val="InternetLink"/>
                  <w:rFonts w:ascii="Inter Light;sans-serif" w:hAnsi="Inter Light;sans-serif"/>
                  <w:b w:val="false"/>
                  <w:strike w:val="false"/>
                  <w:dstrike w:val="false"/>
                  <w:color w:val="690031"/>
                  <w:sz w:val="18"/>
                  <w:u w:val="none"/>
                  <w:effect w:val="none"/>
                </w:rPr>
                <w:t>Non-Employee Director Compensation for Fiscal Year 2025</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12">
              <w:r>
                <w:rPr>
                  <w:rStyle w:val="InternetLink"/>
                  <w:rFonts w:ascii="Inter Light;sans-serif" w:hAnsi="Inter Light;sans-serif"/>
                  <w:b w:val="false"/>
                  <w:strike w:val="false"/>
                  <w:dstrike w:val="false"/>
                  <w:color w:val="690031"/>
                  <w:sz w:val="18"/>
                  <w:u w:val="none"/>
                  <w:effect w:val="none"/>
                </w:rPr>
                <w:t>23</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20">
              <w:r>
                <w:rPr>
                  <w:rStyle w:val="InternetLink"/>
                  <w:rFonts w:ascii="Inter Light;sans-serif" w:hAnsi="Inter Light;sans-serif"/>
                  <w:b w:val="false"/>
                  <w:strike w:val="false"/>
                  <w:dstrike w:val="false"/>
                  <w:color w:val="690031"/>
                  <w:sz w:val="18"/>
                  <w:u w:val="none"/>
                  <w:effect w:val="none"/>
                </w:rPr>
                <w:t>Equity Granted in Lieu of Cash Retainers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20">
              <w:r>
                <w:rPr>
                  <w:rStyle w:val="InternetLink"/>
                  <w:rFonts w:ascii="Inter Light;sans-serif" w:hAnsi="Inter Light;sans-serif"/>
                  <w:b w:val="false"/>
                  <w:strike w:val="false"/>
                  <w:dstrike w:val="false"/>
                  <w:color w:val="690031"/>
                  <w:sz w:val="18"/>
                  <w:u w:val="none"/>
                  <w:effect w:val="none"/>
                </w:rPr>
                <w:t>25</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Corporate Responsibility and Sustainability</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73">
              <w:r>
                <w:rPr>
                  <w:rStyle w:val="InternetLink"/>
                  <w:rFonts w:ascii="Inter SemiBold;sans-serif" w:hAnsi="Inter SemiBold;sans-serif"/>
                  <w:b w:val="false"/>
                  <w:strike w:val="false"/>
                  <w:dstrike w:val="false"/>
                  <w:color w:val="FF584A"/>
                  <w:sz w:val="20"/>
                  <w:u w:val="none"/>
                  <w:effect w:val="none"/>
                </w:rPr>
                <w:t>26</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2"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bottom w:val="single" w:sz="2" w:space="0" w:color="690031"/>
            </w:tcBorders>
            <w:shd w:fill="FFFFFF" w:val="clear"/>
            <w:tcMar>
              <w:top w:w="0" w:type="dxa"/>
              <w:left w:w="0" w:type="dxa"/>
              <w:bottom w:w="30" w:type="dxa"/>
              <w:right w:w="0" w:type="dxa"/>
            </w:tcMar>
            <w:vAlign w:val="center"/>
          </w:tcPr>
          <w:p>
            <w:pPr>
              <w:pStyle w:val="TableContents"/>
              <w:bidi w:val="0"/>
              <w:spacing w:lineRule="atLeast" w:line="220" w:before="60" w:after="60"/>
              <w:jc w:val="left"/>
              <w:rPr/>
            </w:pPr>
            <w:hyperlink w:anchor="i39b121e38a8e480087239f339633667c_1128">
              <w:r>
                <w:rPr>
                  <w:rStyle w:val="InternetLink"/>
                  <w:rFonts w:ascii="Inter Light;sans-serif" w:hAnsi="Inter Light;sans-serif"/>
                  <w:b w:val="false"/>
                  <w:strike w:val="false"/>
                  <w:dstrike w:val="false"/>
                  <w:color w:val="690031"/>
                  <w:sz w:val="18"/>
                  <w:u w:val="none"/>
                  <w:effect w:val="none"/>
                </w:rPr>
                <w:t>Culture and Belonging</w:t>
              </w:r>
            </w:hyperlink>
          </w:p>
        </w:tc>
        <w:tc>
          <w:tcPr>
            <w:tcW w:w="346" w:type="dxa"/>
            <w:gridSpan w:val="3"/>
            <w:tcBorders>
              <w:bottom w:val="single" w:sz="2" w:space="0" w:color="690031"/>
            </w:tcBorders>
            <w:shd w:fill="FFFFFF" w:val="clear"/>
            <w:tcMar>
              <w:top w:w="0" w:type="dxa"/>
              <w:left w:w="0" w:type="dxa"/>
              <w:bottom w:w="30" w:type="dxa"/>
              <w:right w:w="0" w:type="dxa"/>
            </w:tcMar>
            <w:vAlign w:val="center"/>
          </w:tcPr>
          <w:p>
            <w:pPr>
              <w:pStyle w:val="TableContents"/>
              <w:bidi w:val="0"/>
              <w:spacing w:lineRule="atLeast" w:line="220" w:before="60" w:after="60"/>
              <w:jc w:val="right"/>
              <w:rPr/>
            </w:pPr>
            <w:hyperlink w:anchor="i39b121e38a8e480087239f339633667c_1128">
              <w:r>
                <w:rPr>
                  <w:rStyle w:val="InternetLink"/>
                  <w:rFonts w:ascii="Inter Light;sans-serif" w:hAnsi="Inter Light;sans-serif"/>
                  <w:b w:val="false"/>
                  <w:strike w:val="false"/>
                  <w:dstrike w:val="false"/>
                  <w:color w:val="690031"/>
                  <w:sz w:val="18"/>
                  <w:u w:val="none"/>
                  <w:effect w:val="none"/>
                </w:rPr>
                <w:t>27</w:t>
              </w:r>
            </w:hyperlink>
          </w:p>
        </w:tc>
        <w:tc>
          <w:tcPr>
            <w:tcW w:w="372" w:type="dxa"/>
            <w:gridSpan w:val="3"/>
            <w:tcBorders>
              <w:bottom w:val="single" w:sz="2"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69"/>
        <w:gridCol w:w="2995"/>
        <w:gridCol w:w="2980"/>
        <w:gridCol w:w="115"/>
        <w:gridCol w:w="115"/>
        <w:gridCol w:w="11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38">
              <w:r>
                <w:rPr>
                  <w:rStyle w:val="InternetLink"/>
                  <w:rFonts w:ascii="Inter Light;sans-serif" w:hAnsi="Inter Light;sans-serif"/>
                  <w:b w:val="false"/>
                  <w:strike w:val="false"/>
                  <w:dstrike w:val="false"/>
                  <w:color w:val="690031"/>
                  <w:sz w:val="18"/>
                  <w:u w:val="none"/>
                  <w:effect w:val="none"/>
                </w:rPr>
                <w:t>Impact of Culture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38">
              <w:r>
                <w:rPr>
                  <w:rStyle w:val="InternetLink"/>
                  <w:rFonts w:ascii="Inter Light;sans-serif" w:hAnsi="Inter Light;sans-serif"/>
                  <w:b w:val="false"/>
                  <w:strike w:val="false"/>
                  <w:dstrike w:val="false"/>
                  <w:color w:val="690031"/>
                  <w:sz w:val="18"/>
                  <w:u w:val="none"/>
                  <w:effect w:val="none"/>
                </w:rPr>
                <w:t>27</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48">
              <w:r>
                <w:rPr>
                  <w:rStyle w:val="InternetLink"/>
                  <w:rFonts w:ascii="Inter Light;sans-serif" w:hAnsi="Inter Light;sans-serif"/>
                  <w:b w:val="false"/>
                  <w:strike w:val="false"/>
                  <w:dstrike w:val="false"/>
                  <w:color w:val="690031"/>
                  <w:sz w:val="18"/>
                  <w:u w:val="none"/>
                  <w:effect w:val="none"/>
                </w:rPr>
                <w:t>Building a Sustainable Business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48">
              <w:r>
                <w:rPr>
                  <w:rStyle w:val="InternetLink"/>
                  <w:rFonts w:ascii="Inter Light;sans-serif" w:hAnsi="Inter Light;sans-serif"/>
                  <w:b w:val="false"/>
                  <w:strike w:val="false"/>
                  <w:dstrike w:val="false"/>
                  <w:color w:val="690031"/>
                  <w:sz w:val="18"/>
                  <w:u w:val="none"/>
                  <w:effect w:val="none"/>
                </w:rPr>
                <w:t>29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58">
              <w:r>
                <w:rPr>
                  <w:rStyle w:val="InternetLink"/>
                  <w:rFonts w:ascii="Inter Light;sans-serif" w:hAnsi="Inter Light;sans-serif"/>
                  <w:b w:val="false"/>
                  <w:strike w:val="false"/>
                  <w:dstrike w:val="false"/>
                  <w:color w:val="690031"/>
                  <w:sz w:val="18"/>
                  <w:u w:val="none"/>
                  <w:effect w:val="none"/>
                </w:rPr>
                <w:t>Long-Term Stock Exchange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58">
              <w:r>
                <w:rPr>
                  <w:rStyle w:val="InternetLink"/>
                  <w:rFonts w:ascii="Inter Light;sans-serif" w:hAnsi="Inter Light;sans-serif"/>
                  <w:b w:val="false"/>
                  <w:strike w:val="false"/>
                  <w:dstrike w:val="false"/>
                  <w:color w:val="690031"/>
                  <w:sz w:val="18"/>
                  <w:u w:val="none"/>
                  <w:effect w:val="none"/>
                </w:rPr>
                <w:t>29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68">
              <w:r>
                <w:rPr>
                  <w:rStyle w:val="InternetLink"/>
                  <w:rFonts w:ascii="Inter Light;sans-serif" w:hAnsi="Inter Light;sans-serif"/>
                  <w:b w:val="false"/>
                  <w:strike w:val="false"/>
                  <w:dstrike w:val="false"/>
                  <w:color w:val="690031"/>
                  <w:sz w:val="18"/>
                  <w:u w:val="none"/>
                  <w:effect w:val="none"/>
                </w:rPr>
                <w:t>Code of Conduct and Ethics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68">
              <w:r>
                <w:rPr>
                  <w:rStyle w:val="InternetLink"/>
                  <w:rFonts w:ascii="Inter Light;sans-serif" w:hAnsi="Inter Light;sans-serif"/>
                  <w:b w:val="false"/>
                  <w:strike w:val="false"/>
                  <w:dstrike w:val="false"/>
                  <w:color w:val="690031"/>
                  <w:sz w:val="18"/>
                  <w:u w:val="none"/>
                  <w:effect w:val="none"/>
                </w:rPr>
                <w:t>29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Proposal No. 1: Election of Directors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79">
              <w:r>
                <w:rPr>
                  <w:rStyle w:val="InternetLink"/>
                  <w:rFonts w:ascii="Inter SemiBold;sans-serif" w:hAnsi="Inter SemiBold;sans-serif"/>
                  <w:b w:val="false"/>
                  <w:strike w:val="false"/>
                  <w:dstrike w:val="false"/>
                  <w:color w:val="FF584A"/>
                  <w:sz w:val="20"/>
                  <w:u w:val="none"/>
                  <w:effect w:val="none"/>
                </w:rPr>
                <w:t>30</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39b121e38a8e480087239f339633667c_82">
              <w:r>
                <w:rPr>
                  <w:rStyle w:val="InternetLink"/>
                  <w:rFonts w:ascii="Inter Light;sans-serif" w:hAnsi="Inter Light;sans-serif"/>
                  <w:b w:val="false"/>
                  <w:strike w:val="false"/>
                  <w:dstrike w:val="false"/>
                  <w:color w:val="690031"/>
                  <w:sz w:val="18"/>
                  <w:u w:val="none"/>
                  <w:effect w:val="none"/>
                </w:rPr>
                <w:t>Nominees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39b121e38a8e480087239f339633667c_82">
              <w:r>
                <w:rPr>
                  <w:rStyle w:val="InternetLink"/>
                  <w:rFonts w:ascii="Inter Light;sans-serif" w:hAnsi="Inter Light;sans-serif"/>
                  <w:b w:val="false"/>
                  <w:strike w:val="false"/>
                  <w:dstrike w:val="false"/>
                  <w:color w:val="690031"/>
                  <w:sz w:val="18"/>
                  <w:u w:val="none"/>
                  <w:effect w:val="none"/>
                </w:rPr>
                <w:t>30</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85">
              <w:r>
                <w:rPr>
                  <w:rStyle w:val="InternetLink"/>
                  <w:rFonts w:ascii="Inter Light;sans-serif" w:hAnsi="Inter Light;sans-serif"/>
                  <w:b w:val="false"/>
                  <w:strike w:val="false"/>
                  <w:dstrike w:val="false"/>
                  <w:color w:val="690031"/>
                  <w:sz w:val="18"/>
                  <w:u w:val="none"/>
                  <w:effect w:val="none"/>
                </w:rPr>
                <w:t>Vote Required</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85">
              <w:r>
                <w:rPr>
                  <w:rStyle w:val="InternetLink"/>
                  <w:rFonts w:ascii="Inter Light;sans-serif" w:hAnsi="Inter Light;sans-serif"/>
                  <w:b w:val="false"/>
                  <w:strike w:val="false"/>
                  <w:dstrike w:val="false"/>
                  <w:color w:val="690031"/>
                  <w:sz w:val="18"/>
                  <w:u w:val="none"/>
                  <w:effect w:val="none"/>
                </w:rPr>
                <w:t>30</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pPr>
            <w:r>
              <w:rPr>
                <w:rFonts w:ascii="Inter SemiBold;sans-serif" w:hAnsi="Inter SemiBold;sans-serif"/>
                <w:b w:val="false"/>
                <w:color w:val="FF584A"/>
                <w:sz w:val="20"/>
              </w:rPr>
              <w:t>Proposal</w:t>
            </w:r>
            <w:hyperlink w:anchor="i39b121e38a8e480087239f339633667c_88">
              <w:r>
                <w:rPr>
                  <w:rStyle w:val="InternetLink"/>
                  <w:rFonts w:ascii="Inter SemiBold;sans-serif" w:hAnsi="Inter SemiBold;sans-serif"/>
                  <w:b w:val="false"/>
                  <w:strike w:val="false"/>
                  <w:dstrike w:val="false"/>
                  <w:color w:val="000080"/>
                  <w:sz w:val="20"/>
                  <w:u w:val="single"/>
                  <w:effect w:val="none"/>
                </w:rPr>
                <w:t xml:space="preserve"> N</w:t>
              </w:r>
            </w:hyperlink>
            <w:hyperlink w:anchor="i39b121e38a8e480087239f339633667c_88">
              <w:r>
                <w:rPr>
                  <w:rStyle w:val="InternetLink"/>
                  <w:rFonts w:ascii="Inter SemiBold;sans-serif" w:hAnsi="Inter SemiBold;sans-serif"/>
                  <w:b w:val="false"/>
                  <w:strike w:val="false"/>
                  <w:dstrike w:val="false"/>
                  <w:color w:val="000080"/>
                  <w:sz w:val="20"/>
                  <w:u w:val="single"/>
                  <w:effect w:val="none"/>
                </w:rPr>
                <w:t>o</w:t>
              </w:r>
            </w:hyperlink>
            <w:hyperlink w:anchor="i39b121e38a8e480087239f339633667c_88">
              <w:r>
                <w:rPr>
                  <w:rStyle w:val="InternetLink"/>
                  <w:rFonts w:ascii="Inter SemiBold;sans-serif" w:hAnsi="Inter SemiBold;sans-serif"/>
                  <w:b w:val="false"/>
                  <w:strike w:val="false"/>
                  <w:dstrike w:val="false"/>
                  <w:color w:val="000080"/>
                  <w:sz w:val="20"/>
                  <w:u w:val="single"/>
                  <w:effect w:val="none"/>
                </w:rPr>
                <w:t>. 2: R</w:t>
              </w:r>
            </w:hyperlink>
            <w:hyperlink w:anchor="i39b121e38a8e480087239f339633667c_88">
              <w:r>
                <w:rPr>
                  <w:rStyle w:val="InternetLink"/>
                  <w:rFonts w:ascii="Inter SemiBold;sans-serif" w:hAnsi="Inter SemiBold;sans-serif"/>
                  <w:b w:val="false"/>
                  <w:strike w:val="false"/>
                  <w:dstrike w:val="false"/>
                  <w:color w:val="000080"/>
                  <w:sz w:val="20"/>
                  <w:u w:val="single"/>
                  <w:effect w:val="none"/>
                </w:rPr>
                <w:t>atification of App</w:t>
              </w:r>
            </w:hyperlink>
            <w:hyperlink w:anchor="i39b121e38a8e480087239f339633667c_88">
              <w:r>
                <w:rPr>
                  <w:rStyle w:val="InternetLink"/>
                  <w:rFonts w:ascii="Inter SemiBold;sans-serif" w:hAnsi="Inter SemiBold;sans-serif"/>
                  <w:b w:val="false"/>
                  <w:strike w:val="false"/>
                  <w:dstrike w:val="false"/>
                  <w:color w:val="000080"/>
                  <w:sz w:val="20"/>
                  <w:u w:val="single"/>
                  <w:effect w:val="none"/>
                </w:rPr>
                <w:t>ointment of Independent Registered Public Accounting Firm</w:t>
              </w:r>
            </w:hyperlink>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88">
              <w:r>
                <w:rPr>
                  <w:rStyle w:val="InternetLink"/>
                  <w:rFonts w:ascii="Inter SemiBold;sans-serif" w:hAnsi="Inter SemiBold;sans-serif"/>
                  <w:b w:val="false"/>
                  <w:strike w:val="false"/>
                  <w:dstrike w:val="false"/>
                  <w:color w:val="FF584A"/>
                  <w:sz w:val="20"/>
                  <w:u w:val="none"/>
                  <w:effect w:val="none"/>
                </w:rPr>
                <w:t>31</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39b121e38a8e480087239f339633667c_91">
              <w:r>
                <w:rPr>
                  <w:rStyle w:val="InternetLink"/>
                  <w:rFonts w:ascii="Inter Light;sans-serif" w:hAnsi="Inter Light;sans-serif"/>
                  <w:b w:val="false"/>
                  <w:strike w:val="false"/>
                  <w:dstrike w:val="false"/>
                  <w:color w:val="690031"/>
                  <w:sz w:val="18"/>
                  <w:u w:val="none"/>
                  <w:effect w:val="none"/>
                </w:rPr>
                <w:t>Audit and Related Fees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39b121e38a8e480087239f339633667c_91">
              <w:r>
                <w:rPr>
                  <w:rStyle w:val="InternetLink"/>
                  <w:rFonts w:ascii="Inter Light;sans-serif" w:hAnsi="Inter Light;sans-serif"/>
                  <w:b w:val="false"/>
                  <w:strike w:val="false"/>
                  <w:dstrike w:val="false"/>
                  <w:color w:val="690031"/>
                  <w:sz w:val="18"/>
                  <w:u w:val="none"/>
                  <w:effect w:val="none"/>
                </w:rPr>
                <w:t>31</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94">
              <w:r>
                <w:rPr>
                  <w:rStyle w:val="InternetLink"/>
                  <w:rFonts w:ascii="Inter Light;sans-serif" w:hAnsi="Inter Light;sans-serif"/>
                  <w:b w:val="false"/>
                  <w:strike w:val="false"/>
                  <w:dstrike w:val="false"/>
                  <w:color w:val="690031"/>
                  <w:sz w:val="18"/>
                  <w:u w:val="none"/>
                  <w:effect w:val="none"/>
                </w:rPr>
                <w:t>Auditor Independence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94">
              <w:r>
                <w:rPr>
                  <w:rStyle w:val="InternetLink"/>
                  <w:rFonts w:ascii="Inter Light;sans-serif" w:hAnsi="Inter Light;sans-serif"/>
                  <w:b w:val="false"/>
                  <w:strike w:val="false"/>
                  <w:dstrike w:val="false"/>
                  <w:color w:val="690031"/>
                  <w:sz w:val="18"/>
                  <w:u w:val="none"/>
                  <w:effect w:val="none"/>
                </w:rPr>
                <w:t>32</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97">
              <w:r>
                <w:rPr>
                  <w:rStyle w:val="InternetLink"/>
                  <w:rFonts w:ascii="Inter Light;sans-serif" w:hAnsi="Inter Light;sans-serif"/>
                  <w:b w:val="false"/>
                  <w:strike w:val="false"/>
                  <w:dstrike w:val="false"/>
                  <w:color w:val="690031"/>
                  <w:sz w:val="18"/>
                  <w:u w:val="none"/>
                  <w:effect w:val="none"/>
                </w:rPr>
                <w:t>Audit Committee Policy on Pre-Approval of Audit and Permissible Non-Audit Services of Independent Registered Public Accounting Firm</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97">
              <w:r>
                <w:rPr>
                  <w:rStyle w:val="InternetLink"/>
                  <w:rFonts w:ascii="Inter Light;sans-serif" w:hAnsi="Inter Light;sans-serif"/>
                  <w:b w:val="false"/>
                  <w:strike w:val="false"/>
                  <w:dstrike w:val="false"/>
                  <w:color w:val="690031"/>
                  <w:sz w:val="18"/>
                  <w:u w:val="none"/>
                  <w:effect w:val="none"/>
                </w:rPr>
                <w:t>32</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00">
              <w:r>
                <w:rPr>
                  <w:rStyle w:val="InternetLink"/>
                  <w:rFonts w:ascii="Inter Light;sans-serif" w:hAnsi="Inter Light;sans-serif"/>
                  <w:b w:val="false"/>
                  <w:strike w:val="false"/>
                  <w:dstrike w:val="false"/>
                  <w:color w:val="690031"/>
                  <w:sz w:val="18"/>
                  <w:u w:val="none"/>
                  <w:effect w:val="none"/>
                </w:rPr>
                <w:t>Vote Required</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00">
              <w:r>
                <w:rPr>
                  <w:rStyle w:val="InternetLink"/>
                  <w:rFonts w:ascii="Inter Light;sans-serif" w:hAnsi="Inter Light;sans-serif"/>
                  <w:b w:val="false"/>
                  <w:strike w:val="false"/>
                  <w:dstrike w:val="false"/>
                  <w:color w:val="690031"/>
                  <w:sz w:val="18"/>
                  <w:u w:val="none"/>
                  <w:effect w:val="none"/>
                </w:rPr>
                <w:t>32</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Report of the Audit Committee</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03">
              <w:r>
                <w:rPr>
                  <w:rStyle w:val="InternetLink"/>
                  <w:rFonts w:ascii="Inter SemiBold;sans-serif" w:hAnsi="Inter SemiBold;sans-serif"/>
                  <w:b w:val="false"/>
                  <w:strike w:val="false"/>
                  <w:dstrike w:val="false"/>
                  <w:color w:val="FF584A"/>
                  <w:sz w:val="20"/>
                  <w:u w:val="none"/>
                  <w:effect w:val="none"/>
                </w:rPr>
                <w:t>33</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left"/>
              <w:rPr/>
            </w:pPr>
            <w:hyperlink w:anchor="i39b121e38a8e480087239f339633667c_106">
              <w:r>
                <w:rPr>
                  <w:rStyle w:val="InternetLink"/>
                  <w:rFonts w:ascii="Inter SemiBold;sans-serif" w:hAnsi="Inter SemiBold;sans-serif"/>
                  <w:b w:val="false"/>
                  <w:strike w:val="false"/>
                  <w:dstrike w:val="false"/>
                  <w:color w:val="000080"/>
                  <w:sz w:val="20"/>
                  <w:u w:val="single"/>
                  <w:effect w:val="none"/>
                </w:rPr>
                <w:t>P</w:t>
              </w:r>
            </w:hyperlink>
            <w:hyperlink w:anchor="i39b121e38a8e480087239f339633667c_106">
              <w:r>
                <w:rPr>
                  <w:rStyle w:val="InternetLink"/>
                  <w:rFonts w:ascii="Inter SemiBold;sans-serif" w:hAnsi="Inter SemiBold;sans-serif"/>
                  <w:b w:val="false"/>
                  <w:strike w:val="false"/>
                  <w:dstrike w:val="false"/>
                  <w:color w:val="000080"/>
                  <w:sz w:val="20"/>
                  <w:u w:val="single"/>
                  <w:effect w:val="none"/>
                </w:rPr>
                <w:t>roposal</w:t>
              </w:r>
            </w:hyperlink>
            <w:hyperlink w:anchor="i39b121e38a8e480087239f339633667c_106">
              <w:r>
                <w:rPr>
                  <w:rStyle w:val="InternetLink"/>
                  <w:rFonts w:ascii="Inter SemiBold;sans-serif" w:hAnsi="Inter SemiBold;sans-serif"/>
                  <w:b w:val="false"/>
                  <w:strike w:val="false"/>
                  <w:dstrike w:val="false"/>
                  <w:color w:val="000080"/>
                  <w:sz w:val="20"/>
                  <w:u w:val="single"/>
                  <w:effect w:val="none"/>
                </w:rPr>
                <w:t xml:space="preserve"> N</w:t>
              </w:r>
            </w:hyperlink>
            <w:hyperlink w:anchor="i39b121e38a8e480087239f339633667c_106">
              <w:r>
                <w:rPr>
                  <w:rStyle w:val="InternetLink"/>
                  <w:rFonts w:ascii="Inter SemiBold;sans-serif" w:hAnsi="Inter SemiBold;sans-serif"/>
                  <w:b w:val="false"/>
                  <w:strike w:val="false"/>
                  <w:dstrike w:val="false"/>
                  <w:color w:val="000080"/>
                  <w:sz w:val="20"/>
                  <w:u w:val="single"/>
                  <w:effect w:val="none"/>
                </w:rPr>
                <w:t>o</w:t>
              </w:r>
            </w:hyperlink>
            <w:hyperlink w:anchor="i39b121e38a8e480087239f339633667c_106">
              <w:r>
                <w:rPr>
                  <w:rStyle w:val="InternetLink"/>
                  <w:rFonts w:ascii="Inter SemiBold;sans-serif" w:hAnsi="Inter SemiBold;sans-serif"/>
                  <w:b w:val="false"/>
                  <w:strike w:val="false"/>
                  <w:dstrike w:val="false"/>
                  <w:color w:val="000080"/>
                  <w:sz w:val="20"/>
                  <w:u w:val="single"/>
                  <w:effect w:val="none"/>
                </w:rPr>
                <w:t>. 3</w:t>
              </w:r>
            </w:hyperlink>
            <w:hyperlink w:anchor="i39b121e38a8e480087239f339633667c_106">
              <w:r>
                <w:rPr>
                  <w:rStyle w:val="InternetLink"/>
                  <w:rFonts w:ascii="Inter SemiBold;sans-serif" w:hAnsi="Inter SemiBold;sans-serif"/>
                  <w:b w:val="false"/>
                  <w:strike w:val="false"/>
                  <w:dstrike w:val="false"/>
                  <w:color w:val="000080"/>
                  <w:sz w:val="20"/>
                  <w:u w:val="single"/>
                  <w:effect w:val="none"/>
                </w:rPr>
                <w:t>:</w:t>
              </w:r>
            </w:hyperlink>
            <w:hyperlink w:anchor="i39b121e38a8e480087239f339633667c_106">
              <w:r>
                <w:rPr>
                  <w:rStyle w:val="InternetLink"/>
                  <w:rFonts w:ascii="Inter SemiBold;sans-serif" w:hAnsi="Inter SemiBold;sans-serif"/>
                  <w:b w:val="false"/>
                  <w:strike w:val="false"/>
                  <w:dstrike w:val="false"/>
                  <w:color w:val="000080"/>
                  <w:sz w:val="20"/>
                  <w:u w:val="single"/>
                  <w:effect w:val="none"/>
                </w:rPr>
                <w:t xml:space="preserve"> A</w:t>
              </w:r>
            </w:hyperlink>
            <w:hyperlink w:anchor="i39b121e38a8e480087239f339633667c_106">
              <w:r>
                <w:rPr>
                  <w:rStyle w:val="InternetLink"/>
                  <w:rFonts w:ascii="Inter SemiBold;sans-serif" w:hAnsi="Inter SemiBold;sans-serif"/>
                  <w:b w:val="false"/>
                  <w:strike w:val="false"/>
                  <w:dstrike w:val="false"/>
                  <w:color w:val="000080"/>
                  <w:sz w:val="20"/>
                  <w:u w:val="single"/>
                  <w:effect w:val="none"/>
                </w:rPr>
                <w:t xml:space="preserve">dvisory Vote </w:t>
              </w:r>
            </w:hyperlink>
            <w:hyperlink w:anchor="i39b121e38a8e480087239f339633667c_106">
              <w:r>
                <w:rPr>
                  <w:rStyle w:val="InternetLink"/>
                  <w:rFonts w:ascii="Inter SemiBold;sans-serif" w:hAnsi="Inter SemiBold;sans-serif"/>
                  <w:b w:val="false"/>
                  <w:strike w:val="false"/>
                  <w:dstrike w:val="false"/>
                  <w:color w:val="000080"/>
                  <w:sz w:val="20"/>
                  <w:u w:val="single"/>
                  <w:effect w:val="none"/>
                </w:rPr>
                <w:t>to Approve the</w:t>
              </w:r>
            </w:hyperlink>
            <w:hyperlink w:anchor="i39b121e38a8e480087239f339633667c_106">
              <w:r>
                <w:rPr>
                  <w:rStyle w:val="InternetLink"/>
                  <w:rFonts w:ascii="Inter SemiBold;sans-serif" w:hAnsi="Inter SemiBold;sans-serif"/>
                  <w:b w:val="false"/>
                  <w:strike w:val="false"/>
                  <w:dstrike w:val="false"/>
                  <w:color w:val="000080"/>
                  <w:sz w:val="20"/>
                  <w:u w:val="single"/>
                  <w:effect w:val="none"/>
                </w:rPr>
                <w:t xml:space="preserve"> Compensation of Named Executive Officers</w:t>
              </w:r>
            </w:hyperlink>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06">
              <w:r>
                <w:rPr>
                  <w:rStyle w:val="InternetLink"/>
                  <w:rFonts w:ascii="Inter SemiBold;sans-serif" w:hAnsi="Inter SemiBold;sans-serif"/>
                  <w:b w:val="false"/>
                  <w:strike w:val="false"/>
                  <w:dstrike w:val="false"/>
                  <w:color w:val="FF584A"/>
                  <w:sz w:val="20"/>
                  <w:u w:val="none"/>
                  <w:effect w:val="none"/>
                </w:rPr>
                <w:t>34</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39b121e38a8e480087239f339633667c_109">
              <w:r>
                <w:rPr>
                  <w:rStyle w:val="InternetLink"/>
                  <w:rFonts w:ascii="Inter Light;sans-serif" w:hAnsi="Inter Light;sans-serif"/>
                  <w:b w:val="false"/>
                  <w:strike w:val="false"/>
                  <w:dstrike w:val="false"/>
                  <w:color w:val="690031"/>
                  <w:sz w:val="18"/>
                  <w:u w:val="none"/>
                  <w:effect w:val="none"/>
                </w:rPr>
                <w:t>Vote Required</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09">
              <w:r>
                <w:rPr>
                  <w:rStyle w:val="InternetLink"/>
                  <w:rFonts w:ascii="Inter Light;sans-serif" w:hAnsi="Inter Light;sans-serif"/>
                  <w:b w:val="false"/>
                  <w:strike w:val="false"/>
                  <w:dstrike w:val="false"/>
                  <w:color w:val="690031"/>
                  <w:sz w:val="18"/>
                  <w:u w:val="none"/>
                  <w:effect w:val="none"/>
                </w:rPr>
                <w:t>34</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Executive Officers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12">
              <w:r>
                <w:rPr>
                  <w:rStyle w:val="InternetLink"/>
                  <w:rFonts w:ascii="Inter SemiBold;sans-serif" w:hAnsi="Inter SemiBold;sans-serif"/>
                  <w:b w:val="false"/>
                  <w:strike w:val="false"/>
                  <w:dstrike w:val="false"/>
                  <w:color w:val="FF584A"/>
                  <w:sz w:val="20"/>
                  <w:u w:val="none"/>
                  <w:effect w:val="none"/>
                </w:rPr>
                <w:t>35</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Executive Compensation</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15">
              <w:r>
                <w:rPr>
                  <w:rStyle w:val="InternetLink"/>
                  <w:rFonts w:ascii="Inter SemiBold;sans-serif" w:hAnsi="Inter SemiBold;sans-serif"/>
                  <w:b w:val="false"/>
                  <w:strike w:val="false"/>
                  <w:dstrike w:val="false"/>
                  <w:color w:val="FF584A"/>
                  <w:sz w:val="20"/>
                  <w:u w:val="none"/>
                  <w:effect w:val="none"/>
                </w:rPr>
                <w:t>37</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8">
              <w:r>
                <w:rPr>
                  <w:rStyle w:val="InternetLink"/>
                  <w:rFonts w:ascii="Inter Light;sans-serif" w:hAnsi="Inter Light;sans-serif"/>
                  <w:b w:val="false"/>
                  <w:strike w:val="false"/>
                  <w:dstrike w:val="false"/>
                  <w:color w:val="690031"/>
                  <w:sz w:val="18"/>
                  <w:u w:val="none"/>
                  <w:effect w:val="none"/>
                </w:rPr>
                <w:t>Compensation Discussion and Analysis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8">
              <w:r>
                <w:rPr>
                  <w:rStyle w:val="InternetLink"/>
                  <w:rFonts w:ascii="Inter Light;sans-serif" w:hAnsi="Inter Light;sans-serif"/>
                  <w:b w:val="false"/>
                  <w:strike w:val="false"/>
                  <w:dstrike w:val="false"/>
                  <w:color w:val="690031"/>
                  <w:sz w:val="18"/>
                  <w:u w:val="none"/>
                  <w:effect w:val="none"/>
                </w:rPr>
                <w:t>37</w:t>
              </w:r>
            </w:hyperlink>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21">
              <w:r>
                <w:rPr>
                  <w:rStyle w:val="InternetLink"/>
                  <w:rFonts w:ascii="Inter Light;sans-serif" w:hAnsi="Inter Light;sans-serif"/>
                  <w:b w:val="false"/>
                  <w:strike w:val="false"/>
                  <w:dstrike w:val="false"/>
                  <w:color w:val="690031"/>
                  <w:sz w:val="18"/>
                  <w:u w:val="none"/>
                  <w:effect w:val="none"/>
                </w:rPr>
                <w:t>Executive Summary</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21">
              <w:r>
                <w:rPr>
                  <w:rStyle w:val="InternetLink"/>
                  <w:rFonts w:ascii="Inter Light;sans-serif" w:hAnsi="Inter Light;sans-serif"/>
                  <w:b w:val="false"/>
                  <w:strike w:val="false"/>
                  <w:dstrike w:val="false"/>
                  <w:color w:val="690031"/>
                  <w:sz w:val="18"/>
                  <w:u w:val="none"/>
                  <w:effect w:val="none"/>
                </w:rPr>
                <w:t>37</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24">
              <w:r>
                <w:rPr>
                  <w:rStyle w:val="InternetLink"/>
                  <w:rFonts w:ascii="Inter Light;sans-serif" w:hAnsi="Inter Light;sans-serif"/>
                  <w:b w:val="false"/>
                  <w:strike w:val="false"/>
                  <w:dstrike w:val="false"/>
                  <w:color w:val="690031"/>
                  <w:sz w:val="18"/>
                  <w:u w:val="none"/>
                  <w:effect w:val="none"/>
                </w:rPr>
                <w:t>Our Approach to Executive Compensation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24">
              <w:r>
                <w:rPr>
                  <w:rStyle w:val="InternetLink"/>
                  <w:rFonts w:ascii="Inter Light;sans-serif" w:hAnsi="Inter Light;sans-serif"/>
                  <w:b w:val="false"/>
                  <w:strike w:val="false"/>
                  <w:dstrike w:val="false"/>
                  <w:color w:val="690031"/>
                  <w:sz w:val="18"/>
                  <w:u w:val="none"/>
                  <w:effect w:val="none"/>
                </w:rPr>
                <w:t>39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78">
              <w:r>
                <w:rPr>
                  <w:rStyle w:val="InternetLink"/>
                  <w:rFonts w:ascii="Inter Light;sans-serif" w:hAnsi="Inter Light;sans-serif"/>
                  <w:b w:val="false"/>
                  <w:strike w:val="false"/>
                  <w:dstrike w:val="false"/>
                  <w:color w:val="690031"/>
                  <w:sz w:val="18"/>
                  <w:u w:val="none"/>
                  <w:effect w:val="none"/>
                </w:rPr>
                <w:t>How We Determine Executive Compensation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78">
              <w:r>
                <w:rPr>
                  <w:rStyle w:val="InternetLink"/>
                  <w:rFonts w:ascii="Inter Light;sans-serif" w:hAnsi="Inter Light;sans-serif"/>
                  <w:b w:val="false"/>
                  <w:strike w:val="false"/>
                  <w:dstrike w:val="false"/>
                  <w:color w:val="690031"/>
                  <w:sz w:val="18"/>
                  <w:u w:val="none"/>
                  <w:effect w:val="none"/>
                </w:rPr>
                <w:t>40</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86">
              <w:r>
                <w:rPr>
                  <w:rStyle w:val="InternetLink"/>
                  <w:rFonts w:ascii="Inter Light;sans-serif" w:hAnsi="Inter Light;sans-serif"/>
                  <w:b w:val="false"/>
                  <w:strike w:val="false"/>
                  <w:dstrike w:val="false"/>
                  <w:color w:val="690031"/>
                  <w:sz w:val="18"/>
                  <w:u w:val="none"/>
                  <w:effect w:val="none"/>
                </w:rPr>
                <w:t>Fiscal Year 2025 Executive Compensation Program</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86">
              <w:r>
                <w:rPr>
                  <w:rStyle w:val="InternetLink"/>
                  <w:rFonts w:ascii="Inter Light;sans-serif" w:hAnsi="Inter Light;sans-serif"/>
                  <w:b w:val="false"/>
                  <w:strike w:val="false"/>
                  <w:dstrike w:val="false"/>
                  <w:color w:val="690031"/>
                  <w:sz w:val="18"/>
                  <w:u w:val="none"/>
                  <w:effect w:val="none"/>
                </w:rPr>
                <w:t>43</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195">
              <w:r>
                <w:rPr>
                  <w:rStyle w:val="InternetLink"/>
                  <w:rFonts w:ascii="Inter Light;sans-serif" w:hAnsi="Inter Light;sans-serif"/>
                  <w:b w:val="false"/>
                  <w:strike w:val="false"/>
                  <w:dstrike w:val="false"/>
                  <w:color w:val="690031"/>
                  <w:sz w:val="18"/>
                  <w:u w:val="none"/>
                  <w:effect w:val="none"/>
                </w:rPr>
                <w:t>Other Features of Our Executive Compensation Program</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195">
              <w:r>
                <w:rPr>
                  <w:rStyle w:val="InternetLink"/>
                  <w:rFonts w:ascii="Inter Light;sans-serif" w:hAnsi="Inter Light;sans-serif"/>
                  <w:b w:val="false"/>
                  <w:strike w:val="false"/>
                  <w:dstrike w:val="false"/>
                  <w:color w:val="690031"/>
                  <w:sz w:val="18"/>
                  <w:u w:val="none"/>
                  <w:effect w:val="none"/>
                </w:rPr>
                <w:t>44</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206">
              <w:r>
                <w:rPr>
                  <w:rStyle w:val="InternetLink"/>
                  <w:rFonts w:ascii="Inter Light;sans-serif" w:hAnsi="Inter Light;sans-serif"/>
                  <w:b w:val="false"/>
                  <w:strike w:val="false"/>
                  <w:dstrike w:val="false"/>
                  <w:color w:val="690031"/>
                  <w:sz w:val="18"/>
                  <w:u w:val="none"/>
                  <w:effect w:val="none"/>
                </w:rPr>
                <w:t>Other Compensation Policies and Practices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206">
              <w:r>
                <w:rPr>
                  <w:rStyle w:val="InternetLink"/>
                  <w:rFonts w:ascii="Inter Light;sans-serif" w:hAnsi="Inter Light;sans-serif"/>
                  <w:b w:val="false"/>
                  <w:strike w:val="false"/>
                  <w:dstrike w:val="false"/>
                  <w:color w:val="690031"/>
                  <w:sz w:val="18"/>
                  <w:u w:val="none"/>
                  <w:effect w:val="none"/>
                </w:rPr>
                <w:t>45</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215">
              <w:r>
                <w:rPr>
                  <w:rStyle w:val="InternetLink"/>
                  <w:rFonts w:ascii="Inter Light;sans-serif" w:hAnsi="Inter Light;sans-serif"/>
                  <w:b w:val="false"/>
                  <w:strike w:val="false"/>
                  <w:dstrike w:val="false"/>
                  <w:color w:val="690031"/>
                  <w:sz w:val="18"/>
                  <w:u w:val="none"/>
                  <w:effect w:val="none"/>
                </w:rPr>
                <w:t>Stockholder Engagement and Advisory Vote on Executive Compensation</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215">
              <w:r>
                <w:rPr>
                  <w:rStyle w:val="InternetLink"/>
                  <w:rFonts w:ascii="Inter Light;sans-serif" w:hAnsi="Inter Light;sans-serif"/>
                  <w:b w:val="false"/>
                  <w:strike w:val="false"/>
                  <w:dstrike w:val="false"/>
                  <w:color w:val="690031"/>
                  <w:sz w:val="18"/>
                  <w:u w:val="none"/>
                  <w:effect w:val="none"/>
                </w:rPr>
                <w:t>46</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27">
              <w:r>
                <w:rPr>
                  <w:rStyle w:val="InternetLink"/>
                  <w:rFonts w:ascii="Inter Light;sans-serif" w:hAnsi="Inter Light;sans-serif"/>
                  <w:b w:val="false"/>
                  <w:strike w:val="false"/>
                  <w:dstrike w:val="false"/>
                  <w:color w:val="000080"/>
                  <w:sz w:val="18"/>
                  <w:u w:val="single"/>
                  <w:effect w:val="none"/>
                </w:rPr>
                <w:t>Summary Compensation Table for Fiscal Year 20</w:t>
              </w:r>
            </w:hyperlink>
            <w:hyperlink w:anchor="i39b121e38a8e480087239f339633667c_127">
              <w:r>
                <w:rPr>
                  <w:rStyle w:val="InternetLink"/>
                  <w:rFonts w:ascii="Inter Light;sans-serif" w:hAnsi="Inter Light;sans-serif"/>
                  <w:b w:val="false"/>
                  <w:strike w:val="false"/>
                  <w:dstrike w:val="false"/>
                  <w:color w:val="000080"/>
                  <w:sz w:val="18"/>
                  <w:u w:val="single"/>
                  <w:effect w:val="none"/>
                </w:rPr>
                <w:t>2</w:t>
              </w:r>
            </w:hyperlink>
            <w:r>
              <w:rPr>
                <w:rFonts w:ascii="Inter Light;sans-serif" w:hAnsi="Inter Light;sans-serif"/>
                <w:b w:val="false"/>
                <w:color w:val="690031"/>
                <w:sz w:val="18"/>
              </w:rPr>
              <w:t>5</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27">
              <w:r>
                <w:rPr>
                  <w:rStyle w:val="InternetLink"/>
                  <w:rFonts w:ascii="Inter Light;sans-serif" w:hAnsi="Inter Light;sans-serif"/>
                  <w:b w:val="false"/>
                  <w:strike w:val="false"/>
                  <w:dstrike w:val="false"/>
                  <w:color w:val="690031"/>
                  <w:sz w:val="18"/>
                  <w:u w:val="none"/>
                  <w:effect w:val="none"/>
                </w:rPr>
                <w:t>47</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30">
              <w:r>
                <w:rPr>
                  <w:rStyle w:val="InternetLink"/>
                  <w:rFonts w:ascii="Inter Light;sans-serif" w:hAnsi="Inter Light;sans-serif"/>
                  <w:b w:val="false"/>
                  <w:strike w:val="false"/>
                  <w:dstrike w:val="false"/>
                  <w:color w:val="000080"/>
                  <w:sz w:val="18"/>
                  <w:u w:val="single"/>
                  <w:effect w:val="none"/>
                </w:rPr>
                <w:t>Grants of Plan</w:t>
              </w:r>
            </w:hyperlink>
            <w:hyperlink w:anchor="i39b121e38a8e480087239f339633667c_130">
              <w:r>
                <w:rPr>
                  <w:rStyle w:val="InternetLink"/>
                  <w:rFonts w:ascii="Inter Light;sans-serif" w:hAnsi="Inter Light;sans-serif"/>
                  <w:b w:val="false"/>
                  <w:strike w:val="false"/>
                  <w:dstrike w:val="false"/>
                  <w:color w:val="000080"/>
                  <w:sz w:val="18"/>
                  <w:u w:val="single"/>
                  <w:effect w:val="none"/>
                </w:rPr>
                <w:t>-</w:t>
              </w:r>
            </w:hyperlink>
            <w:hyperlink w:anchor="i39b121e38a8e480087239f339633667c_130">
              <w:r>
                <w:rPr>
                  <w:rStyle w:val="InternetLink"/>
                  <w:rFonts w:ascii="Inter Light;sans-serif" w:hAnsi="Inter Light;sans-serif"/>
                  <w:b w:val="false"/>
                  <w:strike w:val="false"/>
                  <w:dstrike w:val="false"/>
                  <w:color w:val="000080"/>
                  <w:sz w:val="18"/>
                  <w:u w:val="single"/>
                  <w:effect w:val="none"/>
                </w:rPr>
                <w:t>Based Awards Table for Fiscal Year 20</w:t>
              </w:r>
            </w:hyperlink>
            <w:hyperlink w:anchor="i39b121e38a8e480087239f339633667c_130">
              <w:r>
                <w:rPr>
                  <w:rStyle w:val="InternetLink"/>
                  <w:rFonts w:ascii="Inter Light;sans-serif" w:hAnsi="Inter Light;sans-serif"/>
                  <w:b w:val="false"/>
                  <w:strike w:val="false"/>
                  <w:dstrike w:val="false"/>
                  <w:color w:val="000080"/>
                  <w:sz w:val="18"/>
                  <w:u w:val="single"/>
                  <w:effect w:val="none"/>
                </w:rPr>
                <w:t>2</w:t>
              </w:r>
            </w:hyperlink>
            <w:r>
              <w:rPr>
                <w:rFonts w:ascii="Inter Light;sans-serif" w:hAnsi="Inter Light;sans-serif"/>
                <w:b w:val="false"/>
                <w:color w:val="690031"/>
                <w:sz w:val="18"/>
              </w:rPr>
              <w:t>5</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30">
              <w:r>
                <w:rPr>
                  <w:rStyle w:val="InternetLink"/>
                  <w:rFonts w:ascii="Inter Light;sans-serif" w:hAnsi="Inter Light;sans-serif"/>
                  <w:b w:val="false"/>
                  <w:strike w:val="false"/>
                  <w:dstrike w:val="false"/>
                  <w:color w:val="690031"/>
                  <w:sz w:val="18"/>
                  <w:u w:val="none"/>
                  <w:effect w:val="none"/>
                </w:rPr>
                <w:t>48</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33">
              <w:r>
                <w:rPr>
                  <w:rStyle w:val="InternetLink"/>
                  <w:rFonts w:ascii="Inter Light;sans-serif" w:hAnsi="Inter Light;sans-serif"/>
                  <w:b w:val="false"/>
                  <w:strike w:val="false"/>
                  <w:dstrike w:val="false"/>
                  <w:color w:val="690031"/>
                  <w:sz w:val="18"/>
                  <w:u w:val="none"/>
                  <w:effect w:val="none"/>
                </w:rPr>
                <w:t>Outstanding Equity Awards at Fiscal Year-End Table</w:t>
              </w:r>
            </w:hyperlink>
            <w:r>
              <w:rPr>
                <w:rFonts w:ascii="Inter Light;sans-serif" w:hAnsi="Inter Light;sans-serif"/>
                <w:b w:val="false"/>
                <w:color w:val="690031"/>
                <w:sz w:val="18"/>
              </w:rPr>
              <w:t xml:space="preserve"> for Fiscal Year 2025</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33">
              <w:r>
                <w:rPr>
                  <w:rStyle w:val="InternetLink"/>
                  <w:rFonts w:ascii="Inter Light;sans-serif" w:hAnsi="Inter Light;sans-serif"/>
                  <w:b w:val="false"/>
                  <w:strike w:val="false"/>
                  <w:dstrike w:val="false"/>
                  <w:color w:val="690031"/>
                  <w:sz w:val="18"/>
                  <w:u w:val="none"/>
                  <w:effect w:val="none"/>
                </w:rPr>
                <w:t>49</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36">
              <w:r>
                <w:rPr>
                  <w:rStyle w:val="InternetLink"/>
                  <w:rFonts w:ascii="Inter Light;sans-serif" w:hAnsi="Inter Light;sans-serif"/>
                  <w:b w:val="false"/>
                  <w:strike w:val="false"/>
                  <w:dstrike w:val="false"/>
                  <w:color w:val="000080"/>
                  <w:sz w:val="18"/>
                  <w:u w:val="single"/>
                  <w:effect w:val="none"/>
                </w:rPr>
                <w:t>Option Exercises and Stock Vested Table for Fiscal Year 20</w:t>
              </w:r>
            </w:hyperlink>
            <w:hyperlink w:anchor="i39b121e38a8e480087239f339633667c_136">
              <w:r>
                <w:rPr>
                  <w:rStyle w:val="InternetLink"/>
                  <w:rFonts w:ascii="Inter Light;sans-serif" w:hAnsi="Inter Light;sans-serif"/>
                  <w:b w:val="false"/>
                  <w:strike w:val="false"/>
                  <w:dstrike w:val="false"/>
                  <w:color w:val="000080"/>
                  <w:sz w:val="18"/>
                  <w:u w:val="single"/>
                  <w:effect w:val="none"/>
                </w:rPr>
                <w:t>2</w:t>
              </w:r>
            </w:hyperlink>
            <w:r>
              <w:rPr>
                <w:rFonts w:ascii="Inter Light;sans-serif" w:hAnsi="Inter Light;sans-serif"/>
                <w:b w:val="false"/>
                <w:color w:val="690031"/>
                <w:sz w:val="18"/>
              </w:rPr>
              <w:t>5</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36">
              <w:r>
                <w:rPr>
                  <w:rStyle w:val="InternetLink"/>
                  <w:rFonts w:ascii="Inter Light;sans-serif" w:hAnsi="Inter Light;sans-serif"/>
                  <w:b w:val="false"/>
                  <w:strike w:val="false"/>
                  <w:dstrike w:val="false"/>
                  <w:color w:val="690031"/>
                  <w:sz w:val="18"/>
                  <w:u w:val="none"/>
                  <w:effect w:val="none"/>
                </w:rPr>
                <w:t>51</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39">
              <w:r>
                <w:rPr>
                  <w:rStyle w:val="InternetLink"/>
                  <w:rFonts w:ascii="Inter Light;sans-serif" w:hAnsi="Inter Light;sans-serif"/>
                  <w:b w:val="false"/>
                  <w:strike w:val="false"/>
                  <w:dstrike w:val="false"/>
                  <w:color w:val="000080"/>
                  <w:sz w:val="18"/>
                  <w:u w:val="single"/>
                  <w:effect w:val="none"/>
                </w:rPr>
                <w:t>Nonqualified Deferred Compensation Table for Fiscal Year 20</w:t>
              </w:r>
            </w:hyperlink>
            <w:hyperlink w:anchor="i39b121e38a8e480087239f339633667c_139">
              <w:r>
                <w:rPr>
                  <w:rStyle w:val="InternetLink"/>
                  <w:rFonts w:ascii="Inter Light;sans-serif" w:hAnsi="Inter Light;sans-serif"/>
                  <w:b w:val="false"/>
                  <w:strike w:val="false"/>
                  <w:dstrike w:val="false"/>
                  <w:color w:val="000080"/>
                  <w:sz w:val="18"/>
                  <w:u w:val="single"/>
                  <w:effect w:val="none"/>
                </w:rPr>
                <w:t>2</w:t>
              </w:r>
            </w:hyperlink>
            <w:r>
              <w:rPr>
                <w:rFonts w:ascii="Inter Light;sans-serif" w:hAnsi="Inter Light;sans-serif"/>
                <w:b w:val="false"/>
                <w:color w:val="690031"/>
                <w:sz w:val="18"/>
              </w:rPr>
              <w:t>5</w:t>
            </w:r>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39">
              <w:r>
                <w:rPr>
                  <w:rStyle w:val="InternetLink"/>
                  <w:rFonts w:ascii="Inter Light;sans-serif" w:hAnsi="Inter Light;sans-serif"/>
                  <w:b w:val="false"/>
                  <w:strike w:val="false"/>
                  <w:dstrike w:val="false"/>
                  <w:color w:val="690031"/>
                  <w:sz w:val="18"/>
                  <w:u w:val="none"/>
                  <w:effect w:val="none"/>
                </w:rPr>
                <w:t>52</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42">
              <w:r>
                <w:rPr>
                  <w:rStyle w:val="InternetLink"/>
                  <w:rFonts w:ascii="Inter Light;sans-serif" w:hAnsi="Inter Light;sans-serif"/>
                  <w:b w:val="false"/>
                  <w:strike w:val="false"/>
                  <w:dstrike w:val="false"/>
                  <w:color w:val="690031"/>
                  <w:sz w:val="18"/>
                  <w:u w:val="none"/>
                  <w:effect w:val="none"/>
                </w:rPr>
                <w:t>Employment, Severance, and Change of Control Arrangements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42">
              <w:r>
                <w:rPr>
                  <w:rStyle w:val="InternetLink"/>
                  <w:rFonts w:ascii="Inter Light;sans-serif" w:hAnsi="Inter Light;sans-serif"/>
                  <w:b w:val="false"/>
                  <w:strike w:val="false"/>
                  <w:dstrike w:val="false"/>
                  <w:color w:val="690031"/>
                  <w:sz w:val="18"/>
                  <w:u w:val="none"/>
                  <w:effect w:val="none"/>
                </w:rPr>
                <w:t>53</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45">
              <w:r>
                <w:rPr>
                  <w:rStyle w:val="InternetLink"/>
                  <w:rFonts w:ascii="Inter Light;sans-serif" w:hAnsi="Inter Light;sans-serif"/>
                  <w:b w:val="false"/>
                  <w:strike w:val="false"/>
                  <w:dstrike w:val="false"/>
                  <w:color w:val="690031"/>
                  <w:sz w:val="18"/>
                  <w:u w:val="none"/>
                  <w:effect w:val="none"/>
                </w:rPr>
                <w:t>Potential Payments upon Termination or Change in Control</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45">
              <w:r>
                <w:rPr>
                  <w:rStyle w:val="InternetLink"/>
                  <w:rFonts w:ascii="Inter Light;sans-serif" w:hAnsi="Inter Light;sans-serif"/>
                  <w:b w:val="false"/>
                  <w:strike w:val="false"/>
                  <w:dstrike w:val="false"/>
                  <w:color w:val="690031"/>
                  <w:sz w:val="18"/>
                  <w:u w:val="none"/>
                  <w:effect w:val="none"/>
                </w:rPr>
                <w:t>54</w:t>
              </w:r>
            </w:hyperlink>
          </w:p>
        </w:tc>
        <w:tc>
          <w:tcPr>
            <w:tcW w:w="373"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Report of the Compensation Committee</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48">
              <w:r>
                <w:rPr>
                  <w:rStyle w:val="InternetLink"/>
                  <w:rFonts w:ascii="Inter SemiBold;sans-serif" w:hAnsi="Inter SemiBold;sans-serif"/>
                  <w:b w:val="false"/>
                  <w:strike w:val="false"/>
                  <w:dstrike w:val="false"/>
                  <w:color w:val="FF584A"/>
                  <w:sz w:val="20"/>
                  <w:u w:val="none"/>
                  <w:effect w:val="none"/>
                </w:rPr>
                <w:t>56</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Equity Compensation Plan Information</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51">
              <w:r>
                <w:rPr>
                  <w:rStyle w:val="InternetLink"/>
                  <w:rFonts w:ascii="Inter SemiBold;sans-serif" w:hAnsi="Inter SemiBold;sans-serif"/>
                  <w:b w:val="false"/>
                  <w:strike w:val="false"/>
                  <w:dstrike w:val="false"/>
                  <w:color w:val="FF584A"/>
                  <w:sz w:val="20"/>
                  <w:u w:val="none"/>
                  <w:effect w:val="none"/>
                </w:rPr>
                <w:t>57</w:t>
              </w:r>
            </w:hyperlink>
          </w:p>
        </w:tc>
        <w:tc>
          <w:tcPr>
            <w:tcW w:w="37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9144" w:type="dxa"/>
            <w:gridSpan w:val="3"/>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Security Ownership of Certain Beneficial Owners and Management and Related Stockholder Matters</w:t>
            </w:r>
          </w:p>
        </w:tc>
        <w:tc>
          <w:tcPr>
            <w:tcW w:w="346" w:type="dxa"/>
            <w:gridSpan w:val="3"/>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240" w:before="60" w:after="60"/>
              <w:jc w:val="right"/>
              <w:rPr/>
            </w:pPr>
            <w:hyperlink w:anchor="i39b121e38a8e480087239f339633667c_154">
              <w:r>
                <w:rPr>
                  <w:rStyle w:val="InternetLink"/>
                  <w:rFonts w:ascii="Inter SemiBold;sans-serif" w:hAnsi="Inter SemiBold;sans-serif"/>
                  <w:b w:val="false"/>
                  <w:strike w:val="false"/>
                  <w:dstrike w:val="false"/>
                  <w:color w:val="FF584A"/>
                  <w:sz w:val="20"/>
                  <w:u w:val="none"/>
                  <w:effect w:val="none"/>
                </w:rPr>
                <w:t>58</w:t>
              </w:r>
            </w:hyperlink>
          </w:p>
        </w:tc>
        <w:tc>
          <w:tcPr>
            <w:tcW w:w="373" w:type="dxa"/>
            <w:gridSpan w:val="3"/>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505" w:type="dxa"/>
        <w:jc w:val="left"/>
        <w:tblInd w:w="0" w:type="dxa"/>
        <w:tblLayout w:type="fixed"/>
        <w:tblCellMar>
          <w:top w:w="28" w:type="dxa"/>
          <w:left w:w="28" w:type="dxa"/>
          <w:bottom w:w="28" w:type="dxa"/>
          <w:right w:w="28" w:type="dxa"/>
        </w:tblCellMar>
      </w:tblPr>
      <w:tblGrid>
        <w:gridCol w:w="124"/>
        <w:gridCol w:w="109"/>
        <w:gridCol w:w="109"/>
        <w:gridCol w:w="1813"/>
        <w:gridCol w:w="1813"/>
        <w:gridCol w:w="181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CEO Pay Ratio</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57">
              <w:r>
                <w:rPr>
                  <w:rStyle w:val="InternetLink"/>
                  <w:rFonts w:ascii="Inter SemiBold;sans-serif" w:hAnsi="Inter SemiBold;sans-serif"/>
                  <w:b w:val="false"/>
                  <w:strike w:val="false"/>
                  <w:dstrike w:val="false"/>
                  <w:color w:val="FF584A"/>
                  <w:sz w:val="20"/>
                  <w:u w:val="none"/>
                  <w:effect w:val="none"/>
                </w:rPr>
                <w:t>61</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39b121e38a8e480087239f339633667c_160">
              <w:r>
                <w:rPr>
                  <w:rStyle w:val="InternetLink"/>
                  <w:rFonts w:ascii="Inter Light;sans-serif" w:hAnsi="Inter Light;sans-serif"/>
                  <w:b w:val="false"/>
                  <w:strike w:val="false"/>
                  <w:dstrike w:val="false"/>
                  <w:color w:val="690031"/>
                  <w:sz w:val="18"/>
                  <w:u w:val="none"/>
                  <w:effect w:val="none"/>
                </w:rPr>
                <w:t>CEO Pay Ratio Results for Fiscal Year 202</w:t>
              </w:r>
            </w:hyperlink>
            <w:r>
              <w:rPr>
                <w:rFonts w:ascii="Inter Light;sans-serif" w:hAnsi="Inter Light;sans-serif"/>
                <w:b w:val="false"/>
                <w:color w:val="690031"/>
                <w:sz w:val="18"/>
              </w:rPr>
              <w:t>5</w:t>
            </w:r>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60">
              <w:r>
                <w:rPr>
                  <w:rStyle w:val="InternetLink"/>
                  <w:rFonts w:ascii="Inter Light;sans-serif" w:hAnsi="Inter Light;sans-serif"/>
                  <w:b w:val="false"/>
                  <w:strike w:val="false"/>
                  <w:dstrike w:val="false"/>
                  <w:color w:val="690031"/>
                  <w:sz w:val="18"/>
                  <w:u w:val="none"/>
                  <w:effect w:val="none"/>
                </w:rPr>
                <w:t>61</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Pay Versus Performance</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63">
              <w:r>
                <w:rPr>
                  <w:rStyle w:val="InternetLink"/>
                  <w:rFonts w:ascii="Inter SemiBold;sans-serif" w:hAnsi="Inter SemiBold;sans-serif"/>
                  <w:b w:val="false"/>
                  <w:strike w:val="false"/>
                  <w:dstrike w:val="false"/>
                  <w:color w:val="FF584A"/>
                  <w:sz w:val="20"/>
                  <w:u w:val="none"/>
                  <w:effect w:val="none"/>
                </w:rPr>
                <w:t>62</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39b121e38a8e480087239f339633667c_166">
              <w:r>
                <w:rPr>
                  <w:rStyle w:val="InternetLink"/>
                  <w:rFonts w:ascii="Inter Light;sans-serif" w:hAnsi="Inter Light;sans-serif"/>
                  <w:b w:val="false"/>
                  <w:strike w:val="false"/>
                  <w:dstrike w:val="false"/>
                  <w:color w:val="690031"/>
                  <w:sz w:val="18"/>
                  <w:u w:val="none"/>
                  <w:effect w:val="none"/>
                </w:rPr>
                <w:t>Pay Versus Performance Table</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66">
              <w:r>
                <w:rPr>
                  <w:rStyle w:val="InternetLink"/>
                  <w:rFonts w:ascii="Inter Light;sans-serif" w:hAnsi="Inter Light;sans-serif"/>
                  <w:b w:val="false"/>
                  <w:strike w:val="false"/>
                  <w:dstrike w:val="false"/>
                  <w:color w:val="690031"/>
                  <w:sz w:val="18"/>
                  <w:u w:val="none"/>
                  <w:effect w:val="none"/>
                </w:rPr>
                <w:t>62</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69">
              <w:r>
                <w:rPr>
                  <w:rStyle w:val="InternetLink"/>
                  <w:rFonts w:ascii="Inter Light;sans-serif" w:hAnsi="Inter Light;sans-serif"/>
                  <w:b w:val="false"/>
                  <w:strike w:val="false"/>
                  <w:dstrike w:val="false"/>
                  <w:color w:val="690031"/>
                  <w:sz w:val="18"/>
                  <w:u w:val="none"/>
                  <w:effect w:val="none"/>
                </w:rPr>
                <w:t>Most Important Financial Measures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69">
              <w:r>
                <w:rPr>
                  <w:rStyle w:val="InternetLink"/>
                  <w:rFonts w:ascii="Inter Light;sans-serif" w:hAnsi="Inter Light;sans-serif"/>
                  <w:b w:val="false"/>
                  <w:strike w:val="false"/>
                  <w:dstrike w:val="false"/>
                  <w:color w:val="690031"/>
                  <w:sz w:val="18"/>
                  <w:u w:val="none"/>
                  <w:effect w:val="none"/>
                </w:rPr>
                <w:t>64</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72">
              <w:r>
                <w:rPr>
                  <w:rStyle w:val="InternetLink"/>
                  <w:rFonts w:ascii="Inter Light;sans-serif" w:hAnsi="Inter Light;sans-serif"/>
                  <w:b w:val="false"/>
                  <w:strike w:val="false"/>
                  <w:dstrike w:val="false"/>
                  <w:color w:val="690031"/>
                  <w:sz w:val="18"/>
                  <w:u w:val="none"/>
                  <w:effect w:val="none"/>
                </w:rPr>
                <w:t>Relationship Between Pay and Performance</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72">
              <w:r>
                <w:rPr>
                  <w:rStyle w:val="InternetLink"/>
                  <w:rFonts w:ascii="Inter Light;sans-serif" w:hAnsi="Inter Light;sans-serif"/>
                  <w:b w:val="false"/>
                  <w:strike w:val="false"/>
                  <w:dstrike w:val="false"/>
                  <w:color w:val="690031"/>
                  <w:sz w:val="18"/>
                  <w:u w:val="none"/>
                  <w:effect w:val="none"/>
                </w:rPr>
                <w:t>64</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Certain Relationships and Related Person Transactions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75">
              <w:r>
                <w:rPr>
                  <w:rStyle w:val="InternetLink"/>
                  <w:rFonts w:ascii="Inter SemiBold;sans-serif" w:hAnsi="Inter SemiBold;sans-serif"/>
                  <w:b w:val="false"/>
                  <w:strike w:val="false"/>
                  <w:dstrike w:val="false"/>
                  <w:color w:val="FF584A"/>
                  <w:sz w:val="20"/>
                  <w:u w:val="none"/>
                  <w:effect w:val="none"/>
                </w:rPr>
                <w:t>65</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left"/>
              <w:rPr/>
            </w:pPr>
            <w:hyperlink w:anchor="i39b121e38a8e480087239f339633667c_178">
              <w:r>
                <w:rPr>
                  <w:rStyle w:val="InternetLink"/>
                  <w:rFonts w:ascii="Inter Light;sans-serif" w:hAnsi="Inter Light;sans-serif"/>
                  <w:b w:val="false"/>
                  <w:strike w:val="false"/>
                  <w:dstrike w:val="false"/>
                  <w:color w:val="690031"/>
                  <w:sz w:val="18"/>
                  <w:u w:val="none"/>
                  <w:effect w:val="none"/>
                </w:rPr>
                <w:t>Policies and Procedures for Related Person Transactions</w:t>
              </w:r>
            </w:hyperlink>
          </w:p>
        </w:tc>
        <w:tc>
          <w:tcPr>
            <w:tcW w:w="346" w:type="dxa"/>
            <w:gridSpan w:val="3"/>
            <w:tcBorders/>
            <w:shd w:fill="FFFFFF" w:val="clear"/>
            <w:tcMar>
              <w:top w:w="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78">
              <w:r>
                <w:rPr>
                  <w:rStyle w:val="InternetLink"/>
                  <w:rFonts w:ascii="Inter Light;sans-serif" w:hAnsi="Inter Light;sans-serif"/>
                  <w:b w:val="false"/>
                  <w:strike w:val="false"/>
                  <w:dstrike w:val="false"/>
                  <w:color w:val="690031"/>
                  <w:sz w:val="18"/>
                  <w:u w:val="none"/>
                  <w:effect w:val="none"/>
                </w:rPr>
                <w:t>65</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81">
              <w:r>
                <w:rPr>
                  <w:rStyle w:val="InternetLink"/>
                  <w:rFonts w:ascii="Inter Light;sans-serif" w:hAnsi="Inter Light;sans-serif"/>
                  <w:b w:val="false"/>
                  <w:strike w:val="false"/>
                  <w:dstrike w:val="false"/>
                  <w:color w:val="690031"/>
                  <w:sz w:val="18"/>
                  <w:u w:val="none"/>
                  <w:effect w:val="none"/>
                </w:rPr>
                <w:t>Indemnification Agreements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81">
              <w:r>
                <w:rPr>
                  <w:rStyle w:val="InternetLink"/>
                  <w:rFonts w:ascii="Inter Light;sans-serif" w:hAnsi="Inter Light;sans-serif"/>
                  <w:b w:val="false"/>
                  <w:strike w:val="false"/>
                  <w:dstrike w:val="false"/>
                  <w:color w:val="690031"/>
                  <w:sz w:val="18"/>
                  <w:u w:val="none"/>
                  <w:effect w:val="none"/>
                </w:rPr>
                <w:t>65</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left"/>
              <w:rPr/>
            </w:pPr>
            <w:hyperlink w:anchor="i39b121e38a8e480087239f339633667c_184">
              <w:r>
                <w:rPr>
                  <w:rStyle w:val="InternetLink"/>
                  <w:rFonts w:ascii="Inter Light;sans-serif" w:hAnsi="Inter Light;sans-serif"/>
                  <w:b w:val="false"/>
                  <w:strike w:val="false"/>
                  <w:dstrike w:val="false"/>
                  <w:color w:val="690031"/>
                  <w:sz w:val="18"/>
                  <w:u w:val="none"/>
                  <w:effect w:val="none"/>
                </w:rPr>
                <w:t>Certain Related Person Transactions</w:t>
              </w:r>
            </w:hyperlink>
          </w:p>
        </w:tc>
        <w:tc>
          <w:tcPr>
            <w:tcW w:w="346"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60" w:after="60"/>
              <w:jc w:val="right"/>
              <w:rPr/>
            </w:pPr>
            <w:hyperlink w:anchor="i39b121e38a8e480087239f339633667c_184">
              <w:r>
                <w:rPr>
                  <w:rStyle w:val="InternetLink"/>
                  <w:rFonts w:ascii="Inter Light;sans-serif" w:hAnsi="Inter Light;sans-serif"/>
                  <w:b w:val="false"/>
                  <w:strike w:val="false"/>
                  <w:dstrike w:val="false"/>
                  <w:color w:val="690031"/>
                  <w:sz w:val="18"/>
                  <w:u w:val="none"/>
                  <w:effect w:val="none"/>
                </w:rPr>
                <w:t>65</w:t>
              </w:r>
            </w:hyperlink>
          </w:p>
        </w:tc>
        <w:tc>
          <w:tcPr>
            <w:tcW w:w="372"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0" w:after="283"/>
              <w:jc w:val="left"/>
              <w:rPr>
                <w:rFonts w:ascii="Inter SemiBold;sans-serif" w:hAnsi="Inter SemiBold;sans-serif"/>
                <w:b w:val="false"/>
                <w:color w:val="FF584A"/>
                <w:sz w:val="20"/>
              </w:rPr>
            </w:pPr>
            <w:r>
              <w:rPr>
                <w:rFonts w:ascii="Inter SemiBold;sans-serif" w:hAnsi="Inter SemiBold;sans-serif"/>
                <w:b w:val="false"/>
                <w:color w:val="FF584A"/>
                <w:sz w:val="20"/>
              </w:rPr>
              <w:t>Other Matters</w:t>
            </w:r>
          </w:p>
        </w:tc>
        <w:tc>
          <w:tcPr>
            <w:tcW w:w="3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40" w:before="60" w:after="60"/>
              <w:jc w:val="right"/>
              <w:rPr/>
            </w:pPr>
            <w:hyperlink w:anchor="i39b121e38a8e480087239f339633667c_187">
              <w:r>
                <w:rPr>
                  <w:rStyle w:val="InternetLink"/>
                  <w:rFonts w:ascii="Inter SemiBold;sans-serif" w:hAnsi="Inter SemiBold;sans-serif"/>
                  <w:b w:val="false"/>
                  <w:strike w:val="false"/>
                  <w:dstrike w:val="false"/>
                  <w:color w:val="FF584A"/>
                  <w:sz w:val="20"/>
                  <w:u w:val="none"/>
                  <w:effect w:val="none"/>
                </w:rPr>
                <w:t>67</w:t>
              </w:r>
            </w:hyperlink>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60" w:after="60"/>
              <w:jc w:val="left"/>
              <w:rPr/>
            </w:pPr>
            <w:hyperlink w:anchor="i39b121e38a8e480087239f339633667c_193">
              <w:r>
                <w:rPr>
                  <w:rStyle w:val="InternetLink"/>
                  <w:rFonts w:ascii="Inter Light;sans-serif" w:hAnsi="Inter Light;sans-serif"/>
                  <w:b w:val="false"/>
                  <w:strike w:val="false"/>
                  <w:dstrike w:val="false"/>
                  <w:color w:val="000080"/>
                  <w:sz w:val="18"/>
                  <w:u w:val="single"/>
                  <w:effect w:val="none"/>
                </w:rPr>
                <w:t>Fiscal Year 202</w:t>
              </w:r>
            </w:hyperlink>
            <w:hyperlink w:anchor="i39b121e38a8e480087239f339633667c_193">
              <w:r>
                <w:rPr>
                  <w:rStyle w:val="InternetLink"/>
                  <w:rFonts w:ascii="Inter Light;sans-serif" w:hAnsi="Inter Light;sans-serif"/>
                  <w:b w:val="false"/>
                  <w:strike w:val="false"/>
                  <w:dstrike w:val="false"/>
                  <w:color w:val="000080"/>
                  <w:sz w:val="18"/>
                  <w:u w:val="single"/>
                  <w:effect w:val="none"/>
                </w:rPr>
                <w:t>5</w:t>
              </w:r>
            </w:hyperlink>
            <w:hyperlink w:anchor="i39b121e38a8e480087239f339633667c_193">
              <w:r>
                <w:rPr>
                  <w:rStyle w:val="InternetLink"/>
                  <w:rFonts w:ascii="Inter Light;sans-serif" w:hAnsi="Inter Light;sans-serif"/>
                  <w:b w:val="false"/>
                  <w:strike w:val="false"/>
                  <w:dstrike w:val="false"/>
                  <w:color w:val="000080"/>
                  <w:sz w:val="18"/>
                  <w:u w:val="single"/>
                  <w:effect w:val="none"/>
                </w:rPr>
                <w:t xml:space="preserve"> Annual Report and SEC Filings</w:t>
              </w:r>
            </w:hyperlink>
          </w:p>
        </w:tc>
        <w:tc>
          <w:tcPr>
            <w:tcW w:w="346"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60" w:after="60"/>
              <w:jc w:val="right"/>
              <w:rPr/>
            </w:pPr>
            <w:hyperlink w:anchor="i39b121e38a8e480087239f339633667c_193">
              <w:r>
                <w:rPr>
                  <w:rStyle w:val="InternetLink"/>
                  <w:rFonts w:ascii="Inter Light;sans-serif" w:hAnsi="Inter Light;sans-serif"/>
                  <w:b w:val="false"/>
                  <w:strike w:val="false"/>
                  <w:dstrike w:val="false"/>
                  <w:color w:val="690031"/>
                  <w:sz w:val="18"/>
                  <w:u w:val="none"/>
                  <w:effect w:val="none"/>
                </w:rPr>
                <w:t>67</w:t>
              </w:r>
            </w:hyperlink>
          </w:p>
        </w:tc>
        <w:tc>
          <w:tcPr>
            <w:tcW w:w="372"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000080"/>
                  <w:sz w:val="16"/>
                  <w:u w:val="single"/>
                  <w:effect w:val="none"/>
                </w:rPr>
                <w:t>T</w:t>
              </w:r>
            </w:hyperlink>
            <w:hyperlink w:anchor="i39b121e38a8e480087239f339633667c_10">
              <w:r>
                <w:rPr>
                  <w:rStyle w:val="InternetLink"/>
                  <w:rFonts w:ascii="Inter Light;sans-serif" w:hAnsi="Inter Light;sans-serif"/>
                  <w:b w:val="false"/>
                  <w:strike w:val="false"/>
                  <w:dstrike w:val="false"/>
                  <w:color w:val="000080"/>
                  <w:sz w:val="16"/>
                  <w:u w:val="single"/>
                  <w:effect w:val="none"/>
                </w:rPr>
                <w: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75" w:type="dxa"/>
        <w:jc w:val="left"/>
        <w:tblInd w:w="0" w:type="dxa"/>
        <w:tblLayout w:type="fixed"/>
        <w:tblCellMar>
          <w:top w:w="28" w:type="dxa"/>
          <w:left w:w="28" w:type="dxa"/>
          <w:bottom w:w="28" w:type="dxa"/>
          <w:right w:w="28" w:type="dxa"/>
        </w:tblCellMar>
      </w:tblPr>
      <w:tblGrid>
        <w:gridCol w:w="1465"/>
        <w:gridCol w:w="1287"/>
        <w:gridCol w:w="1823"/>
      </w:tblGrid>
      <w:tr>
        <w:trPr/>
        <w:tc>
          <w:tcPr>
            <w:tcW w:w="146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Proxy Summary</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information provided in this Proxy Summary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83"/>
        <w:gridCol w:w="1283"/>
        <w:gridCol w:w="1284"/>
        <w:gridCol w:w="109"/>
        <w:gridCol w:w="109"/>
        <w:gridCol w:w="109"/>
        <w:gridCol w:w="109"/>
        <w:gridCol w:w="109"/>
        <w:gridCol w:w="109"/>
        <w:gridCol w:w="1232"/>
        <w:gridCol w:w="614"/>
        <w:gridCol w:w="616"/>
        <w:gridCol w:w="154"/>
        <w:gridCol w:w="154"/>
        <w:gridCol w:w="154"/>
        <w:gridCol w:w="154"/>
        <w:gridCol w:w="154"/>
        <w:gridCol w:w="154"/>
        <w:gridCol w:w="531"/>
        <w:gridCol w:w="531"/>
        <w:gridCol w:w="533"/>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shd w:fill="690031" w:val="clear"/>
            <w:tcMar>
              <w:top w:w="0" w:type="dxa"/>
              <w:left w:w="0" w:type="dxa"/>
              <w:bottom w:w="0" w:type="dxa"/>
              <w:right w:w="0" w:type="dxa"/>
            </w:tcMar>
            <w:vAlign w:val="center"/>
          </w:tcPr>
          <w:p>
            <w:pPr>
              <w:pStyle w:val="TableContents"/>
              <w:bidi w:val="0"/>
              <w:spacing w:lineRule="atLeast" w:line="480" w:before="0" w:after="0"/>
              <w:jc w:val="left"/>
              <w:rPr>
                <w:rFonts w:ascii="Inter Medium;sans-serif" w:hAnsi="Inter Medium;sans-serif"/>
                <w:b w:val="false"/>
                <w:color w:val="FFEAEC"/>
                <w:sz w:val="40"/>
              </w:rPr>
            </w:pPr>
            <w:r>
              <w:rPr>
                <w:rFonts w:ascii="Inter Medium;sans-serif" w:hAnsi="Inter Medium;sans-serif"/>
                <w:b w:val="false"/>
                <w:color w:val="FFEAEC"/>
                <w:sz w:val="40"/>
              </w:rPr>
              <w:t>Annual Meeting of Stockholders</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690031" w:val="clear"/>
            <w:tcMar>
              <w:top w:w="0" w:type="dxa"/>
              <w:left w:w="0" w:type="dxa"/>
              <w:bottom w:w="0" w:type="dxa"/>
              <w:right w:w="0" w:type="dxa"/>
            </w:tcMar>
            <w:vAlign w:val="center"/>
          </w:tcPr>
          <w:p>
            <w:pPr>
              <w:pStyle w:val="TableContents"/>
              <w:bidi w:val="0"/>
              <w:spacing w:lineRule="atLeast" w:line="360" w:before="0" w:after="0"/>
              <w:jc w:val="left"/>
              <w:rPr>
                <w:rFonts w:ascii="Inter SemiBold;sans-serif" w:hAnsi="Inter SemiBold;sans-serif"/>
                <w:b w:val="false"/>
                <w:color w:val="FFEAEC"/>
                <w:sz w:val="28"/>
              </w:rPr>
            </w:pPr>
            <w:r>
              <w:rPr>
                <w:rFonts w:ascii="Inter SemiBold;sans-serif" w:hAnsi="Inter SemiBold;sans-serif"/>
                <w:b w:val="false"/>
                <w:color w:val="FFEAEC"/>
                <w:sz w:val="28"/>
              </w:rPr>
              <w:t>Date</w:t>
            </w:r>
          </w:p>
          <w:p>
            <w:pPr>
              <w:pStyle w:val="TableContents"/>
              <w:bidi w:val="0"/>
              <w:spacing w:lineRule="atLeast" w:line="320" w:before="0" w:after="0"/>
              <w:jc w:val="left"/>
              <w:rPr>
                <w:rFonts w:ascii="Inter Light;sans-serif" w:hAnsi="Inter Light;sans-serif"/>
                <w:b w:val="false"/>
                <w:color w:val="FFEAEC"/>
                <w:sz w:val="24"/>
              </w:rPr>
            </w:pPr>
            <w:r>
              <w:rPr>
                <w:rFonts w:ascii="Inter Light;sans-serif" w:hAnsi="Inter Light;sans-serif"/>
                <w:b w:val="false"/>
                <w:color w:val="FFEAEC"/>
                <w:sz w:val="24"/>
              </w:rPr>
              <w:t xml:space="preserve">Monday, </w:t>
            </w:r>
          </w:p>
          <w:p>
            <w:pPr>
              <w:pStyle w:val="TableContents"/>
              <w:bidi w:val="0"/>
              <w:spacing w:lineRule="atLeast" w:line="320" w:before="0" w:after="0"/>
              <w:jc w:val="left"/>
              <w:rPr>
                <w:rFonts w:ascii="Inter Light;sans-serif" w:hAnsi="Inter Light;sans-serif"/>
                <w:b w:val="false"/>
                <w:color w:val="FFEAEC"/>
                <w:sz w:val="24"/>
              </w:rPr>
            </w:pPr>
            <w:r>
              <w:rPr>
                <w:rFonts w:ascii="Inter Light;sans-serif" w:hAnsi="Inter Light;sans-serif"/>
                <w:b w:val="false"/>
                <w:color w:val="FFEAEC"/>
                <w:sz w:val="24"/>
              </w:rPr>
              <w:t>June 16, 2025</w:t>
            </w:r>
          </w:p>
        </w:tc>
        <w:tc>
          <w:tcPr>
            <w:tcW w:w="4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690031" w:val="clear"/>
            <w:tcMar>
              <w:top w:w="0" w:type="dxa"/>
              <w:left w:w="0" w:type="dxa"/>
              <w:bottom w:w="0" w:type="dxa"/>
              <w:right w:w="0" w:type="dxa"/>
            </w:tcMar>
            <w:vAlign w:val="center"/>
          </w:tcPr>
          <w:p>
            <w:pPr>
              <w:pStyle w:val="TableContents"/>
              <w:bidi w:val="0"/>
              <w:spacing w:lineRule="atLeast" w:line="360" w:before="0" w:after="0"/>
              <w:jc w:val="left"/>
              <w:rPr>
                <w:rFonts w:ascii="Inter SemiBold;sans-serif" w:hAnsi="Inter SemiBold;sans-serif"/>
                <w:b w:val="false"/>
                <w:color w:val="FFEAEC"/>
                <w:sz w:val="28"/>
              </w:rPr>
            </w:pPr>
            <w:r>
              <w:rPr>
                <w:rFonts w:ascii="Inter SemiBold;sans-serif" w:hAnsi="Inter SemiBold;sans-serif"/>
                <w:b w:val="false"/>
                <w:color w:val="FFEAEC"/>
                <w:sz w:val="28"/>
              </w:rPr>
              <w:t>Time</w:t>
            </w:r>
          </w:p>
          <w:p>
            <w:pPr>
              <w:pStyle w:val="TableContents"/>
              <w:bidi w:val="0"/>
              <w:spacing w:lineRule="atLeast" w:line="320" w:before="0" w:after="0"/>
              <w:jc w:val="left"/>
              <w:rPr>
                <w:rFonts w:ascii="Inter Light;sans-serif" w:hAnsi="Inter Light;sans-serif"/>
                <w:b w:val="false"/>
                <w:color w:val="FFEAEC"/>
                <w:sz w:val="24"/>
              </w:rPr>
            </w:pPr>
            <w:r>
              <w:rPr>
                <w:rFonts w:ascii="Inter Light;sans-serif" w:hAnsi="Inter Light;sans-serif"/>
                <w:b w:val="false"/>
                <w:color w:val="FFEAEC"/>
                <w:sz w:val="24"/>
              </w:rPr>
              <w:t xml:space="preserve">2:00 P.M. </w:t>
            </w:r>
          </w:p>
          <w:p>
            <w:pPr>
              <w:pStyle w:val="TableContents"/>
              <w:bidi w:val="0"/>
              <w:spacing w:lineRule="atLeast" w:line="320" w:before="0" w:after="0"/>
              <w:jc w:val="left"/>
              <w:rPr>
                <w:rFonts w:ascii="Inter Light;sans-serif" w:hAnsi="Inter Light;sans-serif"/>
                <w:b w:val="false"/>
                <w:color w:val="FFEAEC"/>
                <w:sz w:val="24"/>
              </w:rPr>
            </w:pPr>
            <w:r>
              <w:rPr>
                <w:rFonts w:ascii="Inter Light;sans-serif" w:hAnsi="Inter Light;sans-serif"/>
                <w:b w:val="false"/>
                <w:color w:val="FFEAEC"/>
                <w:sz w:val="24"/>
              </w:rPr>
              <w:t>Pacific Time</w:t>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shd w:fill="FFEAEC" w:val="clear"/>
            <w:tcMar>
              <w:top w:w="0" w:type="dxa"/>
              <w:left w:w="0" w:type="dxa"/>
              <w:bottom w:w="0" w:type="dxa"/>
              <w:right w:w="0" w:type="dxa"/>
            </w:tcMar>
            <w:vAlign w:val="center"/>
          </w:tcPr>
          <w:p>
            <w:pPr>
              <w:pStyle w:val="TableContents"/>
              <w:bidi w:val="0"/>
              <w:spacing w:lineRule="atLeast" w:line="360" w:before="0" w:after="0"/>
              <w:jc w:val="left"/>
              <w:rPr>
                <w:rFonts w:ascii="Inter Medium;sans-serif" w:hAnsi="Inter Medium;sans-serif"/>
                <w:b w:val="false"/>
                <w:color w:val="690031"/>
                <w:sz w:val="28"/>
              </w:rPr>
            </w:pPr>
            <w:r>
              <w:rPr>
                <w:rFonts w:ascii="Inter Medium;sans-serif" w:hAnsi="Inter Medium;sans-serif"/>
                <w:b w:val="false"/>
                <w:color w:val="690031"/>
                <w:sz w:val="28"/>
              </w:rPr>
              <w:t>Vote by Internet</w:t>
            </w:r>
          </w:p>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at www.proxyvote.com, 24 hours a day, seven days a week, until 11:59 p.m. Eastern Time on June 15, 2025 (have your Notice or proxy card in hand when you visit the website);</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12"/>
            <w:tcBorders/>
            <w:shd w:fill="FFEAEC" w:val="clear"/>
            <w:tcMar>
              <w:top w:w="0" w:type="dxa"/>
              <w:left w:w="0" w:type="dxa"/>
              <w:bottom w:w="0" w:type="dxa"/>
              <w:right w:w="0" w:type="dxa"/>
            </w:tcMar>
            <w:vAlign w:val="center"/>
          </w:tcPr>
          <w:p>
            <w:pPr>
              <w:pStyle w:val="TableContents"/>
              <w:bidi w:val="0"/>
              <w:spacing w:lineRule="atLeast" w:line="360" w:before="0" w:after="0"/>
              <w:jc w:val="left"/>
              <w:rPr>
                <w:rFonts w:ascii="Inter Medium;sans-serif" w:hAnsi="Inter Medium;sans-serif"/>
                <w:b w:val="false"/>
                <w:color w:val="690031"/>
                <w:sz w:val="28"/>
              </w:rPr>
            </w:pPr>
            <w:r>
              <w:rPr>
                <w:rFonts w:ascii="Inter Medium;sans-serif" w:hAnsi="Inter Medium;sans-serif"/>
                <w:b w:val="false"/>
                <w:color w:val="690031"/>
                <w:sz w:val="28"/>
              </w:rPr>
              <w:t>Vote by Phone</w:t>
            </w:r>
          </w:p>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by toll-free telephone until 11:59 p.m. Eastern Time on June 15, 2025 at 1-800-690-6903 (be sure to have your Notice or proxy card in hand when you call);</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90031"/>
              <w:left w:val="single" w:sz="2" w:space="0" w:color="690031"/>
            </w:tcBorders>
            <w:shd w:fill="FFEAEC" w:val="clear"/>
            <w:tcMar>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shd w:fill="FFEAEC" w:val="clear"/>
            <w:tcMar>
              <w:top w:w="0" w:type="dxa"/>
              <w:left w:w="0" w:type="dxa"/>
              <w:bottom w:w="0" w:type="dxa"/>
              <w:right w:w="0" w:type="dxa"/>
            </w:tcMar>
            <w:vAlign w:val="center"/>
          </w:tcPr>
          <w:p>
            <w:pPr>
              <w:pStyle w:val="TableContents"/>
              <w:bidi w:val="0"/>
              <w:spacing w:lineRule="atLeast" w:line="360" w:before="0" w:after="0"/>
              <w:jc w:val="left"/>
              <w:rPr>
                <w:rFonts w:ascii="Inter Medium;sans-serif" w:hAnsi="Inter Medium;sans-serif"/>
                <w:b w:val="false"/>
                <w:color w:val="690031"/>
                <w:sz w:val="28"/>
              </w:rPr>
            </w:pPr>
            <w:r>
              <w:rPr>
                <w:rFonts w:ascii="Inter Medium;sans-serif" w:hAnsi="Inter Medium;sans-serif"/>
                <w:b w:val="false"/>
                <w:color w:val="690031"/>
                <w:sz w:val="28"/>
              </w:rPr>
              <w:t>Vote by Mail</w:t>
            </w:r>
          </w:p>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by completing and mailing your proxy card so it is received prior to the Annual Meeting (if you received printed proxy materials); or</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12"/>
            <w:tcBorders/>
            <w:shd w:fill="FFEAEC" w:val="clear"/>
            <w:tcMar>
              <w:top w:w="0" w:type="dxa"/>
              <w:left w:w="0" w:type="dxa"/>
              <w:bottom w:w="0" w:type="dxa"/>
              <w:right w:w="0" w:type="dxa"/>
            </w:tcMar>
            <w:vAlign w:val="center"/>
          </w:tcPr>
          <w:p>
            <w:pPr>
              <w:pStyle w:val="TableContents"/>
              <w:bidi w:val="0"/>
              <w:spacing w:lineRule="atLeast" w:line="360" w:before="0" w:after="0"/>
              <w:jc w:val="left"/>
              <w:rPr>
                <w:rFonts w:ascii="Inter Medium;sans-serif" w:hAnsi="Inter Medium;sans-serif"/>
                <w:b w:val="false"/>
                <w:color w:val="690031"/>
                <w:sz w:val="28"/>
              </w:rPr>
            </w:pPr>
            <w:r>
              <w:rPr>
                <w:rFonts w:ascii="Inter Medium;sans-serif" w:hAnsi="Inter Medium;sans-serif"/>
                <w:b w:val="false"/>
                <w:color w:val="690031"/>
                <w:sz w:val="28"/>
              </w:rPr>
              <w:t>Vote during the Annual Meeting</w:t>
            </w:r>
          </w:p>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by attending and voting at the virtual Annual Meeting by visiting www.virtualshareholdermeeting.com/ASAN2025, where stockholders may vote and submit questions (before and during) the Annual Meeting (have your proxy card in hand when you visit the website).</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690031"/>
            </w:tcBorders>
            <w:shd w:fill="FFEAE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360" w:after="180"/>
        <w:jc w:val="left"/>
        <w:rPr>
          <w:rFonts w:ascii="Inter SemiBold;sans-serif" w:hAnsi="Inter SemiBold;sans-serif"/>
          <w:b w:val="false"/>
          <w:color w:val="FF584A"/>
          <w:sz w:val="24"/>
        </w:rPr>
      </w:pPr>
      <w:r>
        <w:rPr>
          <w:rFonts w:ascii="Inter SemiBold;sans-serif" w:hAnsi="Inter SemiBold;sans-serif"/>
          <w:b w:val="false"/>
          <w:color w:val="FF584A"/>
          <w:sz w:val="24"/>
        </w:rPr>
        <w:t>Voting Recommendations From Our Board of Directors:</w:t>
      </w:r>
    </w:p>
    <w:tbl>
      <w:tblPr>
        <w:tblW w:w="10205" w:type="dxa"/>
        <w:jc w:val="left"/>
        <w:tblInd w:w="0" w:type="dxa"/>
        <w:tblLayout w:type="fixed"/>
        <w:tblCellMar>
          <w:top w:w="28" w:type="dxa"/>
          <w:left w:w="28" w:type="dxa"/>
          <w:bottom w:w="28" w:type="dxa"/>
          <w:right w:w="28" w:type="dxa"/>
        </w:tblCellMar>
      </w:tblPr>
      <w:tblGrid>
        <w:gridCol w:w="512"/>
        <w:gridCol w:w="450"/>
        <w:gridCol w:w="453"/>
        <w:gridCol w:w="2336"/>
        <w:gridCol w:w="1453"/>
        <w:gridCol w:w="1457"/>
        <w:gridCol w:w="895"/>
        <w:gridCol w:w="895"/>
        <w:gridCol w:w="898"/>
        <w:gridCol w:w="249"/>
        <w:gridCol w:w="249"/>
        <w:gridCol w:w="358"/>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shd w:fill="FFEAEC" w:val="clear"/>
            <w:tcMar>
              <w:top w:w="0" w:type="dxa"/>
              <w:left w:w="0" w:type="dxa"/>
              <w:bottom w:w="0" w:type="dxa"/>
              <w:right w:w="0" w:type="dxa"/>
            </w:tcMar>
            <w:vAlign w:val="center"/>
          </w:tcPr>
          <w:p>
            <w:pPr>
              <w:pStyle w:val="TableContents"/>
              <w:bidi w:val="0"/>
              <w:spacing w:lineRule="atLeast" w:line="360" w:before="0" w:after="0"/>
              <w:jc w:val="center"/>
              <w:rPr>
                <w:rFonts w:ascii="Inter Medium;sans-serif" w:hAnsi="Inter Medium;sans-serif"/>
                <w:b w:val="false"/>
                <w:color w:val="690031"/>
                <w:sz w:val="28"/>
              </w:rPr>
            </w:pPr>
            <w:r>
              <w:rPr>
                <w:rFonts w:ascii="Inter Medium;sans-serif" w:hAnsi="Inter Medium;sans-serif"/>
                <w:b w:val="false"/>
                <w:color w:val="690031"/>
                <w:sz w:val="28"/>
              </w:rPr>
              <w:t>Proposal 1</w:t>
            </w:r>
          </w:p>
        </w:tc>
        <w:tc>
          <w:tcPr>
            <w:tcW w:w="524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690031"/>
                <w:sz w:val="16"/>
              </w:rPr>
              <w:t xml:space="preserve">The election of Andrew Lindsay, Lorrie Norrington, and Justin Rosenstein as Class II directors. </w:t>
            </w:r>
            <w:r>
              <w:rPr>
                <w:rFonts w:ascii="Inter Medium;sans-serif" w:hAnsi="Inter Medium;sans-serif"/>
                <w:b w:val="false"/>
                <w:color w:val="690031"/>
                <w:sz w:val="16"/>
              </w:rPr>
              <w:t xml:space="preserve">Page </w:t>
            </w:r>
            <w:hyperlink w:anchor="i39b121e38a8e480087239f339633667c_79">
              <w:r>
                <w:rPr>
                  <w:rStyle w:val="InternetLink"/>
                  <w:rFonts w:ascii="Inter Medium;sans-serif" w:hAnsi="Inter Medium;sans-serif"/>
                  <w:b w:val="false"/>
                  <w:strike w:val="false"/>
                  <w:dstrike w:val="false"/>
                  <w:color w:val="690031"/>
                  <w:sz w:val="16"/>
                  <w:u w:val="none"/>
                  <w:effect w:val="none"/>
                </w:rPr>
                <w:t>30</w:t>
              </w:r>
            </w:hyperlink>
          </w:p>
        </w:tc>
        <w:tc>
          <w:tcPr>
            <w:tcW w:w="2688"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690031"/>
                <w:sz w:val="16"/>
              </w:rPr>
            </w:pPr>
            <w:r>
              <w:rPr>
                <w:rFonts w:ascii="Inter Light;sans-serif" w:hAnsi="Inter Light;sans-serif"/>
                <w:b w:val="false"/>
                <w:color w:val="690031"/>
                <w:sz w:val="16"/>
              </w:rPr>
              <w:t>Nominees receiving the largest number of votes “FOR” such nominees are elected as directors</w:t>
            </w:r>
          </w:p>
        </w:tc>
        <w:tc>
          <w:tcPr>
            <w:tcW w:w="856" w:type="dxa"/>
            <w:gridSpan w:val="3"/>
            <w:tcBorders/>
            <w:shd w:fill="FFEAEC" w:val="clear"/>
            <w:tcMar>
              <w:top w:w="0" w:type="dxa"/>
              <w:left w:w="0" w:type="dxa"/>
              <w:bottom w:w="0" w:type="dxa"/>
              <w:right w:w="0" w:type="dxa"/>
            </w:tcMar>
            <w:vAlign w:val="center"/>
          </w:tcPr>
          <w:p>
            <w:pPr>
              <w:pStyle w:val="TableContents"/>
              <w:bidi w:val="0"/>
              <w:spacing w:before="100" w:after="100"/>
              <w:jc w:val="center"/>
              <w:rPr/>
            </w:pPr>
            <w:r>
              <w:rPr/>
              <w:drawing>
                <wp:inline distT="0" distB="0" distL="0" distR="0">
                  <wp:extent cx="457200" cy="2381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457200" cy="238125"/>
                          </a:xfrm>
                          <a:prstGeom prst="rect">
                            <a:avLst/>
                          </a:prstGeom>
                        </pic:spPr>
                      </pic:pic>
                    </a:graphicData>
                  </a:graphic>
                </wp:inline>
              </w:drawing>
            </w:r>
          </w:p>
        </w:tc>
      </w:tr>
      <w:tr>
        <w:trPr/>
        <w:tc>
          <w:tcPr>
            <w:tcW w:w="141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0"/>
              <w:jc w:val="center"/>
              <w:rPr>
                <w:rFonts w:ascii="Inter Medium;sans-serif" w:hAnsi="Inter Medium;sans-serif"/>
                <w:b w:val="false"/>
                <w:color w:val="690031"/>
                <w:sz w:val="28"/>
              </w:rPr>
            </w:pPr>
            <w:r>
              <w:rPr>
                <w:rFonts w:ascii="Inter Medium;sans-serif" w:hAnsi="Inter Medium;sans-serif"/>
                <w:b w:val="false"/>
                <w:color w:val="690031"/>
                <w:sz w:val="28"/>
              </w:rPr>
              <w:t>Proposal 2</w:t>
            </w:r>
          </w:p>
        </w:tc>
        <w:tc>
          <w:tcPr>
            <w:tcW w:w="52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690031"/>
                <w:sz w:val="16"/>
              </w:rPr>
              <w:t xml:space="preserve">The ratification of the appointment of PricewaterhouseCoopers LLP as our independent registered public accounting firm for our fiscal year ending January 31, 2026. </w:t>
            </w:r>
            <w:r>
              <w:rPr>
                <w:rFonts w:ascii="Inter Medium;sans-serif" w:hAnsi="Inter Medium;sans-serif"/>
                <w:b w:val="false"/>
                <w:color w:val="690031"/>
                <w:sz w:val="16"/>
              </w:rPr>
              <w:t xml:space="preserve">Page </w:t>
            </w:r>
            <w:hyperlink w:anchor="i39b121e38a8e480087239f339633667c_88">
              <w:r>
                <w:rPr>
                  <w:rStyle w:val="InternetLink"/>
                  <w:rFonts w:ascii="Inter Medium;sans-serif" w:hAnsi="Inter Medium;sans-serif"/>
                  <w:b w:val="false"/>
                  <w:strike w:val="false"/>
                  <w:dstrike w:val="false"/>
                  <w:color w:val="690031"/>
                  <w:sz w:val="16"/>
                  <w:u w:val="none"/>
                  <w:effect w:val="none"/>
                </w:rPr>
                <w:t>31</w:t>
              </w:r>
            </w:hyperlink>
          </w:p>
        </w:tc>
        <w:tc>
          <w:tcPr>
            <w:tcW w:w="268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690031"/>
                <w:sz w:val="16"/>
              </w:rPr>
            </w:pPr>
            <w:r>
              <w:rPr>
                <w:rFonts w:ascii="Inter Light;sans-serif" w:hAnsi="Inter Light;sans-serif"/>
                <w:b w:val="false"/>
                <w:color w:val="690031"/>
                <w:sz w:val="16"/>
              </w:rPr>
              <w:t>Majority of votes present</w:t>
            </w:r>
          </w:p>
        </w:tc>
        <w:tc>
          <w:tcPr>
            <w:tcW w:w="856" w:type="dxa"/>
            <w:gridSpan w:val="3"/>
            <w:tcBorders>
              <w:top w:val="single" w:sz="2" w:space="0" w:color="690031"/>
            </w:tcBorders>
            <w:shd w:fill="FFEAEC" w:val="clear"/>
            <w:tcMar>
              <w:left w:w="0" w:type="dxa"/>
              <w:bottom w:w="0" w:type="dxa"/>
              <w:right w:w="0" w:type="dxa"/>
            </w:tcMar>
            <w:vAlign w:val="center"/>
          </w:tcPr>
          <w:p>
            <w:pPr>
              <w:pStyle w:val="TableContents"/>
              <w:bidi w:val="0"/>
              <w:spacing w:before="100" w:after="100"/>
              <w:jc w:val="center"/>
              <w:rPr/>
            </w:pPr>
            <w:r>
              <w:rPr/>
              <w:drawing>
                <wp:inline distT="0" distB="0" distL="0" distR="0">
                  <wp:extent cx="457200" cy="2381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457200" cy="238125"/>
                          </a:xfrm>
                          <a:prstGeom prst="rect">
                            <a:avLst/>
                          </a:prstGeom>
                        </pic:spPr>
                      </pic:pic>
                    </a:graphicData>
                  </a:graphic>
                </wp:inline>
              </w:drawing>
            </w:r>
          </w:p>
        </w:tc>
      </w:tr>
      <w:tr>
        <w:trPr/>
        <w:tc>
          <w:tcPr>
            <w:tcW w:w="141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360" w:before="0" w:after="0"/>
              <w:jc w:val="center"/>
              <w:rPr>
                <w:rFonts w:ascii="Inter Medium;sans-serif" w:hAnsi="Inter Medium;sans-serif"/>
                <w:b w:val="false"/>
                <w:color w:val="690031"/>
                <w:sz w:val="28"/>
              </w:rPr>
            </w:pPr>
            <w:r>
              <w:rPr>
                <w:rFonts w:ascii="Inter Medium;sans-serif" w:hAnsi="Inter Medium;sans-serif"/>
                <w:b w:val="false"/>
                <w:color w:val="690031"/>
                <w:sz w:val="28"/>
              </w:rPr>
              <w:t>Proposal 3</w:t>
            </w:r>
          </w:p>
        </w:tc>
        <w:tc>
          <w:tcPr>
            <w:tcW w:w="524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690031"/>
                <w:sz w:val="16"/>
              </w:rPr>
              <w:t>The approval, on an advisory basis, of the compensation of our named executive officers, or the Say-on-Pay vote.</w:t>
            </w:r>
            <w:r>
              <w:rPr>
                <w:color w:val="690031"/>
              </w:rPr>
              <w:t xml:space="preserve"> </w:t>
            </w:r>
            <w:r>
              <w:rPr>
                <w:rFonts w:ascii="Inter Medium;sans-serif" w:hAnsi="Inter Medium;sans-serif"/>
                <w:b w:val="false"/>
                <w:color w:val="690031"/>
                <w:sz w:val="16"/>
              </w:rPr>
              <w:t xml:space="preserve">Page </w:t>
            </w:r>
            <w:hyperlink w:anchor="i39b121e38a8e480087239f339633667c_106">
              <w:r>
                <w:rPr>
                  <w:rStyle w:val="InternetLink"/>
                  <w:rFonts w:ascii="Inter Medium;sans-serif" w:hAnsi="Inter Medium;sans-serif"/>
                  <w:b w:val="false"/>
                  <w:strike w:val="false"/>
                  <w:dstrike w:val="false"/>
                  <w:color w:val="690031"/>
                  <w:sz w:val="16"/>
                  <w:u w:val="none"/>
                  <w:effect w:val="none"/>
                </w:rPr>
                <w:t>34</w:t>
              </w:r>
            </w:hyperlink>
          </w:p>
        </w:tc>
        <w:tc>
          <w:tcPr>
            <w:tcW w:w="268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690031"/>
                <w:sz w:val="16"/>
              </w:rPr>
            </w:pPr>
            <w:r>
              <w:rPr>
                <w:rFonts w:ascii="Inter Light;sans-serif" w:hAnsi="Inter Light;sans-serif"/>
                <w:b w:val="false"/>
                <w:color w:val="690031"/>
                <w:sz w:val="16"/>
              </w:rPr>
              <w:t>Majority of votes present</w:t>
            </w:r>
          </w:p>
        </w:tc>
        <w:tc>
          <w:tcPr>
            <w:tcW w:w="856" w:type="dxa"/>
            <w:gridSpan w:val="3"/>
            <w:tcBorders>
              <w:top w:val="single" w:sz="2" w:space="0" w:color="690031"/>
            </w:tcBorders>
            <w:shd w:fill="FFEAEC" w:val="clear"/>
            <w:tcMar>
              <w:left w:w="0" w:type="dxa"/>
              <w:bottom w:w="0" w:type="dxa"/>
              <w:right w:w="0" w:type="dxa"/>
            </w:tcMar>
            <w:vAlign w:val="center"/>
          </w:tcPr>
          <w:p>
            <w:pPr>
              <w:pStyle w:val="TableContents"/>
              <w:bidi w:val="0"/>
              <w:spacing w:before="100" w:after="100"/>
              <w:jc w:val="center"/>
              <w:rPr/>
            </w:pPr>
            <w:r>
              <w:rPr/>
              <w:drawing>
                <wp:inline distT="0" distB="0" distL="0" distR="0">
                  <wp:extent cx="457200" cy="2381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457200" cy="238125"/>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59435"/>
                <wp:effectExtent l="0" t="0" r="0" b="0"/>
                <wp:wrapNone/>
                <wp:docPr id="11" name="Frame6"/>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720" w:before="0" w:after="0"/>
              <w:jc w:val="left"/>
              <w:rPr>
                <w:rFonts w:ascii="Inter Medium;sans-serif" w:hAnsi="Inter Medium;sans-serif"/>
                <w:b w:val="false"/>
                <w:color w:val="0D0E10"/>
                <w:sz w:val="56"/>
              </w:rPr>
            </w:pPr>
            <w:r>
              <w:rPr>
                <w:rFonts w:ascii="Inter Medium;sans-serif" w:hAnsi="Inter Medium;sans-serif"/>
                <w:b w:val="false"/>
                <w:color w:val="0D0E10"/>
                <w:sz w:val="56"/>
              </w:rPr>
              <w:t>2025 Annual Meeting of Stockholders</w:t>
            </w:r>
          </w:p>
          <w:p>
            <w:pPr>
              <w:pStyle w:val="TableContents"/>
              <w:bidi w:val="0"/>
              <w:spacing w:lineRule="atLeast" w:line="720" w:before="0" w:after="0"/>
              <w:jc w:val="left"/>
              <w:rPr>
                <w:rFonts w:ascii="Inter Light;sans-serif" w:hAnsi="Inter Light;sans-serif"/>
                <w:b w:val="false"/>
                <w:color w:val="0D0E10"/>
                <w:sz w:val="32"/>
              </w:rPr>
            </w:pPr>
            <w:r>
              <w:rPr>
                <w:rFonts w:ascii="Inter Light;sans-serif" w:hAnsi="Inter Light;sans-serif"/>
                <w:b w:val="false"/>
                <w:color w:val="0D0E10"/>
                <w:sz w:val="32"/>
              </w:rPr>
              <w:t>Monday, June 16, 2025 at 2:00 P.M. Pacific Time</w:t>
            </w:r>
          </w:p>
        </w:tc>
      </w:tr>
    </w:tbl>
    <w:p>
      <w:pPr>
        <w:pStyle w:val="TextBody"/>
        <w:bidi w:val="0"/>
        <w:spacing w:lineRule="atLeast" w:line="260" w:before="0" w:after="180"/>
        <w:jc w:val="left"/>
        <w:rPr/>
      </w:pPr>
      <w:r>
        <w:rPr>
          <w:rFonts w:ascii="Inter Light;sans-serif" w:hAnsi="Inter Light;sans-serif"/>
          <w:b w:val="false"/>
          <w:color w:val="000000"/>
          <w:sz w:val="18"/>
        </w:rPr>
        <w:t xml:space="preserve">This proxy statement and the enclosed form of proxy are being provided to you in connection with the solicitation of proxies by our board of directors, referred to as the Board of Directors or the Board, for use at the 2025 annual meeting of stockholders of Asana, Inc., a Delaware corporation, referred to as the Company or Asana, and any postponements, adjournments, or continuations thereof, referred to as the Annual Meeting. The Annual Meeting will be held as a virtual meeting on Monday, June 16, 2025 at 2:00 p.m. Pacific Time via a live audio webcast on the internet at </w:t>
      </w:r>
      <w:r>
        <w:rPr>
          <w:rFonts w:ascii="Inter Light;sans-serif" w:hAnsi="Inter Light;sans-serif"/>
          <w:b w:val="false"/>
          <w:color w:val="FF584A"/>
          <w:sz w:val="18"/>
          <w:u w:val="single"/>
        </w:rPr>
        <w:t>www.virtualshareholdermeeting</w:t>
        <w:br/>
        <w:t>.com/ASAN2025</w:t>
      </w:r>
      <w:r>
        <w:rPr>
          <w:color w:val="000000"/>
        </w:rPr>
        <w:t xml:space="preserve"> </w:t>
      </w:r>
      <w:r>
        <w:rPr>
          <w:rFonts w:ascii="Inter Light;sans-serif" w:hAnsi="Inter Light;sans-serif"/>
          <w:b w:val="false"/>
          <w:color w:val="000000"/>
          <w:sz w:val="18"/>
        </w:rPr>
        <w:t>where you will be able to listen to the meeting, submit questions, and vote online. The Notice of Internet Availability of Proxy Materials, or the Notice, containing instructions on how to access this proxy statement and our annual report is first being mailed on or about April 30, 2025 to all stockholders entitled to vote at the Annual Meeting.</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 list of stockholders entitled to vote will be available for 10 days prior to the Annual Meeting at our headquarters, 633 Folsom Street, Suite 100, San Francisco, California 94107. If you would like to view the stockholder list, please contact our Investor Relations department with an electronic mail, or e-mail, message to ir@asana.com to schedule an appointment.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Questions and Answers Regarding this Solicitation and Voting at the Annual Meeting</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What matters am I voting on?</w:t>
      </w:r>
    </w:p>
    <w:p>
      <w:pPr>
        <w:pStyle w:val="TextBody"/>
        <w:bidi w:val="0"/>
        <w:spacing w:lineRule="atLeast" w:line="260" w:before="0" w:after="120"/>
        <w:jc w:val="left"/>
        <w:rPr>
          <w:rFonts w:ascii="Inter SemiBold;sans-serif" w:hAnsi="Inter SemiBold;sans-serif"/>
          <w:b/>
          <w:color w:val="000000"/>
          <w:sz w:val="18"/>
        </w:rPr>
      </w:pPr>
      <w:r>
        <w:rPr>
          <w:rFonts w:ascii="Inter SemiBold;sans-serif" w:hAnsi="Inter SemiBold;sans-serif"/>
          <w:b/>
          <w:color w:val="000000"/>
          <w:sz w:val="18"/>
        </w:rPr>
        <w:t>You will be voting on:</w:t>
      </w:r>
    </w:p>
    <w:p>
      <w:pPr>
        <w:pStyle w:val="TextBody"/>
        <w:bidi w:val="0"/>
        <w:spacing w:lineRule="atLeast" w:line="260" w:before="0" w:after="120"/>
        <w:ind w:left="0" w:right="0" w:hanging="270"/>
        <w:jc w:val="left"/>
        <w:rPr>
          <w:rFonts w:ascii="Inter Light;sans-serif" w:hAnsi="Inter Light;sans-serif"/>
          <w:b w:val="false"/>
          <w:color w:val="0D0E10"/>
          <w:sz w:val="18"/>
        </w:rPr>
      </w:pPr>
      <w:r>
        <w:rPr>
          <w:rFonts w:ascii="Inter Light;sans-serif" w:hAnsi="Inter Light;sans-serif"/>
          <w:b w:val="false"/>
          <w:color w:val="0D0E10"/>
          <w:sz w:val="18"/>
        </w:rPr>
        <w:t>1.the election of the three nominees for Class II directors to serve on our board of directors until our 2028 annual meeting of stockholders and until their successors are duly elected and qualified;</w:t>
      </w:r>
    </w:p>
    <w:p>
      <w:pPr>
        <w:pStyle w:val="TextBody"/>
        <w:bidi w:val="0"/>
        <w:spacing w:lineRule="atLeast" w:line="260" w:before="0" w:after="120"/>
        <w:ind w:left="0" w:right="0" w:hanging="270"/>
        <w:jc w:val="left"/>
        <w:rPr>
          <w:rFonts w:ascii="Inter Light;sans-serif" w:hAnsi="Inter Light;sans-serif"/>
          <w:b w:val="false"/>
          <w:color w:val="0D0E10"/>
          <w:sz w:val="18"/>
        </w:rPr>
      </w:pPr>
      <w:r>
        <w:rPr>
          <w:rFonts w:ascii="Inter Light;sans-serif" w:hAnsi="Inter Light;sans-serif"/>
          <w:b w:val="false"/>
          <w:color w:val="0D0E10"/>
          <w:sz w:val="18"/>
        </w:rPr>
        <w:t xml:space="preserve">2.the ratification of the selection of PricewaterhouseCoopers LLP by the Audit Committee of our Board of Directors as our independent registered public accounting firm for our fiscal year ending January 31, 2026; </w:t>
      </w:r>
    </w:p>
    <w:p>
      <w:pPr>
        <w:pStyle w:val="TextBody"/>
        <w:bidi w:val="0"/>
        <w:spacing w:lineRule="atLeast" w:line="260" w:before="0" w:after="120"/>
        <w:ind w:left="0" w:right="0" w:hanging="270"/>
        <w:jc w:val="left"/>
        <w:rPr>
          <w:rFonts w:ascii="Inter Light;sans-serif" w:hAnsi="Inter Light;sans-serif"/>
          <w:b w:val="false"/>
          <w:color w:val="0D0E10"/>
          <w:sz w:val="18"/>
        </w:rPr>
      </w:pPr>
      <w:r>
        <w:rPr>
          <w:rFonts w:ascii="Inter Light;sans-serif" w:hAnsi="Inter Light;sans-serif"/>
          <w:b w:val="false"/>
          <w:color w:val="0D0E10"/>
          <w:sz w:val="18"/>
        </w:rPr>
        <w:t>3.the advisory approval of the compensation of our named executive officers; and</w:t>
      </w:r>
    </w:p>
    <w:p>
      <w:pPr>
        <w:pStyle w:val="TextBody"/>
        <w:bidi w:val="0"/>
        <w:spacing w:lineRule="atLeast" w:line="260" w:before="0" w:after="120"/>
        <w:ind w:left="0" w:right="0" w:hanging="270"/>
        <w:jc w:val="left"/>
        <w:rPr>
          <w:rFonts w:ascii="Inter Light;sans-serif" w:hAnsi="Inter Light;sans-serif"/>
          <w:b w:val="false"/>
          <w:color w:val="0D0E10"/>
          <w:sz w:val="18"/>
        </w:rPr>
      </w:pPr>
      <w:r>
        <w:rPr>
          <w:rFonts w:ascii="Inter Light;sans-serif" w:hAnsi="Inter Light;sans-serif"/>
          <w:b w:val="false"/>
          <w:color w:val="0D0E10"/>
          <w:sz w:val="18"/>
        </w:rPr>
        <w:t>4.any other business as may properly come before the Annual Meeting or any adjournments or postponements thereof.</w:t>
      </w:r>
    </w:p>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How does the Board of Directors recommend I vote on these proposals?</w:t>
      </w:r>
    </w:p>
    <w:p>
      <w:pPr>
        <w:pStyle w:val="TextBody"/>
        <w:bidi w:val="0"/>
        <w:spacing w:lineRule="atLeast" w:line="260" w:before="0" w:after="120"/>
        <w:jc w:val="left"/>
        <w:rPr>
          <w:rFonts w:ascii="Inter SemiBold;sans-serif" w:hAnsi="Inter SemiBold;sans-serif"/>
          <w:b/>
          <w:color w:val="000000"/>
          <w:sz w:val="18"/>
        </w:rPr>
      </w:pPr>
      <w:r>
        <w:rPr>
          <w:rFonts w:ascii="Inter SemiBold;sans-serif" w:hAnsi="Inter SemiBold;sans-serif"/>
          <w:b/>
          <w:color w:val="000000"/>
          <w:sz w:val="18"/>
        </w:rPr>
        <w:t>Our Board of Directors recommends a vote:</w:t>
      </w:r>
    </w:p>
    <w:p>
      <w:pPr>
        <w:pStyle w:val="TextBody"/>
        <w:bidi w:val="0"/>
        <w:spacing w:lineRule="atLeast" w:line="260" w:before="0" w:after="120"/>
        <w:ind w:left="0" w:right="0" w:hanging="270"/>
        <w:jc w:val="left"/>
        <w:rPr/>
      </w:pPr>
      <w:r>
        <w:rPr>
          <w:color w:val="0D0E10"/>
        </w:rPr>
        <w:t>•“</w:t>
      </w:r>
      <w:r>
        <w:rPr>
          <w:rFonts w:ascii="Inter SemiBold;sans-serif" w:hAnsi="Inter SemiBold;sans-serif"/>
          <w:b/>
          <w:color w:val="0D0E10"/>
          <w:sz w:val="18"/>
        </w:rPr>
        <w:t>FOR</w:t>
      </w:r>
      <w:r>
        <w:rPr>
          <w:color w:val="0D0E10"/>
        </w:rPr>
        <w:t xml:space="preserve">” </w:t>
      </w:r>
      <w:r>
        <w:rPr>
          <w:rFonts w:ascii="Inter Light;sans-serif" w:hAnsi="Inter Light;sans-serif"/>
          <w:b w:val="false"/>
          <w:color w:val="0D0E10"/>
          <w:sz w:val="18"/>
        </w:rPr>
        <w:t xml:space="preserve">the election of Andrew Lindsay, Lorrie Norrington, and Justin Rosenstein as Class II directors to serve on our board of directors until our 2028 annual meeting of stockholders and until their successors are duly elected and qualified; </w:t>
      </w:r>
    </w:p>
    <w:p>
      <w:pPr>
        <w:pStyle w:val="TextBody"/>
        <w:bidi w:val="0"/>
        <w:spacing w:lineRule="atLeast" w:line="260" w:before="0" w:after="120"/>
        <w:ind w:left="0" w:right="0" w:hanging="270"/>
        <w:jc w:val="left"/>
        <w:rPr/>
      </w:pPr>
      <w:r>
        <w:rPr>
          <w:color w:val="0D0E10"/>
        </w:rPr>
        <w:t>•“</w:t>
      </w:r>
      <w:r>
        <w:rPr>
          <w:rFonts w:ascii="Inter SemiBold;sans-serif" w:hAnsi="Inter SemiBold;sans-serif"/>
          <w:b/>
          <w:color w:val="0D0E10"/>
          <w:sz w:val="18"/>
        </w:rPr>
        <w:t>FOR</w:t>
      </w:r>
      <w:r>
        <w:rPr>
          <w:color w:val="0D0E10"/>
        </w:rPr>
        <w:t xml:space="preserve">” </w:t>
      </w:r>
      <w:r>
        <w:rPr>
          <w:rFonts w:ascii="Inter Light;sans-serif" w:hAnsi="Inter Light;sans-serif"/>
          <w:b w:val="false"/>
          <w:color w:val="0D0E10"/>
          <w:sz w:val="18"/>
        </w:rPr>
        <w:t>the ratification of the appointment of PricewaterhouseCoopers LLP as our independent registered public accounting firm for our fiscal year ending January 31, 2026; and</w:t>
      </w:r>
    </w:p>
    <w:p>
      <w:pPr>
        <w:pStyle w:val="TextBody"/>
        <w:bidi w:val="0"/>
        <w:spacing w:lineRule="atLeast" w:line="260" w:before="0" w:after="120"/>
        <w:ind w:left="0" w:right="0" w:hanging="270"/>
        <w:jc w:val="left"/>
        <w:rPr/>
      </w:pPr>
      <w:r>
        <w:rPr>
          <w:color w:val="0D0E10"/>
        </w:rPr>
        <w:t>•“</w:t>
      </w:r>
      <w:r>
        <w:rPr>
          <w:rFonts w:ascii="Inter SemiBold;sans-serif" w:hAnsi="Inter SemiBold;sans-serif"/>
          <w:b/>
          <w:color w:val="0D0E10"/>
          <w:sz w:val="18"/>
        </w:rPr>
        <w:t>FOR</w:t>
      </w:r>
      <w:r>
        <w:rPr>
          <w:color w:val="0D0E10"/>
        </w:rPr>
        <w:t xml:space="preserve">” </w:t>
      </w:r>
      <w:r>
        <w:rPr>
          <w:rFonts w:ascii="Inter Light;sans-serif" w:hAnsi="Inter Light;sans-serif"/>
          <w:b w:val="false"/>
          <w:color w:val="0D0E10"/>
          <w:sz w:val="18"/>
        </w:rPr>
        <w:t>the advisory approval of the compensation of our named executive officers, or Say-on-Pay, for our fiscal year ended January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39140"/>
                <wp:effectExtent l="0" t="0" r="0" b="0"/>
                <wp:wrapNone/>
                <wp:docPr id="12"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3944" w:type="dxa"/>
        <w:jc w:val="left"/>
        <w:tblInd w:w="0" w:type="dxa"/>
        <w:tblLayout w:type="fixed"/>
        <w:tblCellMar>
          <w:top w:w="28" w:type="dxa"/>
          <w:left w:w="28" w:type="dxa"/>
          <w:bottom w:w="28" w:type="dxa"/>
          <w:right w:w="28" w:type="dxa"/>
        </w:tblCellMar>
      </w:tblPr>
      <w:tblGrid>
        <w:gridCol w:w="575"/>
        <w:gridCol w:w="505"/>
        <w:gridCol w:w="509"/>
        <w:gridCol w:w="690"/>
        <w:gridCol w:w="690"/>
        <w:gridCol w:w="97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35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Questions and Answers</w:t>
            </w:r>
          </w:p>
        </w:tc>
      </w:tr>
    </w:tbl>
    <w:p>
      <w:pPr>
        <w:pStyle w:val="TextBody"/>
        <w:bidi w:val="0"/>
        <w:spacing w:lineRule="atLeast" w:line="300" w:before="240" w:after="180"/>
        <w:jc w:val="left"/>
        <w:rPr>
          <w:rFonts w:ascii="Inter SemiBold;sans-serif" w:hAnsi="Inter SemiBold;sans-serif"/>
          <w:b/>
          <w:color w:val="690031"/>
          <w:sz w:val="22"/>
        </w:rPr>
      </w:pPr>
      <w:r>
        <w:rPr>
          <w:rFonts w:ascii="Inter SemiBold;sans-serif" w:hAnsi="Inter SemiBold;sans-serif"/>
          <w:b/>
          <w:color w:val="690031"/>
          <w:sz w:val="22"/>
        </w:rPr>
        <w:t>Who is entitled to vote?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Holders of either class of our common stock as of the close of business on April 21, 2025, the Record Date, may vote at the Annual Meeting. As of the Record Date, there were 155,868,521 shares of our Class A common stock outstanding and 79,561,680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our Class A common stock is entitled to one vote on each proposal and each share of our Class B common stock is entitled to 10 votes on each proposal. Our Class A common stock and Class B common stock are collectively referred to in this proxy statement as our common stock.</w:t>
      </w:r>
    </w:p>
    <w:p>
      <w:pPr>
        <w:pStyle w:val="TextBody"/>
        <w:bidi w:val="0"/>
        <w:spacing w:lineRule="atLeast" w:line="260" w:before="0" w:after="180"/>
        <w:jc w:val="left"/>
        <w:rPr/>
      </w:pPr>
      <w:r>
        <w:rPr>
          <w:rFonts w:ascii="Inter SemiBold;sans-serif" w:hAnsi="Inter SemiBold;sans-serif"/>
          <w:b/>
          <w:color w:val="000000"/>
          <w:sz w:val="18"/>
        </w:rPr>
        <w:t>Registered Stockholders.</w:t>
      </w:r>
      <w:r>
        <w:rPr>
          <w:color w:val="000000"/>
        </w:rPr>
        <w:t xml:space="preserve"> </w:t>
      </w:r>
      <w:r>
        <w:rPr>
          <w:rFonts w:ascii="Inter Light;sans-serif" w:hAnsi="Inter Light;sans-serif"/>
          <w:b w:val="false"/>
          <w:color w:val="000000"/>
          <w:sz w:val="18"/>
        </w:rPr>
        <w:t>If shares of our common stock are registered directly in your name with our transfer agent, Computershare Trust Company, N.A.,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collectively as “stockholders of record.”</w:t>
      </w:r>
    </w:p>
    <w:p>
      <w:pPr>
        <w:pStyle w:val="TextBody"/>
        <w:bidi w:val="0"/>
        <w:spacing w:lineRule="atLeast" w:line="260" w:before="0" w:after="180"/>
        <w:jc w:val="left"/>
        <w:rPr/>
      </w:pPr>
      <w:r>
        <w:rPr>
          <w:rFonts w:ascii="Inter SemiBold;sans-serif" w:hAnsi="Inter SemiBold;sans-serif"/>
          <w:b/>
          <w:color w:val="000000"/>
          <w:sz w:val="18"/>
        </w:rPr>
        <w:t>Street Name Stockholders.</w:t>
      </w:r>
      <w:r>
        <w:rPr>
          <w:color w:val="000000"/>
        </w:rPr>
        <w:t xml:space="preserve"> </w:t>
      </w:r>
      <w:r>
        <w:rPr>
          <w:rFonts w:ascii="Inter Light;sans-serif" w:hAnsi="Inter Light;sans-serif"/>
          <w:b w:val="false"/>
          <w:color w:val="000000"/>
          <w:sz w:val="18"/>
        </w:rPr>
        <w:t>If shares of our common stock are held on your behalf in a brokerage account or by a bank or other nominee, you are 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collectively as “street name stockholders.”</w:t>
      </w:r>
    </w:p>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 xml:space="preserve">How many votes are needed for approval of each proposal? </w:t>
      </w:r>
    </w:p>
    <w:p>
      <w:pPr>
        <w:pStyle w:val="TextBody"/>
        <w:bidi w:val="0"/>
        <w:spacing w:lineRule="atLeast" w:line="260" w:before="0" w:after="120"/>
        <w:ind w:left="0" w:right="0" w:hanging="270"/>
        <w:jc w:val="left"/>
        <w:rPr/>
      </w:pPr>
      <w:r>
        <w:rPr>
          <w:color w:val="0D0E10"/>
        </w:rPr>
        <w:t>•</w:t>
      </w:r>
      <w:r>
        <w:rPr>
          <w:rFonts w:ascii="Inter SemiBold;sans-serif" w:hAnsi="Inter SemiBold;sans-serif"/>
          <w:b/>
          <w:color w:val="0D0E10"/>
          <w:sz w:val="18"/>
        </w:rPr>
        <w:t>Proposal No. 1.</w:t>
      </w:r>
      <w:r>
        <w:rPr>
          <w:color w:val="0D0E10"/>
        </w:rPr>
        <w:t xml:space="preserve"> </w:t>
      </w:r>
      <w:r>
        <w:rPr>
          <w:rFonts w:ascii="Inter Light;sans-serif" w:hAnsi="Inter Light;sans-serif"/>
          <w:b w:val="false"/>
          <w:color w:val="0D0E10"/>
          <w:sz w:val="18"/>
        </w:rPr>
        <w:t>The election of directors requires a plurality of the voting power of the shares of our common stock present in person or by proxy at the 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each have no effect on the outcome of this proposal.</w:t>
      </w:r>
    </w:p>
    <w:p>
      <w:pPr>
        <w:pStyle w:val="TextBody"/>
        <w:bidi w:val="0"/>
        <w:spacing w:lineRule="atLeast" w:line="260" w:before="0" w:after="120"/>
        <w:ind w:left="0" w:right="0" w:hanging="270"/>
        <w:jc w:val="left"/>
        <w:rPr/>
      </w:pPr>
      <w:r>
        <w:rPr>
          <w:color w:val="0D0E10"/>
        </w:rPr>
        <w:t>•</w:t>
      </w:r>
      <w:r>
        <w:rPr>
          <w:rFonts w:ascii="Inter SemiBold;sans-serif" w:hAnsi="Inter SemiBold;sans-serif"/>
          <w:b/>
          <w:color w:val="0D0E10"/>
          <w:sz w:val="18"/>
        </w:rPr>
        <w:t>Proposal No. 2.</w:t>
      </w:r>
      <w:r>
        <w:rPr>
          <w:color w:val="0D0E10"/>
        </w:rPr>
        <w:t xml:space="preserve"> </w:t>
      </w:r>
      <w:r>
        <w:rPr>
          <w:rFonts w:ascii="Inter Light;sans-serif" w:hAnsi="Inter Light;sans-serif"/>
          <w:b w:val="false"/>
          <w:color w:val="0D0E10"/>
          <w:sz w:val="18"/>
        </w:rPr>
        <w:t>The ratification of the appointment of PricewaterhouseCoopers LLP as our independent registered public accounting firm for our fiscal year ending January 31, 2026 requires the affirmative vote of a majority of the voting power of the shares of our common stock entitled to vote thereon that are present in person or by proxy at the Annual Meeting and are voted for or against the proposal to be approved. Abstentions and broker non-votes will each have no effect on the outcome of this proposal.</w:t>
      </w:r>
    </w:p>
    <w:p>
      <w:pPr>
        <w:pStyle w:val="TextBody"/>
        <w:bidi w:val="0"/>
        <w:spacing w:lineRule="atLeast" w:line="260" w:before="0" w:after="100"/>
        <w:ind w:left="0" w:right="0" w:hanging="270"/>
        <w:jc w:val="left"/>
        <w:rPr/>
      </w:pPr>
      <w:r>
        <w:rPr>
          <w:color w:val="0D0E10"/>
        </w:rPr>
        <w:t>•</w:t>
      </w:r>
      <w:r>
        <w:rPr>
          <w:rFonts w:ascii="Inter SemiBold;sans-serif" w:hAnsi="Inter SemiBold;sans-serif"/>
          <w:b/>
          <w:color w:val="0D0E10"/>
          <w:sz w:val="18"/>
        </w:rPr>
        <w:t>Proposal No. 3.</w:t>
      </w:r>
      <w:r>
        <w:rPr>
          <w:color w:val="0D0E10"/>
        </w:rPr>
        <w:t xml:space="preserve"> </w:t>
      </w:r>
      <w:r>
        <w:rPr>
          <w:rFonts w:ascii="Inter Light;sans-serif" w:hAnsi="Inter Light;sans-serif"/>
          <w:b w:val="false"/>
          <w:color w:val="0D0E10"/>
          <w:sz w:val="18"/>
        </w:rPr>
        <w:t>This non-binding advisory vote to approve the compensation of the named executive officers, or Say-on-Pay, requires the affirmative vote of a majority of the voting power of the shares of our common stock entitled to vote thereon that are present in person or by proxy at the Annual Meeting and are voted for or against the proposal to be approved. Abstentions and broker non-votes will each have no effect on the outcome of this proposal. As an advisory vote, this proposal is not binding upon the Company, our Board, or our Compensation Committee. Notwithstanding the advisory nature of this vote, our Board and our Compensation Committee, which is responsible for designing and approving our named executive officer compensation program, value the opinions expressed by our stockholders in their vote on this proposal and will consider the outcome of the vote when making future compensation decisions for our named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59435"/>
                <wp:effectExtent l="0" t="0" r="0" b="0"/>
                <wp:wrapNone/>
                <wp:docPr id="13" name="Frame8"/>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w:t>
                            </w:r>
                          </w:p>
                        </w:tc>
                      </w:tr>
                    </w:tbl>
                    <w:p>
                      <w:pPr>
                        <w:pStyle w:val="TextBody"/>
                        <w:bidi w:val="0"/>
                        <w:spacing w:before="0" w:after="283"/>
                        <w:jc w:val="left"/>
                        <w:rPr/>
                      </w:pPr>
                      <w:r>
                        <w:rPr/>
                      </w:r>
                    </w:p>
                  </w:txbxContent>
                </v:textbox>
                <w10:wrap type="none"/>
              </v:rect>
            </w:pict>
          </mc:Fallback>
        </mc:AlternateContent>
      </w:r>
    </w:p>
    <w:tbl>
      <w:tblPr>
        <w:tblW w:w="3944" w:type="dxa"/>
        <w:jc w:val="left"/>
        <w:tblInd w:w="0" w:type="dxa"/>
        <w:tblLayout w:type="fixed"/>
        <w:tblCellMar>
          <w:top w:w="28" w:type="dxa"/>
          <w:left w:w="28" w:type="dxa"/>
          <w:bottom w:w="28" w:type="dxa"/>
          <w:right w:w="28" w:type="dxa"/>
        </w:tblCellMar>
      </w:tblPr>
      <w:tblGrid>
        <w:gridCol w:w="842"/>
        <w:gridCol w:w="739"/>
        <w:gridCol w:w="744"/>
        <w:gridCol w:w="474"/>
        <w:gridCol w:w="474"/>
        <w:gridCol w:w="671"/>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Questions and Answers</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00" w:before="240" w:after="180"/>
        <w:jc w:val="left"/>
        <w:rPr>
          <w:rFonts w:ascii="Inter SemiBold;sans-serif" w:hAnsi="Inter SemiBold;sans-serif"/>
          <w:b/>
          <w:color w:val="690031"/>
          <w:sz w:val="22"/>
        </w:rPr>
      </w:pPr>
      <w:r>
        <w:rPr>
          <w:rFonts w:ascii="Inter SemiBold;sans-serif" w:hAnsi="Inter SemiBold;sans-serif"/>
          <w:b/>
          <w:color w:val="690031"/>
          <w:sz w:val="22"/>
        </w:rPr>
        <w:t xml:space="preserve">What is a quorum?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 quorum is the minimum number of shares required to be present at the Annual Meeting to properly hold an annual meeting of stockholders and conduct business under our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How do I vote? </w:t>
      </w:r>
    </w:p>
    <w:p>
      <w:pPr>
        <w:pStyle w:val="TextBody"/>
        <w:bidi w:val="0"/>
        <w:spacing w:lineRule="atLeast" w:line="260" w:before="0" w:after="180"/>
        <w:jc w:val="left"/>
        <w:rPr>
          <w:rFonts w:ascii="Inter SemiBold;sans-serif" w:hAnsi="Inter SemiBold;sans-serif"/>
          <w:b/>
          <w:color w:val="000000"/>
          <w:sz w:val="18"/>
        </w:rPr>
      </w:pPr>
      <w:r>
        <w:rPr>
          <w:rFonts w:ascii="Inter SemiBold;sans-serif" w:hAnsi="Inter SemiBold;sans-serif"/>
          <w:b/>
          <w:color w:val="000000"/>
          <w:sz w:val="18"/>
        </w:rPr>
        <w:t>If you are a stockholder of record, there are four ways to vote:</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 xml:space="preserve">by Internet at </w:t>
      </w:r>
      <w:r>
        <w:rPr>
          <w:rFonts w:ascii="Inter Light;sans-serif" w:hAnsi="Inter Light;sans-serif"/>
          <w:b w:val="false"/>
          <w:color w:val="FF584A"/>
          <w:sz w:val="18"/>
          <w:u w:val="single"/>
        </w:rPr>
        <w:t>www.proxyvote.com</w:t>
      </w:r>
      <w:r>
        <w:rPr>
          <w:rFonts w:ascii="Inter Light;sans-serif" w:hAnsi="Inter Light;sans-serif"/>
          <w:b w:val="false"/>
          <w:color w:val="0D0E10"/>
          <w:sz w:val="18"/>
        </w:rPr>
        <w:t>, 24 hours a day, seven days a week, until 11:59 p.m. Eastern Time on June 15, 2025 (have your Notice or proxy card in hand when you visit the website);</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by toll-free telephone until 11:59 p.m. Eastern Time on June 15, 2025 at 1-800-690-6903 (have your Notice or proxy card in hand when you call);</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by completing and mailing your proxy card so it is received prior to the Annual Meeting (if you received printed proxy materials); or</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by attending and voting at the Annual Meeting by visiting www.virtualshareholdermeeting.com/ASAN2025, where stockholders may vote and submit questions (before and during) the Annual Meeting (have your proxy card in hand when you visit the website).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Even if you plan to attend the Annual Meeting, we recommend that you also vote by proxy prior to the Annual Meeting so that your vote will be counted if you later decide not to attend the Annual Meeting.</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Can I change my vote?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Yes. If you are a stockholder of record, you can change your vote or revoke your proxy any time before the Annual Meeting by:</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entering a new vote by Internet at www.proxyvote.com or by telephone at 1-800-690-6903 until 11:59 p.m. Eastern Time on June 15, 2025;</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completing and returning a later-dated proxy card; or</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attending and voting at the Annual Meeting (although attendance at the Annual Meeting will not, by itself, revoke a proxy).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you are a street name stockholder, your broker, bank, or other nominee can provide you with instructions on how to change your vote.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How do I attend the Annual Meeting? </w:t>
      </w:r>
    </w:p>
    <w:p>
      <w:pPr>
        <w:pStyle w:val="TextBody"/>
        <w:bidi w:val="0"/>
        <w:spacing w:lineRule="atLeast" w:line="260" w:before="0" w:after="180"/>
        <w:jc w:val="left"/>
        <w:rPr/>
      </w:pPr>
      <w:r>
        <w:rPr>
          <w:rFonts w:ascii="Inter Light;sans-serif" w:hAnsi="Inter Light;sans-serif"/>
          <w:b w:val="false"/>
          <w:color w:val="000000"/>
          <w:sz w:val="18"/>
        </w:rPr>
        <w:t xml:space="preserve">You will be able to attend the Annual Meeting online, submit your questions during the meeting, and vote your shares electronically at the Annual Meeting by visiting </w:t>
      </w:r>
      <w:r>
        <w:rPr>
          <w:rFonts w:ascii="Inter Light;sans-serif" w:hAnsi="Inter Light;sans-serif"/>
          <w:b w:val="false"/>
          <w:color w:val="FF584A"/>
          <w:sz w:val="18"/>
          <w:u w:val="single"/>
        </w:rPr>
        <w:t>www.virtualshareholdermeeting.com/ASAN2025</w:t>
      </w:r>
      <w:r>
        <w:rPr>
          <w:rFonts w:ascii="Inter Light;sans-serif" w:hAnsi="Inter Light;sans-serif"/>
          <w:b w:val="false"/>
          <w:color w:val="000000"/>
          <w:sz w:val="18"/>
        </w:rPr>
        <w:t>. To participate in the Annual Meeting online, you will need the control number included on your proxy card. The Annual Meeting webcast will begin promptly at 2:00 p.m. Pacific Time on June 16, 2025. We encourage you to access the meeting prior to the start time. Online check-in will begin at 1:55 p.m. Pacific Time and you should allow sufficient time for the check-in procedures.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What is the effect of giving a proxy?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Proxies are solicited by and on behalf of our Board of Directors. Dustin Moskovitz, Sonalee Parekh, and Eleanor Lacey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postponed or prematurely adjourned, the proxy holders can vote the shares represented by proxies on the new Annual Meeting date as well, unless you have properly revoked your proxy instructions,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9140"/>
                <wp:effectExtent l="0" t="0" r="0" b="0"/>
                <wp:wrapNone/>
                <wp:docPr id="14"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3944" w:type="dxa"/>
        <w:jc w:val="left"/>
        <w:tblInd w:w="0" w:type="dxa"/>
        <w:tblLayout w:type="fixed"/>
        <w:tblCellMar>
          <w:top w:w="28" w:type="dxa"/>
          <w:left w:w="28" w:type="dxa"/>
          <w:bottom w:w="28" w:type="dxa"/>
          <w:right w:w="28" w:type="dxa"/>
        </w:tblCellMar>
      </w:tblPr>
      <w:tblGrid>
        <w:gridCol w:w="575"/>
        <w:gridCol w:w="505"/>
        <w:gridCol w:w="509"/>
        <w:gridCol w:w="690"/>
        <w:gridCol w:w="690"/>
        <w:gridCol w:w="97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35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Questions and Answers</w:t>
            </w:r>
          </w:p>
        </w:tc>
      </w:tr>
    </w:tbl>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Why did I receive a Notice of Internet Availability of Proxy Materials instead of a full set of proxy materials?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accordance with the rules of the Securities and Exchange Commission, or the SEC, we have elected to furnish our proxy materials, including this proxy statement and our annual report, primarily via the Internet. The Notice containing instructions on how to access our proxy materials is first being mailed on or about April 30, 2025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How are proxies solicited for the Annual Meeting?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How may my brokerage firm or other intermediary vote my shares if I fail to provide timely directions?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PricewaterhouseCoopers LLP as our independent registered public accounting firm for our fiscal year ending January 31, 2026. Your broker will not have discretion to vote on any other proposals, which are “non-routine” matters, absent direction from you.</w:t>
      </w:r>
    </w:p>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 xml:space="preserve">Where can I find the voting results of the Annual Meeting?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I share an address with another stockholder, and we received only one paper copy of the proxy materials. How may I obtain an additional copy of the proxy materials?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promptly deliver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tbl>
      <w:tblPr>
        <w:tblW w:w="3684" w:type="dxa"/>
        <w:jc w:val="left"/>
        <w:tblInd w:w="0" w:type="dxa"/>
        <w:tblLayout w:type="fixed"/>
        <w:tblCellMar>
          <w:top w:w="28" w:type="dxa"/>
          <w:left w:w="28" w:type="dxa"/>
          <w:bottom w:w="28" w:type="dxa"/>
          <w:right w:w="28" w:type="dxa"/>
        </w:tblCellMar>
      </w:tblPr>
      <w:tblGrid>
        <w:gridCol w:w="124"/>
        <w:gridCol w:w="109"/>
        <w:gridCol w:w="109"/>
        <w:gridCol w:w="989"/>
        <w:gridCol w:w="989"/>
        <w:gridCol w:w="9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lineRule="atLeast" w:line="260" w:before="0" w:after="0"/>
              <w:jc w:val="center"/>
              <w:rPr/>
            </w:pPr>
            <w:r>
              <w:rPr>
                <w:rFonts w:ascii="Inter Medium;sans-serif" w:hAnsi="Inter Medium;sans-serif"/>
                <w:b/>
                <w:color w:val="690031"/>
                <w:sz w:val="18"/>
              </w:rPr>
              <w:t>Asana, Inc.</w:t>
            </w:r>
            <w:r>
              <w:rPr>
                <w:rFonts w:ascii="Inter Medium;sans-serif" w:hAnsi="Inter Medium;sans-serif"/>
                <w:b w:val="false"/>
                <w:color w:val="690031"/>
                <w:sz w:val="18"/>
              </w:rPr>
              <w:br/>
            </w:r>
            <w:r>
              <w:rPr>
                <w:rFonts w:ascii="Inter Light;sans-serif" w:hAnsi="Inter Light;sans-serif"/>
                <w:b w:val="false"/>
                <w:color w:val="690031"/>
                <w:sz w:val="18"/>
              </w:rPr>
              <w:t>Attention: Investor Relations</w:t>
              <w:br/>
              <w:t>633 Folsom Street, Suite 100</w:t>
              <w:br/>
              <w:t>San Francisco, California 94107</w:t>
              <w:br/>
              <w:t>Tel: 1-646-854-4063</w:t>
              <w:br/>
              <w:t>Email: ir@asana.com</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Street name stockholders may contact their broker, bank, or other nominee to request information about householding.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59435"/>
                <wp:effectExtent l="0" t="0" r="0" b="0"/>
                <wp:wrapNone/>
                <wp:docPr id="15" name="Frame10"/>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w:t>
                            </w:r>
                          </w:p>
                        </w:tc>
                      </w:tr>
                    </w:tbl>
                    <w:p>
                      <w:pPr>
                        <w:pStyle w:val="TextBody"/>
                        <w:bidi w:val="0"/>
                        <w:spacing w:before="0" w:after="283"/>
                        <w:jc w:val="left"/>
                        <w:rPr/>
                      </w:pPr>
                      <w:r>
                        <w:rPr/>
                      </w:r>
                    </w:p>
                  </w:txbxContent>
                </v:textbox>
                <w10:wrap type="none"/>
              </v:rect>
            </w:pict>
          </mc:Fallback>
        </mc:AlternateContent>
      </w:r>
    </w:p>
    <w:tbl>
      <w:tblPr>
        <w:tblW w:w="3944" w:type="dxa"/>
        <w:jc w:val="left"/>
        <w:tblInd w:w="0" w:type="dxa"/>
        <w:tblLayout w:type="fixed"/>
        <w:tblCellMar>
          <w:top w:w="28" w:type="dxa"/>
          <w:left w:w="28" w:type="dxa"/>
          <w:bottom w:w="28" w:type="dxa"/>
          <w:right w:w="28" w:type="dxa"/>
        </w:tblCellMar>
      </w:tblPr>
      <w:tblGrid>
        <w:gridCol w:w="842"/>
        <w:gridCol w:w="739"/>
        <w:gridCol w:w="744"/>
        <w:gridCol w:w="474"/>
        <w:gridCol w:w="474"/>
        <w:gridCol w:w="671"/>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Questions and Answers</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 xml:space="preserve">What is the deadline to propose actions for consideration at next year’s annual meeting of stockholders or to nominate individuals to serve as directors? </w:t>
      </w:r>
    </w:p>
    <w:p>
      <w:pPr>
        <w:pStyle w:val="TextBody"/>
        <w:bidi w:val="0"/>
        <w:spacing w:lineRule="atLeast" w:line="260" w:before="0" w:after="180"/>
        <w:jc w:val="left"/>
        <w:rPr>
          <w:rFonts w:ascii="Inter SemiBold;sans-serif" w:hAnsi="Inter SemiBold;sans-serif"/>
          <w:b/>
          <w:color w:val="000000"/>
          <w:sz w:val="18"/>
        </w:rPr>
      </w:pPr>
      <w:r>
        <w:rPr>
          <w:rFonts w:ascii="Inter SemiBold;sans-serif" w:hAnsi="Inter SemiBold;sans-serif"/>
          <w:b/>
          <w:color w:val="000000"/>
          <w:sz w:val="18"/>
        </w:rPr>
        <w:t>Stockholder Proposals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2026 annual meeting of stockholders, our Corporate Secretary must receive the written proposal at our principal executive offices not later than December 31, 2025. In addition, stockholder proposals must comply with the requirements of Rule 14a-8 under the Securities Exchange Act of 1934, as amended, or the Exchange Act, regarding the inclusion of stockholder proposals in company-sponsored proxy materials. Stockholder proposals should be addressed to:</w:t>
      </w:r>
    </w:p>
    <w:tbl>
      <w:tblPr>
        <w:tblW w:w="5424" w:type="dxa"/>
        <w:jc w:val="left"/>
        <w:tblInd w:w="0" w:type="dxa"/>
        <w:tblLayout w:type="fixed"/>
        <w:tblCellMar>
          <w:top w:w="28" w:type="dxa"/>
          <w:left w:w="28" w:type="dxa"/>
          <w:bottom w:w="28" w:type="dxa"/>
          <w:right w:w="28" w:type="dxa"/>
        </w:tblCellMar>
      </w:tblPr>
      <w:tblGrid>
        <w:gridCol w:w="124"/>
        <w:gridCol w:w="109"/>
        <w:gridCol w:w="109"/>
        <w:gridCol w:w="1569"/>
        <w:gridCol w:w="1569"/>
        <w:gridCol w:w="15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shd w:fill="FFEAEC" w:val="clear"/>
            <w:tcMar>
              <w:top w:w="0" w:type="dxa"/>
              <w:left w:w="0" w:type="dxa"/>
              <w:bottom w:w="0" w:type="dxa"/>
              <w:right w:w="0" w:type="dxa"/>
            </w:tcMar>
            <w:vAlign w:val="center"/>
          </w:tcPr>
          <w:p>
            <w:pPr>
              <w:pStyle w:val="TableContents"/>
              <w:bidi w:val="0"/>
              <w:spacing w:lineRule="atLeast" w:line="260" w:before="0" w:after="0"/>
              <w:jc w:val="center"/>
              <w:rPr/>
            </w:pPr>
            <w:r>
              <w:rPr>
                <w:rFonts w:ascii="Inter SemiBold;sans-serif" w:hAnsi="Inter SemiBold;sans-serif"/>
                <w:b/>
                <w:color w:val="690031"/>
                <w:sz w:val="18"/>
              </w:rPr>
              <w:t xml:space="preserve">Asana, Inc. </w:t>
            </w:r>
            <w:r>
              <w:rPr>
                <w:rFonts w:ascii="Inter Light;sans-serif" w:hAnsi="Inter Light;sans-serif"/>
                <w:b w:val="false"/>
                <w:color w:val="690031"/>
                <w:sz w:val="18"/>
              </w:rPr>
              <w:br/>
              <w:t xml:space="preserve">Attention: Corporate Secretary &amp; General Counsel, </w:t>
            </w:r>
          </w:p>
          <w:p>
            <w:pPr>
              <w:pStyle w:val="TableContents"/>
              <w:bidi w:val="0"/>
              <w:spacing w:lineRule="atLeast" w:line="260" w:before="0" w:after="0"/>
              <w:jc w:val="center"/>
              <w:rPr>
                <w:rFonts w:ascii="Inter Light;sans-serif" w:hAnsi="Inter Light;sans-serif"/>
                <w:b w:val="false"/>
                <w:color w:val="690031"/>
                <w:sz w:val="18"/>
              </w:rPr>
            </w:pPr>
            <w:r>
              <w:rPr>
                <w:rFonts w:ascii="Inter Light;sans-serif" w:hAnsi="Inter Light;sans-serif"/>
                <w:b w:val="false"/>
                <w:color w:val="690031"/>
                <w:sz w:val="18"/>
              </w:rPr>
              <w:t xml:space="preserve">Legal Department </w:t>
              <w:br/>
              <w:t>633 Folsom Street, Suite 100</w:t>
              <w:br/>
              <w:t>San Francisco, California 94107</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annual meeting by a stockholder of record entitled to vote at such annual meeting who has delivered timely written notice to our Corporate Secretary, which notice must contain the information specified in our bylaws. To be timely for our 2026 annual meeting of stockholders, our Corporate Secretary must receive the written notice at our principal executive offices: </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not earlier than February 16, 2026;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not later than the close of business on March 18, 2026.</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the event that we hold the 2026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2026 annual meeting of stockholders and no later than the close of business on the later of the following two dates: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the 90th day prior to the 2026 annual meeting of stockholders; or</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the 10th day following the day on which public announcement of the date of our 2026 annual meeting of stockholders is first made.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a stockholder who has notified us of their intention to present a proposal at an annual meeting of stockholders does not appear to present their proposal at such annual meeting, we are not required to present the proposal for a vote at such annual meeting.</w:t>
      </w:r>
    </w:p>
    <w:p>
      <w:pPr>
        <w:pStyle w:val="TextBody"/>
        <w:bidi w:val="0"/>
        <w:spacing w:lineRule="atLeast" w:line="320" w:before="240" w:after="180"/>
        <w:jc w:val="left"/>
        <w:rPr>
          <w:rFonts w:ascii="Inter SemiBold;sans-serif" w:hAnsi="Inter SemiBold;sans-serif"/>
          <w:b w:val="false"/>
          <w:color w:val="FF584A"/>
          <w:sz w:val="24"/>
        </w:rPr>
      </w:pPr>
      <w:bookmarkStart w:id="0" w:name="i71914b8427ff4d0e8d9d6de83a3c8b5e_58127"/>
      <w:bookmarkEnd w:id="0"/>
      <w:r>
        <w:rPr>
          <w:rFonts w:ascii="Inter SemiBold;sans-serif" w:hAnsi="Inter SemiBold;sans-serif"/>
          <w:b w:val="false"/>
          <w:color w:val="FF584A"/>
          <w:sz w:val="24"/>
        </w:rPr>
        <w:t>Nomination of Director Candidates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“Stockholder Proposals” for stockholder proposals that are not intended to be included in a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39140"/>
                <wp:effectExtent l="0" t="0" r="0" b="0"/>
                <wp:wrapNone/>
                <wp:docPr id="16"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3944" w:type="dxa"/>
        <w:jc w:val="left"/>
        <w:tblInd w:w="0" w:type="dxa"/>
        <w:tblLayout w:type="fixed"/>
        <w:tblCellMar>
          <w:top w:w="28" w:type="dxa"/>
          <w:left w:w="28" w:type="dxa"/>
          <w:bottom w:w="28" w:type="dxa"/>
          <w:right w:w="28" w:type="dxa"/>
        </w:tblCellMar>
      </w:tblPr>
      <w:tblGrid>
        <w:gridCol w:w="575"/>
        <w:gridCol w:w="505"/>
        <w:gridCol w:w="509"/>
        <w:gridCol w:w="690"/>
        <w:gridCol w:w="690"/>
        <w:gridCol w:w="975"/>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35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Questions and Answers</w:t>
            </w:r>
          </w:p>
        </w:tc>
      </w:tr>
    </w:tbl>
    <w:p>
      <w:pPr>
        <w:pStyle w:val="TextBody"/>
        <w:bidi w:val="0"/>
        <w:spacing w:lineRule="atLeast" w:line="320" w:before="240" w:after="180"/>
        <w:jc w:val="left"/>
        <w:rPr>
          <w:rFonts w:ascii="Inter SemiBold;sans-serif" w:hAnsi="Inter SemiBold;sans-serif"/>
          <w:b w:val="false"/>
          <w:color w:val="FF584A"/>
          <w:sz w:val="24"/>
        </w:rPr>
      </w:pPr>
      <w:bookmarkStart w:id="1" w:name="i71914b8427ff4d0e8d9d6de83a3c8b5e_58128"/>
      <w:bookmarkEnd w:id="1"/>
      <w:r>
        <w:rPr>
          <w:rFonts w:ascii="Inter SemiBold;sans-serif" w:hAnsi="Inter SemiBold;sans-serif"/>
          <w:b w:val="false"/>
          <w:color w:val="FF584A"/>
          <w:sz w:val="24"/>
        </w:rPr>
        <w:t>Universal Proxy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addition to satisfying the foregoing requirements under our bylaws, to comply with the universal proxy rules, stockholders who intend to solicit proxies in support of director nominees other than our Board of Directors’ nominees must provide notice that sets forth any additional information required by Rule 14a-19 under the Exchange Act in accordance with the advance notice procedure as described above.</w:t>
      </w:r>
    </w:p>
    <w:p>
      <w:pPr>
        <w:pStyle w:val="TextBody"/>
        <w:bidi w:val="0"/>
        <w:spacing w:lineRule="atLeast" w:line="320" w:before="0" w:after="180"/>
        <w:jc w:val="left"/>
        <w:rPr>
          <w:rFonts w:ascii="Inter SemiBold;sans-serif" w:hAnsi="Inter SemiBold;sans-serif"/>
          <w:b w:val="false"/>
          <w:color w:val="FF584A"/>
          <w:sz w:val="24"/>
        </w:rPr>
      </w:pPr>
      <w:bookmarkStart w:id="2" w:name="i71914b8427ff4d0e8d9d6de83a3c8b5e_58129"/>
      <w:bookmarkEnd w:id="2"/>
      <w:r>
        <w:rPr>
          <w:rFonts w:ascii="Inter SemiBold;sans-serif" w:hAnsi="Inter SemiBold;sans-serif"/>
          <w:b w:val="false"/>
          <w:color w:val="FF584A"/>
          <w:sz w:val="24"/>
        </w:rPr>
        <w:t>Availability of Bylaws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You may contact our Corporate Secretary at the address set forth above for a copy of the relevant provisions of our bylaws regarding the requirements for making stockholder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59435"/>
                <wp:effectExtent l="0" t="0" r="0" b="0"/>
                <wp:wrapNone/>
                <wp:docPr id="17" name="Frame12"/>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7</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8175" w:type="dxa"/>
        <w:jc w:val="left"/>
        <w:tblInd w:w="0" w:type="dxa"/>
        <w:tblLayout w:type="fixed"/>
        <w:tblCellMar>
          <w:top w:w="28" w:type="dxa"/>
          <w:left w:w="28" w:type="dxa"/>
          <w:bottom w:w="28" w:type="dxa"/>
          <w:right w:w="28" w:type="dxa"/>
        </w:tblCellMar>
      </w:tblPr>
      <w:tblGrid>
        <w:gridCol w:w="2618"/>
        <w:gridCol w:w="2301"/>
        <w:gridCol w:w="3256"/>
      </w:tblGrid>
      <w:tr>
        <w:trPr/>
        <w:tc>
          <w:tcPr>
            <w:tcW w:w="2618"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8175" w:type="dxa"/>
            <w:gridSpan w:val="3"/>
            <w:tcBorders/>
            <w:tcMar>
              <w:top w:w="0" w:type="dxa"/>
              <w:left w:w="0" w:type="dxa"/>
              <w:bottom w:w="0" w:type="dxa"/>
              <w:right w:w="0" w:type="dxa"/>
            </w:tcMar>
            <w:vAlign w:val="center"/>
          </w:tcPr>
          <w:p>
            <w:pPr>
              <w:pStyle w:val="TableContents"/>
              <w:bidi w:val="0"/>
              <w:spacing w:lineRule="atLeast" w:line="600" w:before="0" w:after="0"/>
              <w:jc w:val="left"/>
              <w:rPr>
                <w:rFonts w:ascii="Inter Medium;sans-serif" w:hAnsi="Inter Medium;sans-serif"/>
                <w:b w:val="false"/>
                <w:color w:val="0D0E10"/>
                <w:sz w:val="56"/>
              </w:rPr>
            </w:pPr>
            <w:r>
              <w:rPr>
                <w:rFonts w:ascii="Inter Medium;sans-serif" w:hAnsi="Inter Medium;sans-serif"/>
                <w:b w:val="false"/>
                <w:color w:val="0D0E10"/>
                <w:sz w:val="56"/>
              </w:rPr>
              <w:t xml:space="preserve">Special Note Regarding </w:t>
            </w:r>
          </w:p>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Forward-Looking Statements</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This Proxy Statement contains forward-looking statements within the meaning of Section 27A of the Securities Act of 1933, as amended, and Section 21E of the Securities Exchange Act of 1934, as amended, which statements involve substantial risk and uncertainties. All statements other than statements of historical facts contained in this Proxy Statement are forward-looking statements. In some cases, you can identify forward-looking statements because they contain words such as “anticipate,” “believe,” “contemplate,” “continue,” “could,” “estimate,” “expect,” “intend,” “may,” “plan,” “potential,” “predict,” “project,” “should,” “will,” or “would” or the negative of these words or other similar terms or expressions. You should not rely on forward-looking statements as predictions of future events. We have based the forward-looking statements contained in this Proxy Statement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in our Annual Report on Form 10-K for the year ended January 31, 2025, as filed with the SEC on March 18, 2025. Moreover, we operate in a very competitive and rapidly changing environment. New risks and uncertainties emerge from time to time, and it is not possible for us to predict all risks and uncertainties that could have an impact on the forward-looking statements contained in this Proxy Statement. The results, events, and circumstances reflected in the forward-looking statements may not be achieved or occur, and actual results, events, or circumstances could differ materially from those described in the forward-looking statements. The forward-looking statements made in this Proxy Statement relate only to events as of the date on which the statements are made. We undertake no obligation to update any forward-looking statements made in this Proxy Statement or to reflect new information or the occurrence of unanticipated events,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9140"/>
                <wp:effectExtent l="0" t="0" r="0" b="0"/>
                <wp:wrapNone/>
                <wp:docPr id="18"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Board of Directors and Corporate Governance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business affairs are managed under the direction of our Board of Directors, which is currently composed of nine members. Five of our directors are independent within the meaning of the listing standards of The New York Stock Exchange, or the NYSE, and the Long-Term Stock Exchange, or the LTSE. Our Board of Directors is divided into three staggered classes of directors. At each annual meeting of stockholders, a class of directors will be elected for a three-year term to succeed the same class whose term is then expiring.</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The following table sets forth the names, ages as of April 30, 2025, and certain other information for each of the members of our Board of Directors with terms expiring at the Annual Meeting (who are also nominees for election as a director at the Annual Meeting) and for each of the continuing members of our Board of Directors:</w:t>
      </w:r>
    </w:p>
    <w:tbl>
      <w:tblPr>
        <w:tblW w:w="10205" w:type="dxa"/>
        <w:jc w:val="left"/>
        <w:tblInd w:w="0" w:type="dxa"/>
        <w:tblLayout w:type="fixed"/>
        <w:tblCellMar>
          <w:top w:w="28" w:type="dxa"/>
          <w:left w:w="28" w:type="dxa"/>
          <w:bottom w:w="28" w:type="dxa"/>
          <w:right w:w="28" w:type="dxa"/>
        </w:tblCellMar>
      </w:tblPr>
      <w:tblGrid>
        <w:gridCol w:w="1084"/>
        <w:gridCol w:w="587"/>
        <w:gridCol w:w="493"/>
        <w:gridCol w:w="185"/>
        <w:gridCol w:w="185"/>
        <w:gridCol w:w="186"/>
        <w:gridCol w:w="145"/>
        <w:gridCol w:w="145"/>
        <w:gridCol w:w="146"/>
        <w:gridCol w:w="412"/>
        <w:gridCol w:w="412"/>
        <w:gridCol w:w="420"/>
        <w:gridCol w:w="265"/>
        <w:gridCol w:w="265"/>
        <w:gridCol w:w="266"/>
        <w:gridCol w:w="261"/>
        <w:gridCol w:w="261"/>
        <w:gridCol w:w="263"/>
        <w:gridCol w:w="365"/>
        <w:gridCol w:w="365"/>
        <w:gridCol w:w="366"/>
        <w:gridCol w:w="227"/>
        <w:gridCol w:w="190"/>
        <w:gridCol w:w="128"/>
        <w:gridCol w:w="440"/>
        <w:gridCol w:w="440"/>
        <w:gridCol w:w="441"/>
        <w:gridCol w:w="359"/>
        <w:gridCol w:w="359"/>
        <w:gridCol w:w="544"/>
      </w:tblGrid>
      <w:tr>
        <w:trPr/>
        <w:tc>
          <w:tcPr>
            <w:tcW w:w="10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FFEAEC"/>
                <w:sz w:val="16"/>
              </w:rPr>
            </w:pPr>
            <w:r>
              <w:rPr>
                <w:rFonts w:ascii="Inter Medium;sans-serif" w:hAnsi="Inter Medium;sans-serif"/>
                <w:b w:val="false"/>
                <w:color w:val="FFEAEC"/>
                <w:sz w:val="16"/>
              </w:rPr>
              <w:t>Director Name</w:t>
            </w:r>
          </w:p>
        </w:tc>
        <w:tc>
          <w:tcPr>
            <w:tcW w:w="55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Class</w:t>
            </w:r>
          </w:p>
        </w:tc>
        <w:tc>
          <w:tcPr>
            <w:tcW w:w="43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Age</w:t>
            </w:r>
          </w:p>
        </w:tc>
        <w:tc>
          <w:tcPr>
            <w:tcW w:w="1244"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Position</w:t>
            </w:r>
          </w:p>
        </w:tc>
        <w:tc>
          <w:tcPr>
            <w:tcW w:w="79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Director Since</w:t>
            </w:r>
          </w:p>
        </w:tc>
        <w:tc>
          <w:tcPr>
            <w:tcW w:w="785"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Current Term Expires</w:t>
            </w:r>
          </w:p>
        </w:tc>
        <w:tc>
          <w:tcPr>
            <w:tcW w:w="109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Expiration of Term For Which Nominated</w:t>
            </w:r>
          </w:p>
        </w:tc>
        <w:tc>
          <w:tcPr>
            <w:tcW w:w="3128" w:type="dxa"/>
            <w:gridSpan w:val="9"/>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Committee Membership</w:t>
            </w:r>
          </w:p>
        </w:tc>
      </w:tr>
      <w:tr>
        <w:trPr/>
        <w:tc>
          <w:tcPr>
            <w:tcW w:w="216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5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43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24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79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785"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9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4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5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43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24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79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785"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9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45"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5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43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244"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79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785"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9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545"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Audit</w:t>
            </w:r>
          </w:p>
        </w:tc>
        <w:tc>
          <w:tcPr>
            <w:tcW w:w="1321"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Compensation</w:t>
            </w:r>
          </w:p>
        </w:tc>
        <w:tc>
          <w:tcPr>
            <w:tcW w:w="126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Nominating and Corporate Governance</w:t>
            </w:r>
          </w:p>
        </w:tc>
      </w:tr>
      <w:tr>
        <w:trPr/>
        <w:tc>
          <w:tcPr>
            <w:tcW w:w="21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21"/>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690031"/>
                <w:sz w:val="16"/>
              </w:rPr>
            </w:pPr>
            <w:r>
              <w:rPr>
                <w:rFonts w:ascii="Inter Medium;sans-serif" w:hAnsi="Inter Medium;sans-serif"/>
                <w:b w:val="false"/>
                <w:color w:val="690031"/>
                <w:sz w:val="16"/>
              </w:rPr>
              <w:t>Directors with Terms Expiring at the Annual Meeting/Nominees</w:t>
            </w:r>
          </w:p>
        </w:tc>
        <w:tc>
          <w:tcPr>
            <w:tcW w:w="54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Andrew Lindsay</w:t>
            </w:r>
          </w:p>
        </w:tc>
        <w:tc>
          <w:tcPr>
            <w:tcW w:w="55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w:t>
            </w:r>
          </w:p>
        </w:tc>
        <w:tc>
          <w:tcPr>
            <w:tcW w:w="43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45</w:t>
            </w:r>
          </w:p>
        </w:tc>
        <w:tc>
          <w:tcPr>
            <w:tcW w:w="124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79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2021</w:t>
            </w:r>
          </w:p>
        </w:tc>
        <w:tc>
          <w:tcPr>
            <w:tcW w:w="785"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109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2028</w:t>
            </w:r>
          </w:p>
        </w:tc>
        <w:tc>
          <w:tcPr>
            <w:tcW w:w="545"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20"/>
              </w:rPr>
            </w:pPr>
            <w:r>
              <w:rPr>
                <w:rFonts w:ascii="Wingdings;sans-serif" w:hAnsi="Wingdings;sans-serif"/>
                <w:b w:val="false"/>
                <w:color w:val="FF584A"/>
                <w:sz w:val="20"/>
              </w:rPr>
              <w:t>l</w:t>
            </w:r>
          </w:p>
        </w:tc>
      </w:tr>
      <w:tr>
        <w:trPr/>
        <w:tc>
          <w:tcPr>
            <w:tcW w:w="216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Lorrie Norrington</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65</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Lead Independent Director</w:t>
            </w:r>
          </w:p>
        </w:tc>
        <w:tc>
          <w:tcPr>
            <w:tcW w:w="7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2019</w:t>
            </w:r>
          </w:p>
        </w:tc>
        <w:tc>
          <w:tcPr>
            <w:tcW w:w="7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10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2028</w:t>
            </w:r>
          </w:p>
        </w:tc>
        <w:tc>
          <w:tcPr>
            <w:tcW w:w="54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r>
      <w:tr>
        <w:trPr/>
        <w:tc>
          <w:tcPr>
            <w:tcW w:w="216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Justin Rosenstein</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41</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Co-Founder, Director</w:t>
            </w:r>
          </w:p>
        </w:tc>
        <w:tc>
          <w:tcPr>
            <w:tcW w:w="7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2008</w:t>
            </w:r>
          </w:p>
        </w:tc>
        <w:tc>
          <w:tcPr>
            <w:tcW w:w="7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10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2028</w:t>
            </w:r>
          </w:p>
        </w:tc>
        <w:tc>
          <w:tcPr>
            <w:tcW w:w="54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7" w:type="dxa"/>
            <w:gridSpan w:val="21"/>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690031"/>
                <w:sz w:val="16"/>
              </w:rPr>
            </w:pPr>
            <w:r>
              <w:rPr>
                <w:rFonts w:ascii="Inter Medium;sans-serif" w:hAnsi="Inter Medium;sans-serif"/>
                <w:b w:val="false"/>
                <w:color w:val="690031"/>
                <w:sz w:val="16"/>
              </w:rPr>
              <w:t>Continuing Directors</w:t>
            </w:r>
          </w:p>
        </w:tc>
        <w:tc>
          <w:tcPr>
            <w:tcW w:w="54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Marc Boroditsky</w:t>
            </w:r>
          </w:p>
        </w:tc>
        <w:tc>
          <w:tcPr>
            <w:tcW w:w="55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w:t>
            </w:r>
          </w:p>
        </w:tc>
        <w:tc>
          <w:tcPr>
            <w:tcW w:w="43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62</w:t>
            </w:r>
          </w:p>
        </w:tc>
        <w:tc>
          <w:tcPr>
            <w:tcW w:w="124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79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785"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2027</w:t>
            </w:r>
          </w:p>
        </w:tc>
        <w:tc>
          <w:tcPr>
            <w:tcW w:w="1096"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Matthew Cohler</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48</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7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2009</w:t>
            </w:r>
          </w:p>
        </w:tc>
        <w:tc>
          <w:tcPr>
            <w:tcW w:w="7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2027</w:t>
            </w:r>
          </w:p>
        </w:tc>
        <w:tc>
          <w:tcPr>
            <w:tcW w:w="10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r>
      <w:tr>
        <w:trPr/>
        <w:tc>
          <w:tcPr>
            <w:tcW w:w="216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color w:val="000000"/>
                <w:sz w:val="16"/>
              </w:rPr>
            </w:pPr>
            <w:r>
              <w:rPr>
                <w:rFonts w:ascii="Inter Medium;sans-serif" w:hAnsi="Inter Medium;sans-serif"/>
                <w:b/>
                <w:color w:val="000000"/>
                <w:sz w:val="16"/>
              </w:rPr>
              <w:t>Dustin Moskovitz</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40</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 xml:space="preserve">Co-Founder, President, Chief Executive Officer, </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and Chair</w:t>
            </w:r>
          </w:p>
        </w:tc>
        <w:tc>
          <w:tcPr>
            <w:tcW w:w="7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2008</w:t>
            </w:r>
          </w:p>
        </w:tc>
        <w:tc>
          <w:tcPr>
            <w:tcW w:w="7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2027</w:t>
            </w:r>
          </w:p>
        </w:tc>
        <w:tc>
          <w:tcPr>
            <w:tcW w:w="10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Krista Anderson-Copperman</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48</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7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2022</w:t>
            </w:r>
          </w:p>
        </w:tc>
        <w:tc>
          <w:tcPr>
            <w:tcW w:w="7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10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32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20"/>
              </w:rPr>
            </w:pPr>
            <w:r>
              <w:rPr>
                <w:rFonts w:ascii="Wingdings;sans-serif" w:hAnsi="Wingdings;sans-serif"/>
                <w:b w:val="false"/>
                <w:color w:val="FF584A"/>
                <w:sz w:val="20"/>
              </w:rPr>
              <w:t>l</w:t>
            </w:r>
          </w:p>
        </w:tc>
        <w:tc>
          <w:tcPr>
            <w:tcW w:w="126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Sydney Carey</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60</w:t>
            </w:r>
          </w:p>
        </w:tc>
        <w:tc>
          <w:tcPr>
            <w:tcW w:w="124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7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2019</w:t>
            </w:r>
          </w:p>
        </w:tc>
        <w:tc>
          <w:tcPr>
            <w:tcW w:w="7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10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20"/>
              </w:rPr>
            </w:pPr>
            <w:r>
              <w:rPr>
                <w:rFonts w:ascii="Wingdings;sans-serif" w:hAnsi="Wingdings;sans-serif"/>
                <w:b w:val="false"/>
                <w:color w:val="FF584A"/>
                <w:sz w:val="20"/>
              </w:rPr>
              <w:t>l</w:t>
            </w:r>
          </w:p>
        </w:tc>
        <w:tc>
          <w:tcPr>
            <w:tcW w:w="132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8"/>
              </w:rPr>
            </w:pPr>
            <w:r>
              <w:rPr>
                <w:rFonts w:ascii="Wingdings;sans-serif" w:hAnsi="Wingdings;sans-serif"/>
                <w:b w:val="false"/>
                <w:color w:val="FF584A"/>
                <w:sz w:val="18"/>
              </w:rPr>
              <w:t>¢</w:t>
            </w:r>
          </w:p>
        </w:tc>
        <w:tc>
          <w:tcPr>
            <w:tcW w:w="126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Adam D’Angelo</w:t>
            </w:r>
          </w:p>
        </w:tc>
        <w:tc>
          <w:tcPr>
            <w:tcW w:w="55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III</w:t>
            </w:r>
          </w:p>
        </w:tc>
        <w:tc>
          <w:tcPr>
            <w:tcW w:w="4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40</w:t>
            </w:r>
          </w:p>
        </w:tc>
        <w:tc>
          <w:tcPr>
            <w:tcW w:w="1244"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Director</w:t>
            </w:r>
          </w:p>
        </w:tc>
        <w:tc>
          <w:tcPr>
            <w:tcW w:w="7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2008</w:t>
            </w:r>
          </w:p>
        </w:tc>
        <w:tc>
          <w:tcPr>
            <w:tcW w:w="7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2026</w:t>
            </w:r>
          </w:p>
        </w:tc>
        <w:tc>
          <w:tcPr>
            <w:tcW w:w="109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545"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top w:val="single" w:sz="4" w:space="0" w:color="690031"/>
            </w:tcBorders>
            <w:tcMar>
              <w:top w:w="30" w:type="dxa"/>
              <w:left w:w="0" w:type="dxa"/>
              <w:bottom w:w="0" w:type="dxa"/>
              <w:right w:w="0" w:type="dxa"/>
            </w:tcMar>
            <w:vAlign w:val="center"/>
          </w:tcPr>
          <w:p>
            <w:pPr>
              <w:pStyle w:val="TableContents"/>
              <w:bidi w:val="0"/>
              <w:spacing w:lineRule="atLeast" w:line="220" w:before="60" w:after="283"/>
              <w:jc w:val="left"/>
              <w:rPr/>
            </w:pPr>
            <w:r>
              <w:rPr>
                <w:rFonts w:ascii="Wingdings;sans-serif" w:hAnsi="Wingdings;sans-serif"/>
                <w:b w:val="false"/>
                <w:color w:val="FF584A"/>
                <w:sz w:val="18"/>
              </w:rPr>
              <w:t>l</w:t>
            </w:r>
            <w:r>
              <w:rPr>
                <w:color w:val="0D0E10"/>
              </w:rPr>
              <w:t xml:space="preserve"> </w:t>
            </w:r>
            <w:r>
              <w:rPr>
                <w:rFonts w:ascii="Inter Light;sans-serif" w:hAnsi="Inter Light;sans-serif"/>
                <w:b w:val="false"/>
                <w:color w:val="0D0E10"/>
                <w:sz w:val="16"/>
              </w:rPr>
              <w:t>Committee Chair</w:t>
            </w:r>
          </w:p>
        </w:tc>
        <w:tc>
          <w:tcPr>
            <w:tcW w:w="556" w:type="dxa"/>
            <w:gridSpan w:val="3"/>
            <w:tcBorders>
              <w:top w:val="single" w:sz="4"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6"/>
            <w:tcBorders>
              <w:top w:val="single" w:sz="4" w:space="0" w:color="690031"/>
            </w:tcBorders>
            <w:tcMar>
              <w:top w:w="30" w:type="dxa"/>
              <w:left w:w="0" w:type="dxa"/>
              <w:bottom w:w="0" w:type="dxa"/>
              <w:right w:w="0" w:type="dxa"/>
            </w:tcMar>
            <w:vAlign w:val="center"/>
          </w:tcPr>
          <w:p>
            <w:pPr>
              <w:pStyle w:val="TableContents"/>
              <w:bidi w:val="0"/>
              <w:spacing w:lineRule="atLeast" w:line="220" w:before="60" w:after="283"/>
              <w:jc w:val="left"/>
              <w:rPr/>
            </w:pPr>
            <w:r>
              <w:rPr>
                <w:rFonts w:ascii="Wingdings;sans-serif" w:hAnsi="Wingdings;sans-serif"/>
                <w:b w:val="false"/>
                <w:color w:val="FF584A"/>
                <w:sz w:val="18"/>
              </w:rPr>
              <w:t>¢</w:t>
            </w:r>
            <w:r>
              <w:rPr>
                <w:color w:val="0D0E10"/>
              </w:rPr>
              <w:t xml:space="preserve"> </w:t>
            </w:r>
            <w:r>
              <w:rPr>
                <w:rFonts w:ascii="Inter Light;sans-serif" w:hAnsi="Inter Light;sans-serif"/>
                <w:b w:val="false"/>
                <w:color w:val="0D0E10"/>
                <w:sz w:val="16"/>
              </w:rPr>
              <w:t>Committee Member</w:t>
            </w:r>
          </w:p>
        </w:tc>
        <w:tc>
          <w:tcPr>
            <w:tcW w:w="796" w:type="dxa"/>
            <w:gridSpan w:val="3"/>
            <w:tcBorders>
              <w:top w:val="single" w:sz="4"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4"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4"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4"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59435"/>
                <wp:effectExtent l="0" t="0" r="0" b="0"/>
                <wp:wrapNone/>
                <wp:docPr id="19" name="Frame14"/>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36" w:type="dxa"/>
                        <w:jc w:val="left"/>
                        <w:tblInd w:w="0" w:type="dxa"/>
                        <w:tblLayout w:type="fixed"/>
                        <w:tblCellMar>
                          <w:top w:w="28" w:type="dxa"/>
                          <w:left w:w="28" w:type="dxa"/>
                          <w:bottom w:w="28" w:type="dxa"/>
                          <w:right w:w="28" w:type="dxa"/>
                        </w:tblCellMar>
                      </w:tblPr>
                      <w:tblGrid>
                        <w:gridCol w:w="929"/>
                        <w:gridCol w:w="815"/>
                        <w:gridCol w:w="820"/>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9</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Director Skills</w:t>
      </w:r>
    </w:p>
    <w:tbl>
      <w:tblPr>
        <w:tblW w:w="10255" w:type="dxa"/>
        <w:jc w:val="left"/>
        <w:tblInd w:w="0" w:type="dxa"/>
        <w:tblLayout w:type="fixed"/>
        <w:tblCellMar>
          <w:top w:w="28" w:type="dxa"/>
          <w:left w:w="28" w:type="dxa"/>
          <w:bottom w:w="28" w:type="dxa"/>
          <w:right w:w="28" w:type="dxa"/>
        </w:tblCellMar>
      </w:tblPr>
      <w:tblGrid>
        <w:gridCol w:w="578"/>
        <w:gridCol w:w="416"/>
        <w:gridCol w:w="417"/>
        <w:gridCol w:w="625"/>
        <w:gridCol w:w="625"/>
        <w:gridCol w:w="626"/>
        <w:gridCol w:w="325"/>
        <w:gridCol w:w="325"/>
        <w:gridCol w:w="326"/>
        <w:gridCol w:w="230"/>
        <w:gridCol w:w="230"/>
        <w:gridCol w:w="231"/>
        <w:gridCol w:w="260"/>
        <w:gridCol w:w="260"/>
        <w:gridCol w:w="261"/>
        <w:gridCol w:w="280"/>
        <w:gridCol w:w="280"/>
        <w:gridCol w:w="281"/>
        <w:gridCol w:w="245"/>
        <w:gridCol w:w="245"/>
        <w:gridCol w:w="246"/>
        <w:gridCol w:w="305"/>
        <w:gridCol w:w="305"/>
        <w:gridCol w:w="306"/>
        <w:gridCol w:w="325"/>
        <w:gridCol w:w="325"/>
        <w:gridCol w:w="326"/>
        <w:gridCol w:w="307"/>
        <w:gridCol w:w="307"/>
        <w:gridCol w:w="437"/>
      </w:tblGrid>
      <w:tr>
        <w:trPr/>
        <w:tc>
          <w:tcPr>
            <w:tcW w:w="5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Krista</w:t>
            </w:r>
          </w:p>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Anderson-Copperman</w:t>
            </w:r>
          </w:p>
        </w:tc>
        <w:tc>
          <w:tcPr>
            <w:tcW w:w="976"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Marc</w:t>
            </w:r>
          </w:p>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Boroditsky</w:t>
            </w:r>
          </w:p>
        </w:tc>
        <w:tc>
          <w:tcPr>
            <w:tcW w:w="691"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Sydney</w:t>
            </w:r>
          </w:p>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Carey</w:t>
            </w:r>
          </w:p>
        </w:tc>
        <w:tc>
          <w:tcPr>
            <w:tcW w:w="781"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Matthew</w:t>
            </w:r>
          </w:p>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Cohler</w:t>
            </w:r>
          </w:p>
        </w:tc>
        <w:tc>
          <w:tcPr>
            <w:tcW w:w="841"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Adam</w:t>
            </w:r>
          </w:p>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D’Angelo</w:t>
            </w:r>
          </w:p>
        </w:tc>
        <w:tc>
          <w:tcPr>
            <w:tcW w:w="736"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Andrew</w:t>
            </w:r>
          </w:p>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Lindsay</w:t>
            </w:r>
          </w:p>
        </w:tc>
        <w:tc>
          <w:tcPr>
            <w:tcW w:w="916"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Dustin</w:t>
            </w:r>
          </w:p>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Moskovitz</w:t>
            </w:r>
          </w:p>
        </w:tc>
        <w:tc>
          <w:tcPr>
            <w:tcW w:w="976"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Lorrie</w:t>
            </w:r>
          </w:p>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Norrington</w:t>
            </w:r>
          </w:p>
        </w:tc>
        <w:tc>
          <w:tcPr>
            <w:tcW w:w="1051" w:type="dxa"/>
            <w:gridSpan w:val="3"/>
            <w:tcBorders/>
            <w:shd w:fill="690031" w:val="clear"/>
            <w:tcMar>
              <w:top w:w="0" w:type="dxa"/>
              <w:left w:w="0" w:type="dxa"/>
              <w:bottom w:w="0" w:type="dxa"/>
              <w:right w:w="0" w:type="dxa"/>
            </w:tcMar>
            <w:vAlign w:val="center"/>
          </w:tcPr>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Justin</w:t>
            </w:r>
          </w:p>
          <w:p>
            <w:pPr>
              <w:pStyle w:val="TableContents"/>
              <w:bidi w:val="0"/>
              <w:spacing w:lineRule="atLeast" w:line="200" w:before="0" w:after="0"/>
              <w:jc w:val="center"/>
              <w:rPr>
                <w:rFonts w:ascii="Arial;sans-serif" w:hAnsi="Arial;sans-serif"/>
                <w:b/>
                <w:color w:val="FFEAEC"/>
                <w:sz w:val="16"/>
              </w:rPr>
            </w:pPr>
            <w:r>
              <w:rPr>
                <w:rFonts w:ascii="Arial;sans-serif" w:hAnsi="Arial;sans-serif"/>
                <w:b/>
                <w:color w:val="FFEAEC"/>
                <w:sz w:val="16"/>
              </w:rPr>
              <w:t>Rosenstein</w:t>
            </w:r>
          </w:p>
        </w:tc>
      </w:tr>
      <w:tr>
        <w:trPr/>
        <w:tc>
          <w:tcPr>
            <w:tcW w:w="141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55" w:type="dxa"/>
            <w:gridSpan w:val="30"/>
            <w:tcBorders/>
            <w:shd w:fill="FFEAEC" w:val="clear"/>
            <w:tcMar>
              <w:top w:w="0" w:type="dxa"/>
              <w:left w:w="0" w:type="dxa"/>
              <w:bottom w:w="0" w:type="dxa"/>
              <w:right w:w="0" w:type="dxa"/>
            </w:tcMar>
            <w:vAlign w:val="center"/>
          </w:tcPr>
          <w:p>
            <w:pPr>
              <w:pStyle w:val="TableContents"/>
              <w:bidi w:val="0"/>
              <w:spacing w:lineRule="auto" w:line="240" w:before="40" w:after="40"/>
              <w:jc w:val="left"/>
              <w:rPr>
                <w:rFonts w:ascii="Inter Medium;sans-serif" w:hAnsi="Inter Medium;sans-serif"/>
                <w:b/>
                <w:color w:val="690031"/>
                <w:sz w:val="16"/>
              </w:rPr>
            </w:pPr>
            <w:r>
              <w:rPr>
                <w:rFonts w:ascii="Inter Medium;sans-serif" w:hAnsi="Inter Medium;sans-serif"/>
                <w:b/>
                <w:color w:val="690031"/>
                <w:sz w:val="16"/>
              </w:rPr>
              <w:t>Attributes/Experiences</w:t>
            </w:r>
          </w:p>
        </w:tc>
      </w:tr>
      <w:tr>
        <w:trPr/>
        <w:tc>
          <w:tcPr>
            <w:tcW w:w="141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Risk Management</w:t>
            </w:r>
          </w:p>
        </w:tc>
        <w:tc>
          <w:tcPr>
            <w:tcW w:w="187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81"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Enterprise Experience</w:t>
            </w:r>
          </w:p>
        </w:tc>
        <w:tc>
          <w:tcPr>
            <w:tcW w:w="18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8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1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105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Finance &amp; Accounting</w:t>
            </w:r>
          </w:p>
        </w:tc>
        <w:tc>
          <w:tcPr>
            <w:tcW w:w="187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8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1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105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Business Strategy &amp; Scaling</w:t>
            </w:r>
          </w:p>
        </w:tc>
        <w:tc>
          <w:tcPr>
            <w:tcW w:w="18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8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1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105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r>
      <w:tr>
        <w:trPr/>
        <w:tc>
          <w:tcPr>
            <w:tcW w:w="141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Public Company Background</w:t>
            </w:r>
          </w:p>
        </w:tc>
        <w:tc>
          <w:tcPr>
            <w:tcW w:w="18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8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105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r>
      <w:tr>
        <w:trPr/>
        <w:tc>
          <w:tcPr>
            <w:tcW w:w="141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Technology &amp; Product</w:t>
            </w:r>
          </w:p>
        </w:tc>
        <w:tc>
          <w:tcPr>
            <w:tcW w:w="18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8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1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105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r>
      <w:tr>
        <w:trPr/>
        <w:tc>
          <w:tcPr>
            <w:tcW w:w="141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Human Capital Management</w:t>
            </w:r>
          </w:p>
        </w:tc>
        <w:tc>
          <w:tcPr>
            <w:tcW w:w="18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8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84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36"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1051"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0"/>
              <w:jc w:val="left"/>
              <w:rPr>
                <w:rFonts w:ascii="Inter Medium;sans-serif" w:hAnsi="Inter Medium;sans-serif"/>
                <w:b/>
                <w:color w:val="000000"/>
                <w:sz w:val="16"/>
              </w:rPr>
            </w:pPr>
            <w:r>
              <w:rPr>
                <w:rFonts w:ascii="Inter Medium;sans-serif" w:hAnsi="Inter Medium;sans-serif"/>
                <w:b/>
                <w:color w:val="000000"/>
                <w:sz w:val="16"/>
              </w:rPr>
              <w:t>Cybersecurity</w:t>
            </w:r>
          </w:p>
        </w:tc>
        <w:tc>
          <w:tcPr>
            <w:tcW w:w="1876"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81"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736"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976" w:type="dxa"/>
            <w:gridSpan w:val="3"/>
            <w:tcBorders>
              <w:top w:val="single" w:sz="2" w:space="0" w:color="690031"/>
              <w:bottom w:val="single" w:sz="8" w:space="0" w:color="690031"/>
            </w:tcBorders>
            <w:tcMar>
              <w:top w:w="30" w:type="dxa"/>
              <w:left w:w="0" w:type="dxa"/>
              <w:bottom w:w="30" w:type="dxa"/>
              <w:right w:w="0" w:type="dxa"/>
            </w:tcMar>
            <w:vAlign w:val="center"/>
          </w:tcPr>
          <w:p>
            <w:pPr>
              <w:pStyle w:val="TableContents"/>
              <w:bidi w:val="0"/>
              <w:spacing w:lineRule="atLeast" w:line="220" w:before="0" w:after="0"/>
              <w:jc w:val="center"/>
              <w:rPr>
                <w:rFonts w:ascii="Wingdings;sans-serif" w:hAnsi="Wingdings;sans-serif"/>
                <w:b w:val="false"/>
                <w:color w:val="FF584A"/>
                <w:sz w:val="16"/>
              </w:rPr>
            </w:pPr>
            <w:r>
              <w:rPr>
                <w:rFonts w:ascii="Wingdings;sans-serif" w:hAnsi="Wingdings;sans-serif"/>
                <w:b w:val="false"/>
                <w:color w:val="FF584A"/>
                <w:sz w:val="16"/>
              </w:rPr>
              <w:t>l</w:t>
            </w:r>
          </w:p>
        </w:tc>
        <w:tc>
          <w:tcPr>
            <w:tcW w:w="1051" w:type="dxa"/>
            <w:gridSpan w:val="3"/>
            <w:tcBorders>
              <w:top w:val="single" w:sz="2" w:space="0" w:color="690031"/>
              <w:bottom w:val="single" w:sz="8" w:space="0" w:color="690031"/>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360" w:after="180"/>
        <w:jc w:val="left"/>
        <w:rPr>
          <w:rFonts w:ascii="Inter SemiBold;sans-serif" w:hAnsi="Inter SemiBold;sans-serif"/>
          <w:b w:val="false"/>
          <w:color w:val="FF584A"/>
          <w:sz w:val="24"/>
        </w:rPr>
      </w:pPr>
      <w:r>
        <w:rPr>
          <w:rFonts w:ascii="Inter SemiBold;sans-serif" w:hAnsi="Inter SemiBold;sans-serif"/>
          <w:b w:val="false"/>
          <w:color w:val="FF584A"/>
          <w:sz w:val="24"/>
        </w:rPr>
        <w:t>Board Composition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service of our mission, we are working to create an inclusive team with a broad range of perspectives and experiences. This commitment extends to the composition of our Board of Directors. Our Nominating and Corporate Governance Committee works with the Board to determine the desired qualifications, expertise, and characteristics for our Board members, including factors such as business experience, professional background, education, skills, and other perspectives, that contribute to the broad range of viewpoints and experience represented on the Board. </w:t>
      </w:r>
    </w:p>
    <w:p>
      <w:pPr>
        <w:pStyle w:val="TextBody"/>
        <w:bidi w:val="0"/>
        <w:spacing w:lineRule="atLeast" w:line="260" w:before="0" w:after="360"/>
        <w:jc w:val="left"/>
        <w:rPr>
          <w:rFonts w:ascii="Inter Light;sans-serif" w:hAnsi="Inter Light;sans-serif"/>
          <w:b w:val="false"/>
          <w:color w:val="000000"/>
          <w:sz w:val="18"/>
        </w:rPr>
      </w:pPr>
      <w:r>
        <w:rPr>
          <w:rFonts w:ascii="Inter Light;sans-serif" w:hAnsi="Inter Light;sans-serif"/>
          <w:b w:val="false"/>
          <w:color w:val="000000"/>
          <w:sz w:val="18"/>
        </w:rPr>
        <w:t xml:space="preserve">The following charts set forth information relating to the independence, age, and tenure of our Board of Directors. </w:t>
      </w:r>
    </w:p>
    <w:p>
      <w:pPr>
        <w:pStyle w:val="TextBody"/>
        <w:bidi w:val="0"/>
        <w:spacing w:lineRule="atLeast" w:line="320" w:before="0" w:after="0"/>
        <w:jc w:val="center"/>
        <w:rPr>
          <w:rFonts w:ascii="Inter SemiBold;sans-serif" w:hAnsi="Inter SemiBold;sans-serif"/>
          <w:b/>
          <w:color w:val="690031"/>
          <w:sz w:val="20"/>
        </w:rPr>
      </w:pPr>
      <w:r>
        <w:rPr>
          <w:rFonts w:ascii="Inter SemiBold;sans-serif" w:hAnsi="Inter SemiBold;sans-serif"/>
          <w:b/>
          <w:color w:val="690031"/>
          <w:sz w:val="20"/>
        </w:rPr>
        <w:t>INDEPENDENCE</w:t>
      </w:r>
    </w:p>
    <w:p>
      <w:pPr>
        <w:pStyle w:val="TextBody"/>
        <w:bidi w:val="0"/>
        <w:spacing w:before="0" w:after="0"/>
        <w:jc w:val="center"/>
        <w:rPr/>
      </w:pPr>
      <w:r>
        <w:rPr/>
        <w:drawing>
          <wp:inline distT="0" distB="0" distL="0" distR="0">
            <wp:extent cx="2200275" cy="178117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2200275" cy="1781175"/>
                    </a:xfrm>
                    <a:prstGeom prst="rect">
                      <a:avLst/>
                    </a:prstGeom>
                  </pic:spPr>
                </pic:pic>
              </a:graphicData>
            </a:graphic>
          </wp:inline>
        </w:drawing>
      </w:r>
    </w:p>
    <w:tbl>
      <w:tblPr>
        <w:tblW w:w="1872" w:type="dxa"/>
        <w:jc w:val="center"/>
        <w:tblInd w:w="0" w:type="dxa"/>
        <w:tblLayout w:type="fixed"/>
        <w:tblCellMar>
          <w:top w:w="28" w:type="dxa"/>
          <w:left w:w="28" w:type="dxa"/>
          <w:bottom w:w="28" w:type="dxa"/>
          <w:right w:w="28" w:type="dxa"/>
        </w:tblCellMar>
      </w:tblPr>
      <w:tblGrid>
        <w:gridCol w:w="124"/>
        <w:gridCol w:w="109"/>
        <w:gridCol w:w="109"/>
        <w:gridCol w:w="447"/>
        <w:gridCol w:w="447"/>
        <w:gridCol w:w="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FF584A"/>
                <w:sz w:val="20"/>
              </w:rPr>
            </w:pPr>
            <w:r>
              <w:rPr>
                <w:rFonts w:ascii="Wingdings;sans-serif" w:hAnsi="Wingdings;sans-serif"/>
                <w:b w:val="false"/>
                <w:color w:val="FF584A"/>
                <w:sz w:val="20"/>
              </w:rPr>
              <w:t>n</w:t>
            </w:r>
          </w:p>
        </w:tc>
        <w:tc>
          <w:tcPr>
            <w:tcW w:w="1530"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Independent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690031"/>
                <w:sz w:val="20"/>
              </w:rPr>
            </w:pPr>
            <w:r>
              <w:rPr>
                <w:rFonts w:ascii="Wingdings;sans-serif" w:hAnsi="Wingdings;sans-serif"/>
                <w:b w:val="false"/>
                <w:color w:val="690031"/>
                <w:sz w:val="20"/>
              </w:rPr>
              <w:t>n</w:t>
            </w:r>
          </w:p>
        </w:tc>
        <w:tc>
          <w:tcPr>
            <w:tcW w:w="1530"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Not Independent</w:t>
            </w:r>
          </w:p>
        </w:tc>
      </w:tr>
    </w:tbl>
    <w:p>
      <w:pPr>
        <w:pStyle w:val="TextBody"/>
        <w:bidi w:val="0"/>
        <w:spacing w:lineRule="atLeast" w:line="320" w:before="0" w:after="0"/>
        <w:jc w:val="center"/>
        <w:rPr>
          <w:rFonts w:ascii="Arial;sans-serif" w:hAnsi="Arial;sans-serif"/>
          <w:b/>
          <w:color w:val="690031"/>
          <w:sz w:val="20"/>
        </w:rPr>
      </w:pPr>
      <w:r>
        <w:rPr>
          <w:rFonts w:ascii="Arial;sans-serif" w:hAnsi="Arial;sans-serif"/>
          <w:b/>
          <w:color w:val="690031"/>
          <w:sz w:val="20"/>
        </w:rPr>
        <w:t>AGE</w:t>
      </w:r>
    </w:p>
    <w:p>
      <w:pPr>
        <w:pStyle w:val="TextBody"/>
        <w:bidi w:val="0"/>
        <w:spacing w:before="0" w:after="0"/>
        <w:jc w:val="center"/>
        <w:rPr/>
      </w:pPr>
      <w:r>
        <w:rPr/>
        <w:drawing>
          <wp:inline distT="0" distB="0" distL="0" distR="0">
            <wp:extent cx="2200275" cy="178117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2200275" cy="1781175"/>
                    </a:xfrm>
                    <a:prstGeom prst="rect">
                      <a:avLst/>
                    </a:prstGeom>
                  </pic:spPr>
                </pic:pic>
              </a:graphicData>
            </a:graphic>
          </wp:inline>
        </w:drawing>
      </w:r>
    </w:p>
    <w:tbl>
      <w:tblPr>
        <w:tblW w:w="1601" w:type="dxa"/>
        <w:jc w:val="center"/>
        <w:tblInd w:w="0" w:type="dxa"/>
        <w:tblLayout w:type="fixed"/>
        <w:tblCellMar>
          <w:top w:w="28" w:type="dxa"/>
          <w:left w:w="28" w:type="dxa"/>
          <w:bottom w:w="28" w:type="dxa"/>
          <w:right w:w="28" w:type="dxa"/>
        </w:tblCellMar>
      </w:tblPr>
      <w:tblGrid>
        <w:gridCol w:w="124"/>
        <w:gridCol w:w="109"/>
        <w:gridCol w:w="109"/>
        <w:gridCol w:w="368"/>
        <w:gridCol w:w="368"/>
        <w:gridCol w:w="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FFEAEC"/>
                <w:sz w:val="20"/>
              </w:rPr>
            </w:pPr>
            <w:r>
              <w:rPr>
                <w:rFonts w:ascii="Wingdings;sans-serif" w:hAnsi="Wingdings;sans-serif"/>
                <w:b w:val="false"/>
                <w:color w:val="FFEAEC"/>
                <w:sz w:val="20"/>
              </w:rPr>
              <w:t>n</w:t>
            </w:r>
          </w:p>
        </w:tc>
        <w:tc>
          <w:tcPr>
            <w:tcW w:w="125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40 and under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FF584A"/>
                <w:sz w:val="20"/>
              </w:rPr>
            </w:pPr>
            <w:r>
              <w:rPr>
                <w:rFonts w:ascii="Wingdings;sans-serif" w:hAnsi="Wingdings;sans-serif"/>
                <w:b w:val="false"/>
                <w:color w:val="FF584A"/>
                <w:sz w:val="20"/>
              </w:rPr>
              <w:t>n</w:t>
            </w:r>
          </w:p>
        </w:tc>
        <w:tc>
          <w:tcPr>
            <w:tcW w:w="125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41 to 55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690031"/>
                <w:sz w:val="20"/>
              </w:rPr>
            </w:pPr>
            <w:r>
              <w:rPr>
                <w:rFonts w:ascii="Wingdings;sans-serif" w:hAnsi="Wingdings;sans-serif"/>
                <w:b w:val="false"/>
                <w:color w:val="690031"/>
                <w:sz w:val="20"/>
              </w:rPr>
              <w:t>n</w:t>
            </w:r>
          </w:p>
        </w:tc>
        <w:tc>
          <w:tcPr>
            <w:tcW w:w="125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Over 55</w:t>
            </w:r>
          </w:p>
        </w:tc>
      </w:tr>
    </w:tbl>
    <w:p>
      <w:pPr>
        <w:pStyle w:val="TextBody"/>
        <w:bidi w:val="0"/>
        <w:spacing w:lineRule="atLeast" w:line="260" w:before="0" w:after="60"/>
        <w:jc w:val="center"/>
        <w:rPr>
          <w:rFonts w:ascii="Arial;sans-serif" w:hAnsi="Arial;sans-serif"/>
          <w:b/>
          <w:color w:val="690031"/>
          <w:sz w:val="20"/>
        </w:rPr>
      </w:pPr>
      <w:r>
        <w:rPr>
          <w:rFonts w:ascii="Arial;sans-serif" w:hAnsi="Arial;sans-serif"/>
          <w:b/>
          <w:color w:val="690031"/>
          <w:sz w:val="20"/>
        </w:rPr>
        <w:t>TENURE</w:t>
      </w:r>
    </w:p>
    <w:p>
      <w:pPr>
        <w:pStyle w:val="TextBody"/>
        <w:bidi w:val="0"/>
        <w:spacing w:before="0" w:after="0"/>
        <w:jc w:val="center"/>
        <w:rPr/>
      </w:pPr>
      <w:r>
        <w:rPr/>
        <w:drawing>
          <wp:inline distT="0" distB="0" distL="0" distR="0">
            <wp:extent cx="2200275" cy="17811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2200275" cy="1781175"/>
                    </a:xfrm>
                    <a:prstGeom prst="rect">
                      <a:avLst/>
                    </a:prstGeom>
                  </pic:spPr>
                </pic:pic>
              </a:graphicData>
            </a:graphic>
          </wp:inline>
        </w:drawing>
      </w:r>
    </w:p>
    <w:tbl>
      <w:tblPr>
        <w:tblW w:w="1961" w:type="dxa"/>
        <w:jc w:val="center"/>
        <w:tblInd w:w="0" w:type="dxa"/>
        <w:tblLayout w:type="fixed"/>
        <w:tblCellMar>
          <w:top w:w="28" w:type="dxa"/>
          <w:left w:w="28" w:type="dxa"/>
          <w:bottom w:w="28" w:type="dxa"/>
          <w:right w:w="28" w:type="dxa"/>
        </w:tblCellMar>
      </w:tblPr>
      <w:tblGrid>
        <w:gridCol w:w="124"/>
        <w:gridCol w:w="109"/>
        <w:gridCol w:w="109"/>
        <w:gridCol w:w="472"/>
        <w:gridCol w:w="472"/>
        <w:gridCol w:w="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FFEAEC"/>
                <w:sz w:val="20"/>
              </w:rPr>
            </w:pPr>
            <w:r>
              <w:rPr>
                <w:rFonts w:ascii="Wingdings;sans-serif" w:hAnsi="Wingdings;sans-serif"/>
                <w:b w:val="false"/>
                <w:color w:val="FFEAEC"/>
                <w:sz w:val="20"/>
              </w:rPr>
              <w:t>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Less than 3 years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FF584A"/>
                <w:sz w:val="20"/>
              </w:rPr>
            </w:pPr>
            <w:r>
              <w:rPr>
                <w:rFonts w:ascii="Wingdings;sans-serif" w:hAnsi="Wingdings;sans-serif"/>
                <w:b w:val="false"/>
                <w:color w:val="FF584A"/>
                <w:sz w:val="20"/>
              </w:rPr>
              <w:t>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3-6 years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690031"/>
                <w:sz w:val="20"/>
              </w:rPr>
            </w:pPr>
            <w:r>
              <w:rPr>
                <w:rFonts w:ascii="Wingdings;sans-serif" w:hAnsi="Wingdings;sans-serif"/>
                <w:b w:val="false"/>
                <w:color w:val="690031"/>
                <w:sz w:val="20"/>
              </w:rPr>
              <w:t>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6+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9140"/>
                <wp:effectExtent l="0" t="0" r="0" b="0"/>
                <wp:wrapNone/>
                <wp:docPr id="23"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Nominees for Director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78"/>
        <w:gridCol w:w="678"/>
        <w:gridCol w:w="678"/>
        <w:gridCol w:w="678"/>
        <w:gridCol w:w="678"/>
        <w:gridCol w:w="678"/>
        <w:gridCol w:w="678"/>
        <w:gridCol w:w="678"/>
        <w:gridCol w:w="71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2766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1866900" cy="3276600"/>
                          </a:xfrm>
                          <a:prstGeom prst="rect">
                            <a:avLst/>
                          </a:prstGeom>
                        </pic:spPr>
                      </pic:pic>
                    </a:graphicData>
                  </a:graphic>
                </wp:inline>
              </w:drawing>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Andrew Lindsay has served as a member of our Board of Directors since July 2021.</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Mr. Lindsay joined Microsoft Corporation, a multinational technology company, in May 2022 and serves as its Corporate Vice President, AI, Data, and Azure, Business Development. Mr. Lindsay previously served as Senior VP of Corporate and Business Development of HubSpot, Inc., a customer relationship management platform, from July 2020 to April 2022 and as HubSpot’s VP of Corporate and Business Development from January 2018 to July 2020. Prior to joining HubSpot, Mr. Lindsay held several positions at Jawbone, a wearable technology company, from December 2011 to December 2017, most recently as the VP of Corporate Development. He was previously a consultant with McKinsey &amp; Company, a management consulting firm, and a mergers and acquisitions investment banker with Merrill Lynch &amp; Co., an investment bank. Mr. Lindsay holds a B.S. in Biology from Howard University, where he also helped found the University's Center for Digital Business. Mr. Lindsay also holds a J.D. from Harvard Law School and an M.B.A. from Harvard Business School.</w:t>
            </w:r>
          </w:p>
        </w:tc>
        <w:tc>
          <w:tcPr>
            <w:tcW w:w="375"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Lindsay is qualified to serve as a member of our Board of Directors because of his extensive experience as an executive of technology companies and his knowledge of our industry.</w:t>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79"/>
        <w:gridCol w:w="679"/>
        <w:gridCol w:w="679"/>
        <w:gridCol w:w="679"/>
        <w:gridCol w:w="679"/>
        <w:gridCol w:w="679"/>
        <w:gridCol w:w="679"/>
        <w:gridCol w:w="679"/>
        <w:gridCol w:w="705"/>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2766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1866900" cy="3276600"/>
                          </a:xfrm>
                          <a:prstGeom prst="rect">
                            <a:avLst/>
                          </a:prstGeom>
                        </pic:spPr>
                      </pic:pic>
                    </a:graphicData>
                  </a:graphic>
                </wp:inline>
              </w:drawing>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Lorrie Norrington has served as our lead independent director since August 2021.</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Ms. Norrington has served as an operating partner of Lead Edge Capital LLC, a growth equity investment firm, since October 2012. Ms. Norrington previously served in several senior management roles at eBay Inc., a multinational e-commerce publicly traded company, from June 2005 to September 2010, including President of Global eBay Marketplaces, Chief Operating Officer of eBay Marketplaces, and President of eBay International. Ms. Norrington currently serves on the boards of directors of Autodesk, Inc., HubSpot, Inc., and Colgate-Palmolive Company, and she also previously served on the boards of directors of Eventbrite, Inc. from April 2015 to August 2020 and of DirectTV from February 2011 to August 2015. Ms. Norrington holds a B.A. in business administration from the University of Maryland, College Park and an M.B.A. from Harvard Business School.</w:t>
            </w:r>
          </w:p>
        </w:tc>
        <w:tc>
          <w:tcPr>
            <w:tcW w:w="373"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Ms. Norrington is qualified to serve as a member of our Board of Directors because of her extensive experience as an executive and board member of many publicly traded companies, including her business acumen, finance expertise, extensive global expertise, and her knowledge of our industry. As a member of the LGBTQ+ community, Ms. Norrington is a passionate advocate for culture and belonging.</w:t>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59435"/>
                <wp:effectExtent l="0" t="0" r="0" b="0"/>
                <wp:wrapNone/>
                <wp:docPr id="26" name="Frame16"/>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11</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0"/>
        <w:gridCol w:w="680"/>
        <w:gridCol w:w="680"/>
        <w:gridCol w:w="680"/>
        <w:gridCol w:w="680"/>
        <w:gridCol w:w="680"/>
        <w:gridCol w:w="680"/>
        <w:gridCol w:w="680"/>
        <w:gridCol w:w="69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1866900" cy="3028950"/>
                          </a:xfrm>
                          <a:prstGeom prst="rect">
                            <a:avLst/>
                          </a:prstGeom>
                        </pic:spPr>
                      </pic:pic>
                    </a:graphicData>
                  </a:graphic>
                </wp:inline>
              </w:drawing>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 xml:space="preserve">Justin Rosenstein co-founded Asana and has served as our Chief Executive Officer from February 2009 to October 2010, and as our President from October 2010 to February 2019. </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Previously, Mr. Rosenstein served as an Engineer and Engineering Manager at Meta Platforms, Inc. (formerly Facebook, Inc.), a social media and networking company, from May 2007 to November 2008, and as a Product Manager at Google Inc., a multinational technology company, from March 2004 to April 2007. Mr. Rosenstein holds a B.S. in mathematics from Stanford University.</w:t>
            </w:r>
          </w:p>
        </w:tc>
        <w:tc>
          <w:tcPr>
            <w:tcW w:w="373"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Rosenstein is qualified to serve as a member of our Board of Directors due to the perspective and experience he brings as our Co-Founder and Former President.</w:t>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Continuing Directors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0"/>
        <w:gridCol w:w="680"/>
        <w:gridCol w:w="680"/>
        <w:gridCol w:w="680"/>
        <w:gridCol w:w="680"/>
        <w:gridCol w:w="680"/>
        <w:gridCol w:w="680"/>
        <w:gridCol w:w="680"/>
        <w:gridCol w:w="69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18135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1866900" cy="3181350"/>
                          </a:xfrm>
                          <a:prstGeom prst="rect">
                            <a:avLst/>
                          </a:prstGeom>
                        </pic:spPr>
                      </pic:pic>
                    </a:graphicData>
                  </a:graphic>
                </wp:inline>
              </w:drawing>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6"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Krista Anderson-Copperman has served as a member of our Board of Directors since July 2022.</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Ms. Anderson-Copperman currently serves as an advisor and board director across a number of private SaaS companies and non-profit entities including Benchling, Cedar, Trove, Attentive, The Advocates for Survivors of Domestic Abuse, and Gainsight. Since January 2022, she has also served as a venture partner at Technology Crossover Ventures (TCV). Ms. Anderson-Copperman was previously the Chief Customer Officer at Okta, Inc., an identity management software company, from March 2014 to March 2020. Prior to joining Okta, she spent 14 years at Salesforce, Inc., an enterprise cloud computing and social enterprise solutions company, from November 2000 to January 2014, where she served in several senior management roles including Senior Vice President Customers for Life and Senior Vice President Global Support &amp; Customer Success. Ms. Anderson-Copperman holds a B.A. in psychology from the University of Oregon.</w:t>
            </w:r>
          </w:p>
        </w:tc>
        <w:tc>
          <w:tcPr>
            <w:tcW w:w="374"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6"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6"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6"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Ms. Anderson-Copperman is qualified to serve as a member of our Board of Directors because of her enterprise leadership experience and her knowledge of our industry.</w:t>
            </w:r>
          </w:p>
        </w:tc>
        <w:tc>
          <w:tcPr>
            <w:tcW w:w="37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9140"/>
                <wp:effectExtent l="0" t="0" r="0" b="0"/>
                <wp:wrapNone/>
                <wp:docPr id="29"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1"/>
        <w:gridCol w:w="681"/>
        <w:gridCol w:w="681"/>
        <w:gridCol w:w="681"/>
        <w:gridCol w:w="681"/>
        <w:gridCol w:w="681"/>
        <w:gridCol w:w="681"/>
        <w:gridCol w:w="681"/>
        <w:gridCol w:w="685"/>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1866900" cy="3028950"/>
                          </a:xfrm>
                          <a:prstGeom prst="rect">
                            <a:avLst/>
                          </a:prstGeom>
                        </pic:spPr>
                      </pic:pic>
                    </a:graphicData>
                  </a:graphic>
                </wp:inline>
              </w:drawing>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Marc Boroditsky has served as a member of our Board of Directors since April 2025.</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Mr. Boroditsky most recently served as President of Revenue at Cloudflare, Inc., a global cloud services provider, from November 2022 to August 2024. Previously, he served in a variety of senior management roles at Twilio Inc., a cloud communication platform, beginning in February 2015, including as Chief Revenue Officer from July 2020 to August 2022. Prior to that, Mr. Boroditsky co-founded a number of technology companies. Mr Boroditsky has served on the board of directors of OneSpan Inc., an identity verification and electronic signature company, since June 2019. Mr. Boroditsky attended the University of California San Diego where he studied management science.</w:t>
            </w:r>
          </w:p>
        </w:tc>
        <w:tc>
          <w:tcPr>
            <w:tcW w:w="37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Boroditsky is qualified to serve as a member of our Board of Directors because of his extensive experience as an executive of technology companies and his knowledge of our industry.</w:t>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79"/>
        <w:gridCol w:w="679"/>
        <w:gridCol w:w="679"/>
        <w:gridCol w:w="679"/>
        <w:gridCol w:w="679"/>
        <w:gridCol w:w="679"/>
        <w:gridCol w:w="679"/>
        <w:gridCol w:w="679"/>
        <w:gridCol w:w="702"/>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1866900" cy="3028950"/>
                          </a:xfrm>
                          <a:prstGeom prst="rect">
                            <a:avLst/>
                          </a:prstGeom>
                        </pic:spPr>
                      </pic:pic>
                    </a:graphicData>
                  </a:graphic>
                </wp:inline>
              </w:drawing>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Sydney Carey has served as a member of our Board of Directors since July 2019.</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Since April 2025, Ms. Carey has served as the Chief Financial Officer of Avalara, Inc., a tax compliance software company. Previously, Ms. Carey served as the Chief Financial Officer of Talkdesk, Inc., a provider of cloud-based contact center software, from August 2021 to April 2025. Ms. Carey also served as an advisor to Sumo Logic, Inc., a data analytics company, from August 2021 to December 2021. Previously, from November 2018 to August 2021, Ms. Carey served as the Chief Financial Officer of Sumo Logic. From December 2017 to October 2018, Ms. Carey served as the Chief Financial Officer for Duo Security, Inc., a software security company. From June 2016 to December 2017, she served as the Chief Financial Officer of Apttus Corporation, a business-to-business software company. From February 2015 to June 2016, she served as the Chief Financial Officer of Zscaler, Inc., an information security company, and from April 2013 to February 2015, she served as the Chief Financial Officer of MongoDB Inc., a software company. Ms. Carey previously served as a member of the board of directors of Lead Edge Growth Opportunities, Ltd, a special purpose acquisition company, from March 2021 to March 2023, Bazaarvoice, Inc. from April 2012 to September 2017, and Proofpoint, Inc. from January 2014 to March 2015. Ms. Carey holds a B.A. in economics from Stanford University.</w:t>
            </w:r>
          </w:p>
        </w:tc>
        <w:tc>
          <w:tcPr>
            <w:tcW w:w="376"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4"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4"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4"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Ms. Carey is qualified to serve as a member of our Board of Directors because of her extensive finance background, including service as a Chief Financial Officer of several companies, her experience as a director of public companies, and her knowledge of our industry.</w:t>
            </w:r>
          </w:p>
        </w:tc>
        <w:tc>
          <w:tcPr>
            <w:tcW w:w="37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59435"/>
                <wp:effectExtent l="0" t="0" r="0" b="0"/>
                <wp:wrapNone/>
                <wp:docPr id="32" name="Frame18"/>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13</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78"/>
        <w:gridCol w:w="678"/>
        <w:gridCol w:w="678"/>
        <w:gridCol w:w="678"/>
        <w:gridCol w:w="678"/>
        <w:gridCol w:w="678"/>
        <w:gridCol w:w="678"/>
        <w:gridCol w:w="678"/>
        <w:gridCol w:w="71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18135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1866900" cy="3181350"/>
                          </a:xfrm>
                          <a:prstGeom prst="rect">
                            <a:avLst/>
                          </a:prstGeom>
                        </pic:spPr>
                      </pic:pic>
                    </a:graphicData>
                  </a:graphic>
                </wp:inline>
              </w:drawing>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Matthew Cohler has served as a member of our Board of Directors since November 2009.</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 xml:space="preserve">Mr. Cohler has been a Partner at Benchmark Capital, a venture capital firm, since June 2008. Before Benchmark Capital, Mr. Cohler served as the Vice President of Product Management at Meta Platforms, Inc. (formerly Facebook, Inc.), a social media and networking company, from 2005 to June 2008, and as the Vice President of LinkedIn Corporation, an internet software company, from 2003 to 2005. Mr. Cohler has served on the board of directors of 1stDibs, Inc., an e-commerce company, since September 2011 and on the board of directors of KKR &amp; Co. Inc., a global investment firm, since December 2021. Mr. Cohler previously served on the boards of directors of Domo, Inc. from July 2011 to March 2019, and Uber Technologies, Inc. from June 2017 to July 2019. Mr. Cohler holds a B.A. in music from Yale University. </w:t>
            </w:r>
          </w:p>
        </w:tc>
        <w:tc>
          <w:tcPr>
            <w:tcW w:w="375"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5"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Cohler is qualified to serve as a member of our Board of Directors because of his extensive experience as an executive and board member of many technology, high-growth, consumer and digital companies, his investment experience, and his knowledge of our industry.</w:t>
            </w:r>
          </w:p>
        </w:tc>
        <w:tc>
          <w:tcPr>
            <w:tcW w:w="375"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0"/>
        <w:gridCol w:w="680"/>
        <w:gridCol w:w="680"/>
        <w:gridCol w:w="680"/>
        <w:gridCol w:w="680"/>
        <w:gridCol w:w="680"/>
        <w:gridCol w:w="680"/>
        <w:gridCol w:w="680"/>
        <w:gridCol w:w="693"/>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1866900" cy="3028950"/>
                          </a:xfrm>
                          <a:prstGeom prst="rect">
                            <a:avLst/>
                          </a:prstGeom>
                        </pic:spPr>
                      </pic:pic>
                    </a:graphicData>
                  </a:graphic>
                </wp:inline>
              </w:drawing>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Adam D’Angelo has served as a member of our Board of Directors since December 2008.</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Mr. D’Angelo founded Quora Inc., a question-and-answer website, and since June 2009, has served as its Chief Executive Officer. From June 2005 to June 2008, Mr. D’Angelo served in a variety of senior roles at Meta Platforms, Inc. (formerly Facebook, Inc.), a social media and networking company, including as Chief Technology Officer, from November 2006 to June 2008. Mr. D’Angelo holds a B.S. in computer science from the California Institute of Technology.</w:t>
            </w:r>
          </w:p>
        </w:tc>
        <w:tc>
          <w:tcPr>
            <w:tcW w:w="37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3"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D’Angelo is qualified to serve as a member of our Board of Directors because of his significant history with our company, his extensive experience as an executive and board member of technology companies, and his knowledge of our industry.</w:t>
            </w:r>
          </w:p>
        </w:tc>
        <w:tc>
          <w:tcPr>
            <w:tcW w:w="37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9140"/>
                <wp:effectExtent l="0" t="0" r="0" b="0"/>
                <wp:wrapNone/>
                <wp:docPr id="35"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08"/>
        <w:gridCol w:w="1008"/>
        <w:gridCol w:w="1010"/>
        <w:gridCol w:w="109"/>
        <w:gridCol w:w="109"/>
        <w:gridCol w:w="109"/>
        <w:gridCol w:w="680"/>
        <w:gridCol w:w="680"/>
        <w:gridCol w:w="680"/>
        <w:gridCol w:w="680"/>
        <w:gridCol w:w="680"/>
        <w:gridCol w:w="680"/>
        <w:gridCol w:w="680"/>
        <w:gridCol w:w="680"/>
        <w:gridCol w:w="69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restart"/>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66900" cy="302895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1866900" cy="3028950"/>
                          </a:xfrm>
                          <a:prstGeom prst="rect">
                            <a:avLst/>
                          </a:prstGeom>
                        </pic:spPr>
                      </pic:pic>
                    </a:graphicData>
                  </a:graphic>
                </wp:inline>
              </w:drawing>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300" w:before="0" w:after="100"/>
              <w:jc w:val="left"/>
              <w:rPr>
                <w:rFonts w:ascii="Inter SemiBold;sans-serif" w:hAnsi="Inter SemiBold;sans-serif"/>
                <w:b w:val="false"/>
                <w:color w:val="690031"/>
                <w:sz w:val="22"/>
              </w:rPr>
            </w:pPr>
            <w:r>
              <w:rPr>
                <w:rFonts w:ascii="Inter SemiBold;sans-serif" w:hAnsi="Inter SemiBold;sans-serif"/>
                <w:b w:val="false"/>
                <w:color w:val="690031"/>
                <w:sz w:val="22"/>
              </w:rPr>
              <w:t>Dustin Moskovitz co-founded Asana and has served as a member of our Board of Directors since December 2008, as our Chief Executive Officer, or CEO, since October 2010, as our President since February 2019, and as our Chair since December 2019.</w:t>
            </w:r>
          </w:p>
          <w:p>
            <w:pPr>
              <w:pStyle w:val="TableContents"/>
              <w:bidi w:val="0"/>
              <w:spacing w:lineRule="atLeast" w:line="240" w:before="0" w:after="0"/>
              <w:jc w:val="left"/>
              <w:rPr>
                <w:rFonts w:ascii="Inter Light;sans-serif" w:hAnsi="Inter Light;sans-serif"/>
                <w:b w:val="false"/>
                <w:color w:val="690031"/>
                <w:sz w:val="16"/>
              </w:rPr>
            </w:pPr>
            <w:r>
              <w:rPr>
                <w:rFonts w:ascii="Inter Light;sans-serif" w:hAnsi="Inter Light;sans-serif"/>
                <w:b w:val="false"/>
                <w:color w:val="690031"/>
                <w:sz w:val="16"/>
              </w:rPr>
              <w:t>Previously, Mr. Moskovitz served as our Chief Financial Officer from February 2009 to January 2017, and as our Secretary from February 2009 to October 2017. Prior to Asana, Mr. Moskovitz co-founded Meta Platforms, Inc. (formerly Facebook, Inc.), a social media and networking company, and from February 2004 to November 2008, he served in a variety of senior roles, including Chief Technology Officer and Vice President of Engineering. Mr. Moskovitz attended Harvard University where he studied economics.</w:t>
            </w:r>
          </w:p>
        </w:tc>
        <w:tc>
          <w:tcPr>
            <w:tcW w:w="373" w:type="dxa"/>
            <w:gridSpan w:val="3"/>
            <w:vMerge w:val="restart"/>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6137" w:type="dxa"/>
            <w:gridSpan w:val="9"/>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18"/>
              </w:rPr>
            </w:pPr>
            <w:r>
              <w:rPr>
                <w:rFonts w:ascii="Inter Medium;sans-serif" w:hAnsi="Inter Medium;sans-serif"/>
                <w:b w:val="false"/>
                <w:color w:val="690031"/>
                <w:sz w:val="18"/>
              </w:rPr>
              <w:t>We believe that Mr. Moskovitz is qualified to serve as a member of our Board of Directors due to the perspective and experience he brings as our Chief Executive Officer and a Co-Founder and due to his extensive experience managing technology companies.</w:t>
            </w:r>
          </w:p>
        </w:tc>
        <w:tc>
          <w:tcPr>
            <w:tcW w:w="373"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Director Independence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Class A common stock is listed on both the NYSE and the LTSE. Under the listing requirements and rules of each of the NYSE and the LTSE, independent directors must comprise a majority of our Board of Directors. In addition, the rules of each of the NYSE and the LTSE require that, subject to specified exceptions, each member of a listed company’s audit, compensation, and nominating and corporate governance committees be independent. Under the rules of the NYSE, a director will only qualify as an “independent director” if the Board determines that the director has no material relationship with the listed company. Under the rules of the LTSE, a director will only qualify as an “independent director” if the Board determines that the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our Audit Committee members must also satisfy the independence criteria set forth in Rule 10A-3 under the Exchange Act. To be considered independent for purposes of Rule 10A-3, a member of an audit committee of a listed company may not, other than in their capacity as a member of the audit committee, the board of directors or any other board committee accept, directly or indirectly, any consulting,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advisory, or other compensatory fee from the listed company or any of its subsidiaries, or be an affiliated person of the listed company or any of its subsidiaries.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has undertaken a review of the independence of each director. Based on information provided by each director concerning their background, employment, and affiliations, our Board of Directors has determined that Mmes. Anderson-Copperman, Carey, and Norrington and Messrs. Boroditsky, Cohler and Lindsay do not have a material relationship with the Company or relationships that would interfere with the exercise of independent judgment in carrying out the responsibilities of a director and that each of these directors is “independent” as that term is defined under the listing standards of each of the NYSE and the LTSE.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Person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59435"/>
                <wp:effectExtent l="0" t="0" r="0" b="0"/>
                <wp:wrapNone/>
                <wp:docPr id="37" name="Frame20"/>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15</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Board Leadership Structure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Dustin Moskovitz currently serves as both the Chairman of our Board of Directors and our CEO. Our independent directors bring experience, oversight, and expertise from outside of our company, while Mr. Moskovitz brings company-specific experience and expertise. As one of our co-founders, Mr. Moskovitz is best positioned to identify strategic priorities, lead critical discussion, and execute our business plans. We believe that the structure of our Board of Directors and its committees provides effective independent oversight of management while Mr. Moskovitz’s combined role enables strong leadership, creates clear accountability, and enhances our ability to communicate our message and strategy clearly and consistently to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Lead Independent Director</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Corporate Governance Guidelines provide that if the Chairman of our Board of Directors is not an independent director, our independent directors will designate one of the independent directors to serve as Lead Independent Director. Because Mr. Moskovitz is our Chairman and CEO, our Board of Directors, including the independent directors, has appointed Lorrie Norrington to serve as our Lead Independent Director. As Lead Independent Director, Ms. Norrington presides over regularly scheduled executive sessions of our independent directors, coordinates activities of the independent directors, presides over any portions of meetings of our Board of Directors at which the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performance of our Board of Directors is presented or discussed, and performs such additional duties as our Board of Directors otherwise determines and delegates.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Board and Stockholder Meetings and Committees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During our fiscal year ended January 31, 2025, our Board of Directors held ten meetings (including regularly scheduled and special meetings), and each incumbent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encourage our directors to attend our annual meeting of stockholders each year. Last year, all of our then-serving directors were present at our annual meeting of stockholders.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otherwise determined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9140"/>
                <wp:effectExtent l="0" t="0" r="0" b="0"/>
                <wp:wrapNone/>
                <wp:docPr id="38"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222"/>
        <w:gridCol w:w="1222"/>
        <w:gridCol w:w="1224"/>
        <w:gridCol w:w="138"/>
        <w:gridCol w:w="138"/>
        <w:gridCol w:w="138"/>
        <w:gridCol w:w="138"/>
        <w:gridCol w:w="138"/>
        <w:gridCol w:w="138"/>
        <w:gridCol w:w="1662"/>
        <w:gridCol w:w="1662"/>
        <w:gridCol w:w="1665"/>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vMerge w:val="restart"/>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480" w:before="0" w:after="0"/>
              <w:jc w:val="left"/>
              <w:rPr>
                <w:rFonts w:ascii="Inter Medium;sans-serif" w:hAnsi="Inter Medium;sans-serif"/>
                <w:b w:val="false"/>
                <w:color w:val="690031"/>
                <w:sz w:val="48"/>
              </w:rPr>
            </w:pPr>
            <w:r>
              <w:rPr>
                <w:rFonts w:ascii="Inter Medium;sans-serif" w:hAnsi="Inter Medium;sans-serif"/>
                <w:b w:val="false"/>
                <w:color w:val="690031"/>
                <w:sz w:val="48"/>
              </w:rPr>
              <w:t xml:space="preserve">Audit </w:t>
            </w:r>
          </w:p>
          <w:p>
            <w:pPr>
              <w:pStyle w:val="TableContents"/>
              <w:bidi w:val="0"/>
              <w:spacing w:lineRule="atLeast" w:line="480" w:before="0" w:after="0"/>
              <w:jc w:val="left"/>
              <w:rPr>
                <w:rFonts w:ascii="Inter Medium;sans-serif" w:hAnsi="Inter Medium;sans-serif"/>
                <w:b w:val="false"/>
                <w:color w:val="690031"/>
                <w:sz w:val="48"/>
              </w:rPr>
            </w:pPr>
            <w:r>
              <w:rPr>
                <w:rFonts w:ascii="Inter Medium;sans-serif" w:hAnsi="Inter Medium;sans-serif"/>
                <w:b w:val="false"/>
                <w:color w:val="690031"/>
                <w:sz w:val="48"/>
              </w:rPr>
              <w:t>Committee</w:t>
            </w:r>
          </w:p>
        </w:tc>
        <w:tc>
          <w:tcPr>
            <w:tcW w:w="414" w:type="dxa"/>
            <w:gridSpan w:val="3"/>
            <w:vMerge w:val="restart"/>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2" w:space="0" w:color="690031"/>
              <w:left w:val="single" w:sz="2" w:space="0" w:color="690031"/>
            </w:tcBorders>
            <w:shd w:fill="FFEAEC" w:val="clear"/>
            <w:tcMar>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Members:</w:t>
            </w:r>
            <w:r>
              <w:rPr>
                <w:color w:val="690031"/>
              </w:rPr>
              <w:t xml:space="preserve"> </w:t>
            </w:r>
            <w:r>
              <w:rPr>
                <w:rFonts w:ascii="Inter Light;sans-serif" w:hAnsi="Inter Light;sans-serif"/>
                <w:b w:val="false"/>
                <w:color w:val="690031"/>
                <w:sz w:val="18"/>
              </w:rPr>
              <w:t>Sydney Carey (Chair), Krista Anderson-Copperman, Andrew Lindsay, and Lorrie Norrington</w:t>
            </w:r>
          </w:p>
        </w:tc>
        <w:tc>
          <w:tcPr>
            <w:tcW w:w="37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2" w:space="0" w:color="690031"/>
            </w:tcBorders>
            <w:shd w:fill="FFEAEC" w:val="clear"/>
            <w:tcMar>
              <w:left w:w="0" w:type="dxa"/>
              <w:bottom w:w="0" w:type="dxa"/>
              <w:right w:w="0" w:type="dxa"/>
            </w:tcMar>
            <w:vAlign w:val="center"/>
          </w:tcPr>
          <w:p>
            <w:pPr>
              <w:pStyle w:val="Normal"/>
              <w:bidi w:val="0"/>
              <w:jc w:val="left"/>
              <w:rPr/>
            </w:pPr>
            <w:r>
              <w:rPr/>
            </w:r>
          </w:p>
        </w:tc>
        <w:tc>
          <w:tcPr>
            <w:tcW w:w="3668" w:type="dxa"/>
            <w:gridSpan w:val="3"/>
            <w:vMerge w:val="continue"/>
            <w:tcBorders>
              <w:top w:val="single" w:sz="2" w:space="0" w:color="690031"/>
              <w:bottom w:val="single" w:sz="2" w:space="0" w:color="690031"/>
            </w:tcBorders>
            <w:shd w:fill="FFEAEC" w:val="clear"/>
            <w:tcMar>
              <w:top w:w="30" w:type="dxa"/>
              <w:left w:w="0" w:type="dxa"/>
              <w:bottom w:w="30" w:type="dxa"/>
              <w:right w:w="0" w:type="dxa"/>
            </w:tcMar>
            <w:vAlign w:val="center"/>
          </w:tcPr>
          <w:p>
            <w:pPr>
              <w:pStyle w:val="Normal"/>
              <w:bidi w:val="0"/>
              <w:jc w:val="left"/>
              <w:rPr/>
            </w:pPr>
            <w:r>
              <w:rPr/>
            </w:r>
          </w:p>
        </w:tc>
        <w:tc>
          <w:tcPr>
            <w:tcW w:w="414" w:type="dxa"/>
            <w:gridSpan w:val="3"/>
            <w:vMerge w:val="continue"/>
            <w:tcBorders>
              <w:top w:val="single" w:sz="2" w:space="0" w:color="690031"/>
              <w:bottom w:val="single" w:sz="2" w:space="0" w:color="690031"/>
            </w:tcBorders>
            <w:shd w:fill="FFEAEC" w:val="clear"/>
            <w:tcMar>
              <w:left w:w="0" w:type="dxa"/>
              <w:right w:w="0" w:type="dxa"/>
            </w:tcMar>
            <w:vAlign w:val="center"/>
          </w:tcPr>
          <w:p>
            <w:pPr>
              <w:pStyle w:val="Normal"/>
              <w:bidi w:val="0"/>
              <w:jc w:val="left"/>
              <w:rPr/>
            </w:pPr>
            <w:r>
              <w:rPr/>
            </w:r>
          </w:p>
        </w:tc>
        <w:tc>
          <w:tcPr>
            <w:tcW w:w="414" w:type="dxa"/>
            <w:gridSpan w:val="3"/>
            <w:tcBorders>
              <w:top w:val="single" w:sz="2" w:space="0" w:color="690031"/>
              <w:left w:val="single" w:sz="2" w:space="0" w:color="690031"/>
              <w:bottom w:val="single" w:sz="2" w:space="0" w:color="690031"/>
            </w:tcBorders>
            <w:shd w:fill="FFEAEC" w:val="clear"/>
            <w:tcMar>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 xml:space="preserve">Number of meetings in fiscal year 2025: </w:t>
            </w:r>
            <w:r>
              <w:rPr>
                <w:rFonts w:ascii="Inter Light;sans-serif" w:hAnsi="Inter Light;sans-serif"/>
                <w:b w:val="false"/>
                <w:color w:val="690031"/>
                <w:sz w:val="18"/>
              </w:rPr>
              <w:t>9</w:t>
            </w:r>
          </w:p>
        </w:tc>
        <w:tc>
          <w:tcPr>
            <w:tcW w:w="378" w:type="dxa"/>
            <w:gridSpan w:val="3"/>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Our Audit Committee consists of Krista Anderson-Copperman, Sydney Carey, Andrew Lindsay, and Lorrie Norrington. Our Board of Directors has determined that each member of the Audit Committee satisfies the independence requirements under the listing standards of each of the NYSE and the LTSE as well as Rule 10A-3(b)(1) of the Exchange Act. The Chair of our Audit Committee is Ms. Carey. Our Board of Directors has determined that Mmes. Carey and Norrington are each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or the nature of their employment.</w:t>
            </w:r>
          </w:p>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12"/>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12"/>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22"/>
              </w:rPr>
            </w:pPr>
            <w:r>
              <w:rPr>
                <w:rFonts w:ascii="Inter Medium;sans-serif" w:hAnsi="Inter Medium;sans-serif"/>
                <w:b w:val="false"/>
                <w:color w:val="690031"/>
                <w:sz w:val="22"/>
              </w:rPr>
              <w:t>Specific responsibilities of our Audit Committee include:</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helping our Board of Directors oversee our corporate accounting and financial reporting processes;     </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managing the selection, engagement, qualifications, independence, and performance of a qualified firm to serve as the independent registered public accounting firm to audit our financial statements;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discussing the scope and results of the audit with the independent registered public accounting firm, and reviewing, with management and the independent accountants, our interim and year-end operating results;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and approving our annual internal audit plan including responsibilities, budget, and staffing of the internal audit function and our plans for the implementation of the internal audit function;</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meeting periodically with our management and our other personnel primarily responsible for the design and implementation of our internal audit function;</w:t>
            </w:r>
          </w:p>
        </w:tc>
        <w:tc>
          <w:tcPr>
            <w:tcW w:w="41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developing procedures for employees to submit concerns anonymously about questionable accounting or audit matters;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 xml:space="preserve">reviewing related party transactions; </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 xml:space="preserve">obtaining and reviewing a report by the independent registered public accounting firm at least annually that describes our internal control procedures, any material issues with such procedures, and any steps taken to deal with such issues when required by applicable law; </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approving or, as required, pre-approving audit and permissible non-audit services to be performed by the independent registered public accounting firm; and</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major financial risk exposures, information security risk, data privacy risk, and cybersecurity risk, and reporting findings to the Board, who has final oversight responsibility over cybersecurity-related matters.</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5"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pPr>
            <w:r>
              <w:rPr>
                <w:rFonts w:ascii="Inter Light;sans-serif" w:hAnsi="Inter Light;sans-serif"/>
                <w:b w:val="false"/>
                <w:color w:val="690031"/>
                <w:sz w:val="18"/>
              </w:rPr>
              <w:t>Our Audit Committee operates under a written charter that satisfies the applicable rules and regulations of the SEC and the listing standards of each of the NYSE and the LTSE. A copy of the charter of our Audit Committee is available on our website at</w:t>
            </w:r>
            <w:r>
              <w:rPr>
                <w:color w:val="000000"/>
              </w:rPr>
              <w:t xml:space="preserve"> </w:t>
            </w:r>
            <w:r>
              <w:rPr>
                <w:rFonts w:ascii="Inter Light;sans-serif" w:hAnsi="Inter Light;sans-serif"/>
                <w:b w:val="false"/>
                <w:color w:val="FF584A"/>
                <w:sz w:val="18"/>
                <w:u w:val="single"/>
              </w:rPr>
              <w:t>https://investors.asana.com/governance/governance-documents</w:t>
            </w:r>
            <w:r>
              <w:rPr>
                <w:rFonts w:ascii="Inter Light;sans-serif" w:hAnsi="Inter Light;sans-serif"/>
                <w:b w:val="false"/>
                <w:color w:val="690031"/>
                <w:sz w:val="18"/>
              </w:rPr>
              <w:t>. During our fiscal year ended January 31, 2025, our Audit Committee held nine meetings.</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59435"/>
                <wp:effectExtent l="0" t="0" r="0" b="0"/>
                <wp:wrapNone/>
                <wp:docPr id="39" name="Frame22"/>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17</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66"/>
        <w:gridCol w:w="1366"/>
        <w:gridCol w:w="1367"/>
        <w:gridCol w:w="120"/>
        <w:gridCol w:w="120"/>
        <w:gridCol w:w="120"/>
        <w:gridCol w:w="120"/>
        <w:gridCol w:w="120"/>
        <w:gridCol w:w="120"/>
        <w:gridCol w:w="2280"/>
        <w:gridCol w:w="1193"/>
        <w:gridCol w:w="1195"/>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3"/>
            <w:vMerge w:val="restart"/>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480" w:before="0" w:after="283"/>
              <w:jc w:val="left"/>
              <w:rPr>
                <w:rFonts w:ascii="Inter Medium;sans-serif" w:hAnsi="Inter Medium;sans-serif"/>
                <w:b w:val="false"/>
                <w:color w:val="690031"/>
                <w:sz w:val="48"/>
              </w:rPr>
            </w:pPr>
            <w:r>
              <w:rPr>
                <w:rFonts w:ascii="Inter Medium;sans-serif" w:hAnsi="Inter Medium;sans-serif"/>
                <w:b w:val="false"/>
                <w:color w:val="690031"/>
                <w:sz w:val="48"/>
              </w:rPr>
              <w:t xml:space="preserve">Compensation </w:t>
              <w:br/>
              <w:t>Committee</w:t>
            </w:r>
          </w:p>
        </w:tc>
        <w:tc>
          <w:tcPr>
            <w:tcW w:w="360" w:type="dxa"/>
            <w:gridSpan w:val="3"/>
            <w:vMerge w:val="restart"/>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2" w:space="0" w:color="690031"/>
              <w:left w:val="single" w:sz="2" w:space="0" w:color="690031"/>
            </w:tcBorders>
            <w:shd w:fill="FFEAEC"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Members:</w:t>
            </w:r>
            <w:r>
              <w:rPr>
                <w:color w:val="690031"/>
              </w:rPr>
              <w:t xml:space="preserve"> </w:t>
            </w:r>
            <w:r>
              <w:rPr>
                <w:rFonts w:ascii="Inter Light;sans-serif" w:hAnsi="Inter Light;sans-serif"/>
                <w:b w:val="false"/>
                <w:color w:val="690031"/>
                <w:sz w:val="18"/>
              </w:rPr>
              <w:t>Krista Anderson-Copperman (Chair), Marc Boroditsky, and Sydney Carey</w:t>
            </w:r>
          </w:p>
        </w:tc>
        <w:tc>
          <w:tcPr>
            <w:tcW w:w="376"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2" w:space="0" w:color="690031"/>
            </w:tcBorders>
            <w:shd w:fill="FFEAEC" w:val="clear"/>
            <w:tcMar>
              <w:left w:w="0" w:type="dxa"/>
              <w:bottom w:w="0" w:type="dxa"/>
              <w:right w:w="0" w:type="dxa"/>
            </w:tcMar>
            <w:vAlign w:val="center"/>
          </w:tcPr>
          <w:p>
            <w:pPr>
              <w:pStyle w:val="Normal"/>
              <w:bidi w:val="0"/>
              <w:jc w:val="left"/>
              <w:rPr/>
            </w:pPr>
            <w:r>
              <w:rPr/>
            </w:r>
          </w:p>
        </w:tc>
        <w:tc>
          <w:tcPr>
            <w:tcW w:w="4099" w:type="dxa"/>
            <w:gridSpan w:val="3"/>
            <w:vMerge w:val="continue"/>
            <w:tcBorders>
              <w:top w:val="single" w:sz="2" w:space="0" w:color="690031"/>
              <w:bottom w:val="single" w:sz="2" w:space="0" w:color="690031"/>
            </w:tcBorders>
            <w:shd w:fill="FFEAEC" w:val="clear"/>
            <w:tcMar>
              <w:top w:w="30" w:type="dxa"/>
              <w:left w:w="0" w:type="dxa"/>
              <w:bottom w:w="30" w:type="dxa"/>
              <w:right w:w="0" w:type="dxa"/>
            </w:tcMar>
            <w:vAlign w:val="center"/>
          </w:tcPr>
          <w:p>
            <w:pPr>
              <w:pStyle w:val="Normal"/>
              <w:bidi w:val="0"/>
              <w:jc w:val="left"/>
              <w:rPr/>
            </w:pPr>
            <w:r>
              <w:rPr/>
            </w:r>
          </w:p>
        </w:tc>
        <w:tc>
          <w:tcPr>
            <w:tcW w:w="360" w:type="dxa"/>
            <w:gridSpan w:val="3"/>
            <w:vMerge w:val="continue"/>
            <w:tcBorders>
              <w:top w:val="single" w:sz="2" w:space="0" w:color="690031"/>
              <w:bottom w:val="single" w:sz="2" w:space="0" w:color="690031"/>
            </w:tcBorders>
            <w:shd w:fill="FFEAEC" w:val="clear"/>
            <w:tcMar>
              <w:left w:w="0" w:type="dxa"/>
              <w:right w:w="0" w:type="dxa"/>
            </w:tcMar>
            <w:vAlign w:val="center"/>
          </w:tcPr>
          <w:p>
            <w:pPr>
              <w:pStyle w:val="Normal"/>
              <w:bidi w:val="0"/>
              <w:jc w:val="left"/>
              <w:rPr/>
            </w:pPr>
            <w:r>
              <w:rPr/>
            </w:r>
          </w:p>
        </w:tc>
        <w:tc>
          <w:tcPr>
            <w:tcW w:w="360" w:type="dxa"/>
            <w:gridSpan w:val="3"/>
            <w:tcBorders>
              <w:top w:val="single" w:sz="2" w:space="0" w:color="690031"/>
              <w:left w:val="single" w:sz="2" w:space="0" w:color="690031"/>
              <w:bottom w:val="single" w:sz="2" w:space="0" w:color="690031"/>
            </w:tcBorders>
            <w:shd w:fill="FFEAEC" w:val="clear"/>
            <w:tcMar>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 xml:space="preserve">Number of meetings in fiscal year 2025: </w:t>
            </w:r>
            <w:r>
              <w:rPr>
                <w:rFonts w:ascii="Inter Light;sans-serif" w:hAnsi="Inter Light;sans-serif"/>
                <w:b w:val="false"/>
                <w:color w:val="690031"/>
                <w:sz w:val="18"/>
              </w:rPr>
              <w:t>4</w:t>
            </w:r>
          </w:p>
        </w:tc>
        <w:tc>
          <w:tcPr>
            <w:tcW w:w="376" w:type="dxa"/>
            <w:gridSpan w:val="3"/>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Our Compensation Committee consists of Krista Anderson-Copperman, Marc Boroditsky, and Sydney Carey. The Chair of our Compensation Committee is Ms. Anderson-Copperman. Our Board of Directors has determined that all members of our Compensation Committee are independent under the listing standards of each of the NYSE and the LTSE.</w:t>
            </w:r>
          </w:p>
          <w:p>
            <w:pPr>
              <w:pStyle w:val="TableContents"/>
              <w:bidi w:val="0"/>
              <w:spacing w:lineRule="atLeast" w:line="260" w:before="0" w:after="180"/>
              <w:jc w:val="left"/>
              <w:rPr>
                <w:rFonts w:ascii="Inter Light;sans-serif" w:hAnsi="Inter Light;sans-serif"/>
                <w:b w:val="false"/>
                <w:color w:val="690031"/>
                <w:sz w:val="18"/>
              </w:rPr>
            </w:pPr>
            <w:r>
              <w:rPr>
                <w:rFonts w:ascii="Inter Light;sans-serif" w:hAnsi="Inter Light;sans-serif"/>
                <w:b w:val="false"/>
                <w:color w:val="690031"/>
                <w:sz w:val="18"/>
              </w:rPr>
              <w:t>The primary purpose of our Compensation Committee is to discharge the responsibilities of our Board of Directors in overseeing our compensation program, policies, and practices, and to review and determine the compensation to be paid to our CEO and other executive officers, the non-employee members of our Board of Directors, and other senior management, as appropriate.</w:t>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12"/>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12"/>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22"/>
              </w:rPr>
            </w:pPr>
            <w:r>
              <w:rPr>
                <w:rFonts w:ascii="Inter Medium;sans-serif" w:hAnsi="Inter Medium;sans-serif"/>
                <w:b w:val="false"/>
                <w:color w:val="690031"/>
                <w:sz w:val="22"/>
              </w:rPr>
              <w:t>Specific responsibilities of our Audit Committee include:</w:t>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approving, and determining, or recommending to our Board of Directors, the compensation of our CEO and other executive officers;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and recommending to our Board of Directors the compensation of our directors;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administering our equity incentive plans and other benefit programs;</w:t>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reviewing, adopting, amending, and terminating, or recommending to our Board of Directors, incentive compensation and equity plans, severance agreements, profit sharing plans, bonus plans, change-of-control protections, and any other compensatory arrangements for our executive officers and other senior management; and</w:t>
            </w:r>
          </w:p>
          <w:p>
            <w:pPr>
              <w:pStyle w:val="TableContents"/>
              <w:bidi w:val="0"/>
              <w:spacing w:lineRule="atLeast" w:line="260" w:before="0" w:after="180"/>
              <w:ind w:left="0" w:right="0" w:hanging="216"/>
              <w:jc w:val="left"/>
              <w:rPr/>
            </w:pPr>
            <w:r>
              <w:rPr>
                <w:color w:val="690031"/>
              </w:rPr>
              <w:t>•</w:t>
            </w:r>
            <w:r>
              <w:rPr>
                <w:rFonts w:ascii="Inter Light;sans-serif" w:hAnsi="Inter Light;sans-serif"/>
                <w:b w:val="false"/>
                <w:color w:val="690031"/>
                <w:sz w:val="18"/>
              </w:rPr>
              <w:t>reviewing and establishing general policies relating to compensation and benefits of our employees, including our overall compensation philosophy.</w:t>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pPr>
            <w:r>
              <w:rPr>
                <w:rFonts w:ascii="Inter Light;sans-serif" w:hAnsi="Inter Light;sans-serif"/>
                <w:b w:val="false"/>
                <w:color w:val="690031"/>
                <w:sz w:val="18"/>
              </w:rPr>
              <w:t>Our Compensation Committee operates under a written charter that satisfies the applicable rules and regulations of the SEC and the listing standards of each of the NYSE and the LTSE. A copy of the charter of our Compensation Committee is available on our website at</w:t>
            </w:r>
            <w:r>
              <w:rPr>
                <w:color w:val="000000"/>
              </w:rPr>
              <w:t xml:space="preserve"> </w:t>
            </w:r>
            <w:r>
              <w:rPr>
                <w:rFonts w:ascii="Inter Light;sans-serif" w:hAnsi="Inter Light;sans-serif"/>
                <w:b w:val="false"/>
                <w:color w:val="FF584A"/>
                <w:sz w:val="18"/>
                <w:u w:val="single"/>
              </w:rPr>
              <w:t>https://investors.asana.com/governance/governance-documents</w:t>
            </w:r>
            <w:r>
              <w:rPr>
                <w:rFonts w:ascii="Inter Light;sans-serif" w:hAnsi="Inter Light;sans-serif"/>
                <w:b w:val="false"/>
                <w:color w:val="690031"/>
                <w:sz w:val="18"/>
              </w:rPr>
              <w:t>. During our fiscal year ended January 31, 2025, our Compensation Committee held four meetings.</w:t>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39140"/>
                <wp:effectExtent l="0" t="0" r="0" b="0"/>
                <wp:wrapNone/>
                <wp:docPr id="40"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18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619"/>
        <w:gridCol w:w="1619"/>
        <w:gridCol w:w="1621"/>
        <w:gridCol w:w="120"/>
        <w:gridCol w:w="120"/>
        <w:gridCol w:w="120"/>
        <w:gridCol w:w="120"/>
        <w:gridCol w:w="120"/>
        <w:gridCol w:w="120"/>
        <w:gridCol w:w="1564"/>
        <w:gridCol w:w="1169"/>
        <w:gridCol w:w="1172"/>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480" w:before="0" w:after="283"/>
              <w:jc w:val="left"/>
              <w:rPr>
                <w:rFonts w:ascii="Inter Medium;sans-serif" w:hAnsi="Inter Medium;sans-serif"/>
                <w:b w:val="false"/>
                <w:color w:val="690031"/>
                <w:sz w:val="44"/>
              </w:rPr>
            </w:pPr>
            <w:r>
              <w:rPr>
                <w:rFonts w:ascii="Inter Medium;sans-serif" w:hAnsi="Inter Medium;sans-serif"/>
                <w:b w:val="false"/>
                <w:color w:val="690031"/>
                <w:sz w:val="44"/>
              </w:rPr>
              <w:t>Nominating and Corporate Governance Committee</w:t>
            </w:r>
          </w:p>
        </w:tc>
        <w:tc>
          <w:tcPr>
            <w:tcW w:w="360" w:type="dxa"/>
            <w:gridSpan w:val="3"/>
            <w:vMerge w:val="restart"/>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2" w:space="0" w:color="690031"/>
              <w:left w:val="single" w:sz="2" w:space="0" w:color="690031"/>
            </w:tcBorders>
            <w:shd w:fill="FFEAEC" w:val="clear"/>
            <w:tcMar>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Members:</w:t>
            </w:r>
            <w:r>
              <w:rPr>
                <w:color w:val="690031"/>
              </w:rPr>
              <w:t xml:space="preserve"> </w:t>
            </w:r>
            <w:r>
              <w:rPr>
                <w:rFonts w:ascii="Inter Light;sans-serif" w:hAnsi="Inter Light;sans-serif"/>
                <w:b w:val="false"/>
                <w:color w:val="690031"/>
                <w:sz w:val="18"/>
              </w:rPr>
              <w:t>Andrew Lindsay (Chair), Matthew Cohler, and Lorrie Norrington</w:t>
            </w:r>
          </w:p>
        </w:tc>
        <w:tc>
          <w:tcPr>
            <w:tcW w:w="379"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2" w:space="0" w:color="690031"/>
            </w:tcBorders>
            <w:shd w:fill="FFEAEC" w:val="clear"/>
            <w:tcMar>
              <w:left w:w="0" w:type="dxa"/>
              <w:bottom w:w="0" w:type="dxa"/>
              <w:right w:w="0" w:type="dxa"/>
            </w:tcMar>
            <w:vAlign w:val="center"/>
          </w:tcPr>
          <w:p>
            <w:pPr>
              <w:pStyle w:val="Normal"/>
              <w:bidi w:val="0"/>
              <w:jc w:val="left"/>
              <w:rPr/>
            </w:pPr>
            <w:r>
              <w:rPr/>
            </w:r>
          </w:p>
        </w:tc>
        <w:tc>
          <w:tcPr>
            <w:tcW w:w="4859" w:type="dxa"/>
            <w:gridSpan w:val="3"/>
            <w:vMerge w:val="continue"/>
            <w:tcBorders>
              <w:top w:val="single" w:sz="2" w:space="0" w:color="690031"/>
              <w:bottom w:val="single" w:sz="2" w:space="0" w:color="690031"/>
            </w:tcBorders>
            <w:shd w:fill="FFEAEC" w:val="clear"/>
            <w:tcMar>
              <w:top w:w="30" w:type="dxa"/>
              <w:left w:w="0" w:type="dxa"/>
              <w:bottom w:w="30" w:type="dxa"/>
              <w:right w:w="0" w:type="dxa"/>
            </w:tcMar>
            <w:vAlign w:val="center"/>
          </w:tcPr>
          <w:p>
            <w:pPr>
              <w:pStyle w:val="Normal"/>
              <w:bidi w:val="0"/>
              <w:jc w:val="left"/>
              <w:rPr/>
            </w:pPr>
            <w:r>
              <w:rPr/>
            </w:r>
          </w:p>
        </w:tc>
        <w:tc>
          <w:tcPr>
            <w:tcW w:w="360" w:type="dxa"/>
            <w:gridSpan w:val="3"/>
            <w:vMerge w:val="continue"/>
            <w:tcBorders>
              <w:top w:val="single" w:sz="2" w:space="0" w:color="690031"/>
              <w:bottom w:val="single" w:sz="2" w:space="0" w:color="690031"/>
            </w:tcBorders>
            <w:shd w:fill="FFEAEC" w:val="clear"/>
            <w:tcMar>
              <w:left w:w="0" w:type="dxa"/>
              <w:right w:w="0" w:type="dxa"/>
            </w:tcMar>
            <w:vAlign w:val="center"/>
          </w:tcPr>
          <w:p>
            <w:pPr>
              <w:pStyle w:val="Normal"/>
              <w:bidi w:val="0"/>
              <w:jc w:val="left"/>
              <w:rPr/>
            </w:pPr>
            <w:r>
              <w:rPr/>
            </w:r>
          </w:p>
        </w:tc>
        <w:tc>
          <w:tcPr>
            <w:tcW w:w="360" w:type="dxa"/>
            <w:gridSpan w:val="3"/>
            <w:tcBorders>
              <w:top w:val="single" w:sz="2" w:space="0" w:color="690031"/>
              <w:left w:val="single" w:sz="2" w:space="0" w:color="690031"/>
              <w:bottom w:val="single" w:sz="2" w:space="0" w:color="690031"/>
            </w:tcBorders>
            <w:shd w:fill="FFEAEC" w:val="clear"/>
            <w:tcMar>
              <w:right w:w="0" w:type="dxa"/>
            </w:tcMar>
            <w:vAlign w:val="center"/>
          </w:tcPr>
          <w:p>
            <w:pPr>
              <w:pStyle w:val="TableContents"/>
              <w:bidi w:val="0"/>
              <w:spacing w:before="0" w:after="283"/>
              <w:jc w:val="left"/>
              <w:rPr>
                <w:sz w:val="4"/>
                <w:szCs w:val="4"/>
              </w:rPr>
            </w:pPr>
            <w:r>
              <w:rPr>
                <w:sz w:val="4"/>
                <w:szCs w:val="4"/>
              </w:rPr>
            </w:r>
          </w:p>
        </w:tc>
        <w:tc>
          <w:tcPr>
            <w:tcW w:w="3905" w:type="dxa"/>
            <w:gridSpan w:val="3"/>
            <w:tcBorders>
              <w:top w:val="single" w:sz="2" w:space="0" w:color="690031"/>
              <w:bottom w:val="single" w:sz="2" w:space="0" w:color="690031"/>
            </w:tcBorders>
            <w:shd w:fill="FFEAEC" w:val="clear"/>
            <w:tcMar>
              <w:top w:w="30" w:type="dxa"/>
              <w:left w:w="0" w:type="dxa"/>
              <w:bottom w:w="30" w:type="dxa"/>
              <w:right w:w="0" w:type="dxa"/>
            </w:tcMar>
            <w:vAlign w:val="center"/>
          </w:tcPr>
          <w:p>
            <w:pPr>
              <w:pStyle w:val="TableContents"/>
              <w:bidi w:val="0"/>
              <w:spacing w:lineRule="atLeast" w:line="260" w:before="0" w:after="0"/>
              <w:jc w:val="left"/>
              <w:rPr/>
            </w:pPr>
            <w:r>
              <w:rPr>
                <w:rFonts w:ascii="Inter Medium;sans-serif" w:hAnsi="Inter Medium;sans-serif"/>
                <w:b w:val="false"/>
                <w:color w:val="690031"/>
                <w:sz w:val="18"/>
              </w:rPr>
              <w:t xml:space="preserve">Number of meetings in fiscal year 2025: </w:t>
            </w:r>
            <w:r>
              <w:rPr>
                <w:rFonts w:ascii="Inter Light;sans-serif" w:hAnsi="Inter Light;sans-serif"/>
                <w:b w:val="false"/>
                <w:color w:val="690031"/>
                <w:sz w:val="18"/>
              </w:rPr>
              <w:t>4</w:t>
            </w:r>
          </w:p>
        </w:tc>
        <w:tc>
          <w:tcPr>
            <w:tcW w:w="379" w:type="dxa"/>
            <w:gridSpan w:val="3"/>
            <w:tcBorders>
              <w:top w:val="single" w:sz="2" w:space="0" w:color="690031"/>
              <w:bottom w:val="single" w:sz="2"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FFEAEC" w:val="clear"/>
            <w:tcMar>
              <w:top w:w="0" w:type="dxa"/>
              <w:left w:w="0" w:type="dxa"/>
              <w:bottom w:w="0" w:type="dxa"/>
              <w:right w:w="0" w:type="dxa"/>
            </w:tcMar>
            <w:vAlign w:val="center"/>
          </w:tcPr>
          <w:p>
            <w:pPr>
              <w:pStyle w:val="TableContents"/>
              <w:bidi w:val="0"/>
              <w:spacing w:lineRule="atLeast" w:line="260" w:before="0" w:after="283"/>
              <w:jc w:val="left"/>
              <w:rPr>
                <w:rFonts w:ascii="Inter Light;sans-serif" w:hAnsi="Inter Light;sans-serif"/>
                <w:b w:val="false"/>
                <w:color w:val="690031"/>
                <w:sz w:val="18"/>
              </w:rPr>
            </w:pPr>
            <w:r>
              <w:rPr>
                <w:rFonts w:ascii="Inter Light;sans-serif" w:hAnsi="Inter Light;sans-serif"/>
                <w:b w:val="false"/>
                <w:color w:val="690031"/>
                <w:sz w:val="18"/>
              </w:rPr>
              <w:t>Our Nominating and Corporate Governance Committee consists of Matthew Cohler, Andrew Lindsay, and Lorrie Norrington. The Chair of our Nominating and Corporate Governance Committee is Mr. Lindsay. Our Board of Directors has determined that each member of the Nominating and Corporate Governance committee is independent under the listing standards of each of the NYSE and the LTSE.</w:t>
            </w:r>
          </w:p>
        </w:tc>
        <w:tc>
          <w:tcPr>
            <w:tcW w:w="37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FFEAEC" w:val="clear"/>
            <w:tcMar>
              <w:top w:w="0" w:type="dxa"/>
              <w:left w:w="0" w:type="dxa"/>
              <w:bottom w:w="0" w:type="dxa"/>
              <w:right w:w="0" w:type="dxa"/>
            </w:tcMar>
            <w:vAlign w:val="center"/>
          </w:tcPr>
          <w:p>
            <w:pPr>
              <w:pStyle w:val="TableContents"/>
              <w:bidi w:val="0"/>
              <w:spacing w:lineRule="atLeast" w:line="260" w:before="0" w:after="0"/>
              <w:jc w:val="left"/>
              <w:rPr>
                <w:rFonts w:ascii="Inter Medium;sans-serif" w:hAnsi="Inter Medium;sans-serif"/>
                <w:b w:val="false"/>
                <w:color w:val="690031"/>
                <w:sz w:val="22"/>
              </w:rPr>
            </w:pPr>
            <w:r>
              <w:rPr>
                <w:rFonts w:ascii="Inter Medium;sans-serif" w:hAnsi="Inter Medium;sans-serif"/>
                <w:b w:val="false"/>
                <w:color w:val="690031"/>
                <w:sz w:val="22"/>
              </w:rPr>
              <w:t>Specific responsibilities of our Audit Committee include:</w:t>
            </w:r>
          </w:p>
        </w:tc>
        <w:tc>
          <w:tcPr>
            <w:tcW w:w="37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identifying and evaluating candidates, including the nomination of incumbent directors for reelection and nominees recommended by stockholders, to serve on our Board of Directors;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considering and making recommendations to our Board of Directors regarding the composition and leadership of our Board of Directors and its committees;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 xml:space="preserve">reviewing, developing, and making recommendations to our Board of Directors regarding corporate governance guidelines and matters; </w:t>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3"/>
            <w:tcBorders/>
            <w:shd w:fill="FFEAEC" w:val="clear"/>
            <w:tcMar>
              <w:top w:w="0" w:type="dxa"/>
              <w:left w:w="0" w:type="dxa"/>
              <w:bottom w:w="0" w:type="dxa"/>
              <w:right w:w="0" w:type="dxa"/>
            </w:tcMar>
            <w:vAlign w:val="center"/>
          </w:tcPr>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overseeing periodic evaluations of the Board of Directors’ performance, including committees of the Board of Directors;</w:t>
            </w:r>
          </w:p>
          <w:p>
            <w:pPr>
              <w:pStyle w:val="TableContents"/>
              <w:bidi w:val="0"/>
              <w:spacing w:lineRule="atLeast" w:line="260" w:before="0" w:after="120"/>
              <w:ind w:left="0" w:right="0" w:hanging="216"/>
              <w:jc w:val="left"/>
              <w:rPr/>
            </w:pPr>
            <w:r>
              <w:rPr>
                <w:color w:val="690031"/>
              </w:rPr>
              <w:t>•</w:t>
            </w:r>
            <w:r>
              <w:rPr>
                <w:rFonts w:ascii="Inter Light;sans-serif" w:hAnsi="Inter Light;sans-serif"/>
                <w:b w:val="false"/>
                <w:color w:val="690031"/>
                <w:sz w:val="18"/>
              </w:rPr>
              <w:t>overseeing environmental, corporate social responsibility, corporate governance, sustainability, and other public policy matters relevant to us, our business, and our key stakeholders, or ESG Matters; and</w:t>
            </w:r>
          </w:p>
          <w:p>
            <w:pPr>
              <w:pStyle w:val="TableContents"/>
              <w:bidi w:val="0"/>
              <w:spacing w:lineRule="atLeast" w:line="260" w:before="0" w:after="180"/>
              <w:ind w:left="0" w:right="0" w:hanging="216"/>
              <w:jc w:val="left"/>
              <w:rPr/>
            </w:pPr>
            <w:r>
              <w:rPr>
                <w:color w:val="690031"/>
              </w:rPr>
              <w:t>•</w:t>
            </w:r>
            <w:r>
              <w:rPr>
                <w:rFonts w:ascii="Inter Light;sans-serif" w:hAnsi="Inter Light;sans-serif"/>
                <w:b w:val="false"/>
                <w:color w:val="690031"/>
                <w:sz w:val="18"/>
              </w:rPr>
              <w:t>reviewing with management and, where appropriate, liaising with the appropriate committee(s) of the Board to make recommendations to management and the Board regarding our goals, strategy, policies, and practices with respect to ESG Matters.</w:t>
            </w:r>
          </w:p>
        </w:tc>
        <w:tc>
          <w:tcPr>
            <w:tcW w:w="37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FFEAEC" w:val="clear"/>
            <w:tcMar>
              <w:top w:w="0" w:type="dxa"/>
              <w:left w:w="0" w:type="dxa"/>
              <w:bottom w:w="0" w:type="dxa"/>
              <w:right w:w="0" w:type="dxa"/>
            </w:tcMar>
            <w:vAlign w:val="center"/>
          </w:tcPr>
          <w:p>
            <w:pPr>
              <w:pStyle w:val="TableContents"/>
              <w:bidi w:val="0"/>
              <w:spacing w:lineRule="atLeast" w:line="260" w:before="0" w:after="180"/>
              <w:jc w:val="left"/>
              <w:rPr/>
            </w:pPr>
            <w:r>
              <w:rPr>
                <w:rFonts w:ascii="Inter Light;sans-serif" w:hAnsi="Inter Light;sans-serif"/>
                <w:b w:val="false"/>
                <w:color w:val="690031"/>
                <w:sz w:val="18"/>
              </w:rPr>
              <w:t>Our Nominating and Corporate Governance Committee operates under a written charter that satisfies the applicable listing standards of the NYSE. A copy of the charter of our Nominating and Corporate Governance Committee is available on our website at</w:t>
            </w:r>
            <w:r>
              <w:rPr>
                <w:color w:val="000000"/>
              </w:rPr>
              <w:t xml:space="preserve"> </w:t>
            </w:r>
            <w:r>
              <w:rPr>
                <w:rFonts w:ascii="Inter Light;sans-serif" w:hAnsi="Inter Light;sans-serif"/>
                <w:b w:val="false"/>
                <w:color w:val="FF584A"/>
                <w:sz w:val="18"/>
                <w:u w:val="single"/>
              </w:rPr>
              <w:t>https://investors.asana.com/governance/governance-documents</w:t>
            </w:r>
            <w:r>
              <w:rPr>
                <w:rFonts w:ascii="Inter Light;sans-serif" w:hAnsi="Inter Light;sans-serif"/>
                <w:b w:val="false"/>
                <w:color w:val="690031"/>
                <w:sz w:val="18"/>
              </w:rPr>
              <w:t>. During our fiscal year ended January 31, 2025, our Nominating and Corporate Governance Committee held four meetings.</w:t>
            </w:r>
          </w:p>
        </w:tc>
        <w:tc>
          <w:tcPr>
            <w:tcW w:w="37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Compensation Committee Interlocks and Insider Participation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Considerations in Evaluating Director Nominees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independence, area of expertise, experience, length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59435"/>
                <wp:effectExtent l="0" t="0" r="0" b="0"/>
                <wp:wrapNone/>
                <wp:docPr id="41" name="Frame24"/>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19</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service, potential conflicts of interest, and other commitments. The Nominating and Corporate Governance Committee requires the following minimum qualifications to be satisfied by any nominee for a position on the Board of Directors: high personal and professional ethics and integrity, proven achievement and competence in the nominee’s field, the ability to exercise sound business judgment, having skills that are complementary to those of the existing Board, the ability to assist and support management and make significant contributions to our company’s success, and an understanding of the fiduciary responsibilities that are required of a member of the Board and the commitment of time and energy necessary to diligently carry out those responsibilities.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believes that our Board of Directors should reflect a broad range of perspectives, and accordingly, our Nominating and Corporate Governance Committee considers a broad range of candidates with a variety of experiences when evaluating director nominees. In making determinations regarding nominations of directors, our Nominating and Corporate Governance Committee may take into account the benefits of directors with a broad range of viewpoints.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Stockholder Recommendations for Nominations to the Board of Directors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Nominating and Corporate Governance Committee will consider candidates for director recommended by stockholders holding at least one percent (1%) of the fully diluted capitalization of our company continuously for at least twelve (12) months prior to the date of the submission of the recommendation, so long as such recommendations comply with our restated certificate of incorporation and bylaws and applicable laws, rules, and regulations, including those promulgated by the SEC. Our Nominating and Corporate Governance Committee will evaluate such recommendations in accordance with its charter, our bylaws, our policies and procedures for director candidates, as well as the regular director nominee criteria described above. This process is designed to ensure that our Board of Directors includes members with a broad range of perspectives, skills, and experience, including appropriate financial and other expertise relevant to our business. Eligible stockholders wishing to recommend a candidate for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nomination should contact our Corporate Secretary and General Counsel or our Legal Department in writing at the address set forth below.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Our Nominating and Corporate Governance Committee has discretion to decide which individuals to recommend for nomination as directors.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Under our bylaws, stockholders may also nominate persons for our Board of Directors. Any nomination must comply with the requirements set forth in our bylaws and should be sent in writing to our Corporate Secretary and General Counsel or our Legal Department at Asana, Inc., 633 Folsom Street, Suite 100, San Francisco, California 94107. To be timely for our 2026 annual meeting of stockholders, our Corporate Secretary and General Counsel or Legal Department must receive the nomination no earlier than February 16, 2026 and no later than March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Communications with the Board of Directors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Corporate Secretary and General Counsel at Asana, Inc., 633 Folsom Street, Suite 100, San Francisco, California 94107. Our Corporate Secretary and General Counsel or Legal Department, in consultation with appropriate members of our Board of Directors as necessary, will review all incoming communications and, if appropriate, such communications will be forwarded to the appropriate member or members of our Board of Directors, or if none is specified, to the Chair of our Board of Directors or the Lead Independent Director if the Chair of the Board is not independent.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Corporate Governance Guidelines and Code of Conduct and Ethics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Conduct and Ethics that applies to all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39140"/>
                <wp:effectExtent l="0" t="0" r="0" b="0"/>
                <wp:wrapNone/>
                <wp:docPr id="42"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p>
      <w:pPr>
        <w:pStyle w:val="TextBody"/>
        <w:bidi w:val="0"/>
        <w:spacing w:lineRule="atLeast" w:line="260" w:before="0" w:after="180"/>
        <w:jc w:val="left"/>
        <w:rPr/>
      </w:pPr>
      <w:r>
        <w:rPr>
          <w:rFonts w:ascii="Inter Light;sans-serif" w:hAnsi="Inter Light;sans-serif"/>
          <w:b w:val="false"/>
          <w:color w:val="000000"/>
          <w:sz w:val="18"/>
        </w:rPr>
        <w:t xml:space="preserve">our employees, officers, and directors, including our CEO, Chief Financial Officer, and other executive and senior financial officers. The full text of our Corporate Governance Guidelines and our Code of Conduct and Ethics is posted on our Investor Relations website at </w:t>
      </w:r>
      <w:r>
        <w:rPr>
          <w:rFonts w:ascii="Inter Light;sans-serif" w:hAnsi="Inter Light;sans-serif"/>
          <w:b w:val="false"/>
          <w:color w:val="FF584A"/>
          <w:sz w:val="18"/>
          <w:u w:val="single"/>
        </w:rPr>
        <w:t>https://investors.asana.com/governance/governance-documents</w:t>
      </w:r>
      <w:r>
        <w:rPr>
          <w:rFonts w:ascii="Inter Light;sans-serif" w:hAnsi="Inter Light;sans-serif"/>
          <w:b w:val="false"/>
          <w:color w:val="000000"/>
          <w:sz w:val="18"/>
        </w:rPr>
        <w:t>. We will post any amendments to our Corporate Governance Guidelines and/or Code of Conduct and Ethics or waivers of our Code of Conduct and Ethics for directors and executive officers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20" w:after="180"/>
        <w:jc w:val="left"/>
        <w:rPr>
          <w:rFonts w:ascii="Inter SemiBold;sans-serif" w:hAnsi="Inter SemiBold;sans-serif"/>
          <w:b w:val="false"/>
          <w:color w:val="FF584A"/>
          <w:sz w:val="24"/>
        </w:rPr>
      </w:pPr>
      <w:r>
        <w:rPr>
          <w:rFonts w:ascii="Inter SemiBold;sans-serif" w:hAnsi="Inter SemiBold;sans-serif"/>
          <w:b w:val="false"/>
          <w:color w:val="FF584A"/>
          <w:sz w:val="24"/>
        </w:rPr>
        <w:t>Risk Management and Oversight of Risk Management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Risk is inherent with every business, and we face a number of risks, including strategic, financial, business and operational, cybersecurity,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believes that open communication between management and our Board of Directors is essential for effective risk management and oversight. Our Board of Directors meets with our CEO and other members of our senior management team at quarterly meetings of our Board of Directors and at such other times as they deem appropriate, where, among other topics, they discuss risks facing the Company and risk management strategy.</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 xml:space="preserve">While our Board of Directors is ultimately responsible for risk oversight, our Board committees assist our Board of Directors in fulfilling certain risk oversight responsibilities. Our Audit Committee assists our Board of Directors in fulfilling its oversight responsibilities with respect to risk management in the areas of internal control over financial reporting and disclosure controls and procedures as well as financial, accounting, investment and tax risk, including anti-fraud measures, and cybersecurity and information technology risk. Our Audit Committee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risks associated with </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 xml:space="preserve">internal control over financial reporting and liquidity risks. Our Nominating and Corporate Governance Committee assists our Board of Directors in fulfilling its risk oversight responsibilities with respect to the management of risks associated with board organization, membership and structure, and corporate governance. Our Compensation Committee assesses risks created by the incentives inherent in our compensation policies. </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In connection with its reviews of the operations of our business, our Audit Committee and our Board of Directors oversee and evaluate the primary risks associated with our business including, for example, strategic planning and cybersecurity. Our Board of Directors appreciates the evolving nature of our business and industry and is actively involved with monitoring new threats and risks as they emerge.</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At periodic meetings of our Board of Directors and its committees, management reports to and seeks guidance from our Board and its committees with respect to the most significant risks that could affect our business, such as legal risks, cybersecurity matters, risks related to ESG Matters, information security and privacy risks, and financial, tax, and compliance related risks. In addition, among other matters, management provides our Audit Committee periodic reports on our compliance programs and investment policy and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20" w:after="180"/>
        <w:jc w:val="left"/>
        <w:rPr>
          <w:rFonts w:ascii="Inter SemiBold;sans-serif" w:hAnsi="Inter SemiBold;sans-serif"/>
          <w:b w:val="false"/>
          <w:color w:val="FF584A"/>
          <w:sz w:val="24"/>
        </w:rPr>
      </w:pPr>
      <w:r>
        <w:rPr>
          <w:rFonts w:ascii="Inter SemiBold;sans-serif" w:hAnsi="Inter SemiBold;sans-serif"/>
          <w:b w:val="false"/>
          <w:color w:val="FF584A"/>
          <w:sz w:val="24"/>
        </w:rPr>
        <w:t>Insider Trading Policy and Prohibition on Hedging, Short Sales, and Pledging</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Our insider trading policy, which applies to all of our directors, officers, employees, and agents (such as consultants and contractors), is reasonably designed to promote compliance with insider trading laws, rules and regulations, and any applicable NYSE listing standards, and expressly prohibits them from purchasing or selling our securities while in possession of material, non-public information, or otherwise using such information for their personal benefit.</w:t>
      </w:r>
    </w:p>
    <w:p>
      <w:pPr>
        <w:pStyle w:val="TextBody"/>
        <w:bidi w:val="0"/>
        <w:spacing w:lineRule="atLeast" w:line="260" w:before="0" w:after="160"/>
        <w:jc w:val="left"/>
        <w:rPr>
          <w:rFonts w:ascii="Inter Light;sans-serif" w:hAnsi="Inter Light;sans-serif"/>
          <w:b w:val="false"/>
          <w:color w:val="000000"/>
          <w:sz w:val="18"/>
        </w:rPr>
      </w:pPr>
      <w:r>
        <w:rPr>
          <w:rFonts w:ascii="Inter Light;sans-serif" w:hAnsi="Inter Light;sans-serif"/>
          <w:b w:val="false"/>
          <w:color w:val="000000"/>
          <w:sz w:val="18"/>
        </w:rPr>
        <w:t>The policy prohibits hedging or similar transactions designed to decrease the risks associated with holding our Class A common stock. In addition, our insider trading policy prohibits trading in derivative securities related to our Class A common stock, which include publicly traded call and put options, engaging in short selling of our Class A common stock, holding our Class A common stock in a margin account, and pledging our shares as collateral for a loan.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 copy of our insider trading policy is filed as an exhibit to our Annual Report on Form 10-K for our fiscal year ended January 31, 2025, filed with the SEC on March 18,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59435"/>
                <wp:effectExtent l="0" t="0" r="0" b="0"/>
                <wp:wrapNone/>
                <wp:docPr id="43" name="Frame26"/>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21</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Non-Employee Director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adopted a Non-Employee Director Compensation Policy effective September 30, 2020, or the Effective Date, and most recently amended on May 24, 2023, which provides for the following compensation to directors who are not also serving as an employee or consultant to us: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Annual Cash Compensation</w:t>
      </w:r>
    </w:p>
    <w:tbl>
      <w:tblPr>
        <w:tblW w:w="10205" w:type="dxa"/>
        <w:jc w:val="left"/>
        <w:tblInd w:w="0" w:type="dxa"/>
        <w:tblLayout w:type="fixed"/>
        <w:tblCellMar>
          <w:top w:w="28" w:type="dxa"/>
          <w:left w:w="28" w:type="dxa"/>
          <w:bottom w:w="28" w:type="dxa"/>
          <w:right w:w="28" w:type="dxa"/>
        </w:tblCellMar>
      </w:tblPr>
      <w:tblGrid>
        <w:gridCol w:w="2932"/>
        <w:gridCol w:w="2514"/>
        <w:gridCol w:w="2522"/>
        <w:gridCol w:w="620"/>
        <w:gridCol w:w="620"/>
        <w:gridCol w:w="622"/>
        <w:gridCol w:w="109"/>
        <w:gridCol w:w="109"/>
        <w:gridCol w:w="157"/>
      </w:tblGrid>
      <w:tr>
        <w:trPr/>
        <w:tc>
          <w:tcPr>
            <w:tcW w:w="2932"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690031" w:val="clear"/>
            <w:tcMar>
              <w:top w:w="0" w:type="dxa"/>
              <w:left w:w="0" w:type="dxa"/>
              <w:bottom w:w="0" w:type="dxa"/>
              <w:right w:w="0" w:type="dxa"/>
            </w:tcMar>
            <w:vAlign w:val="center"/>
          </w:tcPr>
          <w:p>
            <w:pPr>
              <w:pStyle w:val="TableContents"/>
              <w:bidi w:val="0"/>
              <w:spacing w:before="0" w:after="0"/>
              <w:jc w:val="left"/>
              <w:rPr/>
            </w:pPr>
            <w:r>
              <w:rPr/>
            </w:r>
          </w:p>
        </w:tc>
        <w:tc>
          <w:tcPr>
            <w:tcW w:w="186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Annual Cash Retainer</w:t>
              <w:br/>
              <w:t>($)</w:t>
            </w:r>
          </w:p>
        </w:tc>
        <w:tc>
          <w:tcPr>
            <w:tcW w:w="3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Annual retainer</w:t>
            </w:r>
          </w:p>
        </w:tc>
        <w:tc>
          <w:tcPr>
            <w:tcW w:w="18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30,000</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independent chair or, if chair is not independent, lead independent director</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15,000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Audit Committee chair</w:t>
            </w:r>
          </w:p>
        </w:tc>
        <w:tc>
          <w:tcPr>
            <w:tcW w:w="18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20,000</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Audit Committee non-chair member</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10,000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Compensation Committee chair</w:t>
            </w:r>
          </w:p>
        </w:tc>
        <w:tc>
          <w:tcPr>
            <w:tcW w:w="18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12,000</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Compensation Committee non-chair member</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6,000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Nominating and Corporate Governance Committee chair</w:t>
            </w:r>
          </w:p>
        </w:tc>
        <w:tc>
          <w:tcPr>
            <w:tcW w:w="18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8"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Additional retainer for Nominating and Corporate Governance Committee non-chair member</w:t>
            </w:r>
          </w:p>
        </w:tc>
        <w:tc>
          <w:tcPr>
            <w:tcW w:w="1862"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3,750</w:t>
            </w:r>
          </w:p>
        </w:tc>
        <w:tc>
          <w:tcPr>
            <w:tcW w:w="375"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Equity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addition to cash compensation, each non-employee director is eligible to receive restricted stock unit awards granted under our 2020 Equity Incentive Plan, which provides, among other things, that the aggregate value of all compensation granted or paid, as applicable, to any individual for service as a non-employee director with respect to any calendar year, including awards granted and cash fees paid by us to such non-employee director, will not exceed (1) $750,000 in total value or (2) in the event such non-employee director is first appointed or elected to our Board of Directors during such calendar year, $1,000,000 in total value, in each case, calculating the value of any equity awards based on the grant date fair value of such equity awards for financial reporting purposes.</w:t>
      </w:r>
    </w:p>
    <w:p>
      <w:pPr>
        <w:pStyle w:val="TextBody"/>
        <w:bidi w:val="0"/>
        <w:spacing w:lineRule="atLeast" w:line="260" w:before="0" w:after="180"/>
        <w:jc w:val="left"/>
        <w:rPr/>
      </w:pPr>
      <w:r>
        <w:rPr>
          <w:rFonts w:ascii="Inter SemiBold;sans-serif" w:hAnsi="Inter SemiBold;sans-serif"/>
          <w:b/>
          <w:color w:val="000000"/>
          <w:sz w:val="18"/>
        </w:rPr>
        <w:t>Initial Award. </w:t>
      </w:r>
      <w:r>
        <w:rPr>
          <w:rFonts w:ascii="Inter Light;sans-serif" w:hAnsi="Inter Light;sans-serif"/>
          <w:b w:val="false"/>
          <w:color w:val="000000"/>
          <w:sz w:val="18"/>
        </w:rPr>
        <w:t>Each new non-employee director elected or appointed to our Board of Directors after the Effective Date will be granted an initial, one-time restricted stock unit award with a grant date fair value of $350,000, which will vest in equal annual installments such that the initial award will be fully vested on the third anniversary of the grant date, subject to the non-employee director’s continuous service through each vesting date.</w:t>
      </w:r>
    </w:p>
    <w:p>
      <w:pPr>
        <w:pStyle w:val="TextBody"/>
        <w:bidi w:val="0"/>
        <w:spacing w:lineRule="atLeast" w:line="260" w:before="0" w:after="180"/>
        <w:jc w:val="left"/>
        <w:rPr/>
      </w:pPr>
      <w:r>
        <w:rPr>
          <w:rFonts w:ascii="Inter SemiBold;sans-serif" w:hAnsi="Inter SemiBold;sans-serif"/>
          <w:b/>
          <w:color w:val="000000"/>
          <w:sz w:val="18"/>
        </w:rPr>
        <w:t>Annual Awards. </w:t>
      </w:r>
      <w:r>
        <w:rPr>
          <w:rFonts w:ascii="Inter Light;sans-serif" w:hAnsi="Inter Light;sans-serif"/>
          <w:b w:val="false"/>
          <w:color w:val="000000"/>
          <w:sz w:val="18"/>
        </w:rPr>
        <w:t>On the date of each annual meeting of stockholders of our company after the Effective Date, each non-employee director who has served as a non-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employee director for more than six months as of such date and who continues to serve on our Board of Directors following the date of such meeting will be granted a restricted stock unit award with a grant date fair value of $175,000, which will vest on the first anniversary of the grant date, provided that the annual award will, in any case, become fully vested on the date of our next annual stockholder meeting, subject to the non-employee director’s continuous service through such vesting date.</w:t>
      </w:r>
    </w:p>
    <w:p>
      <w:pPr>
        <w:pStyle w:val="TextBody"/>
        <w:bidi w:val="0"/>
        <w:spacing w:lineRule="atLeast" w:line="260" w:before="0" w:after="180"/>
        <w:jc w:val="left"/>
        <w:rPr/>
      </w:pPr>
      <w:r>
        <w:rPr>
          <w:rFonts w:ascii="Inter SemiBold;sans-serif" w:hAnsi="Inter SemiBold;sans-serif"/>
          <w:b/>
          <w:color w:val="000000"/>
          <w:sz w:val="18"/>
        </w:rPr>
        <w:t xml:space="preserve">Change in Control. </w:t>
      </w:r>
      <w:r>
        <w:rPr>
          <w:rFonts w:ascii="Inter Light;sans-serif" w:hAnsi="Inter Light;sans-serif"/>
          <w:b w:val="false"/>
          <w:color w:val="000000"/>
          <w:sz w:val="18"/>
        </w:rPr>
        <w:t>Initial awards and annual awards granted under the Non-Employee Director Compensation Policy vest in full upon a “change in control,” as defined in our 2020 Equity Incentive Plan.</w:t>
      </w:r>
    </w:p>
    <w:p>
      <w:pPr>
        <w:pStyle w:val="TextBody"/>
        <w:bidi w:val="0"/>
        <w:spacing w:lineRule="atLeast" w:line="260" w:before="0" w:after="180"/>
        <w:jc w:val="left"/>
        <w:rPr/>
      </w:pPr>
      <w:r>
        <w:rPr>
          <w:rFonts w:ascii="Inter SemiBold;sans-serif" w:hAnsi="Inter SemiBold;sans-serif"/>
          <w:b/>
          <w:color w:val="000000"/>
          <w:sz w:val="18"/>
        </w:rPr>
        <w:t xml:space="preserve">Stock Ownership Policy. </w:t>
      </w:r>
      <w:r>
        <w:rPr>
          <w:rFonts w:ascii="Inter Light;sans-serif" w:hAnsi="Inter Light;sans-serif"/>
          <w:b w:val="false"/>
          <w:color w:val="000000"/>
          <w:sz w:val="18"/>
        </w:rPr>
        <w:t>In May 2023, to further align the interests of our directors with those of our stockholders, our Board of Directors adopted a stock ownership policy applicable to each of our non-employee directors. The policy requires that each of our non-employee directors achieve a level of ownership of at least five times the annual Board retainer for regular service on the Board as a member, not inclusive of any annual cash retainers paid for Board committee service, by the later of February 28, 2029 or the fiscal year during which such director achieves the fifth anniversary of their initial election by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9140"/>
                <wp:effectExtent l="0" t="0" r="0" b="0"/>
                <wp:wrapNone/>
                <wp:docPr id="44"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p>
      <w:pPr>
        <w:pStyle w:val="TextBody"/>
        <w:bidi w:val="0"/>
        <w:spacing w:lineRule="atLeast" w:line="260" w:before="0" w:after="180"/>
        <w:jc w:val="left"/>
        <w:rPr/>
      </w:pPr>
      <w:r>
        <w:rPr>
          <w:rFonts w:ascii="Inter SemiBold;sans-serif" w:hAnsi="Inter SemiBold;sans-serif"/>
          <w:b/>
          <w:color w:val="000000"/>
          <w:sz w:val="18"/>
        </w:rPr>
        <w:t xml:space="preserve">Holding Period. </w:t>
      </w:r>
      <w:r>
        <w:rPr>
          <w:rFonts w:ascii="Inter Light;sans-serif" w:hAnsi="Inter Light;sans-serif"/>
          <w:b w:val="false"/>
          <w:color w:val="000000"/>
          <w:sz w:val="18"/>
        </w:rPr>
        <w:t>Initial awards and annual awards granted under the Non-Employee Director Compensation Policy prior to May 24, 2023 are subject to a holding period and the shares subject to such awards shall not be issued or delivered to non-employee directors until the earlier to occur of (1) the first anniversary of the applicable vesting date in the case of initial awards or the second anniversary of the vesting date in the case of annual awards or (2) a “change in control event” within the meaning of Section 409A of the Internal Revenue Code of 1986, as amended, or the Code (such holding periods, the “Director Initial Grant Holding Period” and the “Director Annual Grant Holding Period” respectively). In connection with the adoption of the stock ownership policy, as described above, initial awards and annual awards granted to our non-employee directors on or after May 24, 2023 are no longer subject to the Director Initial Grant Holding Period or the Director Annual Grant Holding Period.</w:t>
      </w:r>
    </w:p>
    <w:p>
      <w:pPr>
        <w:pStyle w:val="TextBody"/>
        <w:bidi w:val="0"/>
        <w:spacing w:lineRule="atLeast" w:line="260" w:before="0" w:after="180"/>
        <w:jc w:val="left"/>
        <w:rPr/>
      </w:pPr>
      <w:r>
        <w:rPr>
          <w:rFonts w:ascii="Inter SemiBold;sans-serif" w:hAnsi="Inter SemiBold;sans-serif"/>
          <w:b/>
          <w:color w:val="000000"/>
          <w:sz w:val="18"/>
        </w:rPr>
        <w:t xml:space="preserve">Election to Receive Equity in Lieu of Cash Retainer. </w:t>
      </w:r>
      <w:r>
        <w:rPr>
          <w:rFonts w:ascii="Inter Light;sans-serif" w:hAnsi="Inter Light;sans-serif"/>
          <w:b w:val="false"/>
          <w:color w:val="000000"/>
          <w:sz w:val="18"/>
        </w:rPr>
        <w:t xml:space="preserve">Each non-employee director may elect to receive fully vested shares of our Class A common stock in lieu of their annual cash compensation. Such shares are issued on a quarterly basis, in arrears, and the number of such shares is calculated by dividing (1) the aggregate amount of cash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compensation otherwise payable to such director by (2) the closing sale price per share of the Class A common stock on the last day of the fiscal quarter in which the service occurred, rounded down to the nearest whole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Directors’ Deferred Compensation Plan</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Pursuant to our Directors’ Deferred Compensation Plan, our non-employee directors may elect to defer a set percentage of their cash and/or equity compensation. Deferred cash compensation is credited to a non-interest-bearing cash account or a stock account, at the director’s election. Deferred equity compensation is credited on a one-to-one basis to a stock unit account. Stock unit accounts represent the right to receive shares of our Class A common stock, with the number of shares credited to stock accounts for deferred cash compensation calculated by dividing (1) the aggregate amount of cash compensation deferred by the director by (2) the closing sales price per share of the Class A common stock on the deferral date. All deferred amounts are payable in a lump sum on the earliest to occur of the director’s termination of service, the director’s death, a change in control (as defined in the Directors’ Deferred Compensation Plan) or, if elected by the director, a fixed payment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Non-Employee Director Compensation for Fiscal Year 2025</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following tables provide information regarding the total compensation that was earned by each of our non-employee directors in our fiscal year ended January 31, 2025. </w:t>
      </w:r>
    </w:p>
    <w:tbl>
      <w:tblPr>
        <w:tblW w:w="7766" w:type="dxa"/>
        <w:jc w:val="left"/>
        <w:tblInd w:w="0" w:type="dxa"/>
        <w:tblLayout w:type="fixed"/>
        <w:tblCellMar>
          <w:top w:w="28" w:type="dxa"/>
          <w:left w:w="28" w:type="dxa"/>
          <w:bottom w:w="28" w:type="dxa"/>
          <w:right w:w="28" w:type="dxa"/>
        </w:tblCellMar>
      </w:tblPr>
      <w:tblGrid>
        <w:gridCol w:w="960"/>
        <w:gridCol w:w="842"/>
        <w:gridCol w:w="852"/>
        <w:gridCol w:w="859"/>
        <w:gridCol w:w="859"/>
        <w:gridCol w:w="862"/>
        <w:gridCol w:w="459"/>
        <w:gridCol w:w="459"/>
        <w:gridCol w:w="461"/>
        <w:gridCol w:w="259"/>
        <w:gridCol w:w="259"/>
        <w:gridCol w:w="263"/>
        <w:gridCol w:w="109"/>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Director</w:t>
            </w:r>
          </w:p>
        </w:tc>
        <w:tc>
          <w:tcPr>
            <w:tcW w:w="258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Fees Earned or Paid in Cash</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379"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Stock Awards</w:t>
            </w:r>
            <w:r>
              <w:rPr>
                <w:rFonts w:ascii="Inter Medium;sans-serif" w:hAnsi="Inter Medium;sans-serif"/>
                <w:b w:val="false"/>
                <w:color w:val="FFEAEC"/>
                <w:sz w:val="10"/>
              </w:rPr>
              <w:t>(2)</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78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Total</w:t>
              <w:br/>
              <w:t>($)</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Krista Anderson-Copperman</w:t>
            </w:r>
            <w:r>
              <w:rPr>
                <w:rFonts w:ascii="Inter Medium;sans-serif" w:hAnsi="Inter Medium;sans-serif"/>
                <w:b w:val="false"/>
                <w:color w:val="000000"/>
                <w:sz w:val="10"/>
              </w:rPr>
              <w:t>(3)</w:t>
            </w:r>
          </w:p>
        </w:tc>
        <w:tc>
          <w:tcPr>
            <w:tcW w:w="258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52,000</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174,996</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226,996</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Sydney Carey</w:t>
            </w:r>
            <w:r>
              <w:rPr>
                <w:rFonts w:ascii="Inter Medium;sans-serif" w:hAnsi="Inter Medium;sans-serif"/>
                <w:b w:val="false"/>
                <w:color w:val="000000"/>
                <w:sz w:val="10"/>
              </w:rPr>
              <w:t>(4)</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56,000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174,996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230,996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Matthew Cohler</w:t>
            </w:r>
            <w:r>
              <w:rPr>
                <w:rFonts w:ascii="Inter Medium;sans-serif" w:hAnsi="Inter Medium;sans-serif"/>
                <w:b w:val="false"/>
                <w:color w:val="000000"/>
                <w:sz w:val="10"/>
              </w:rPr>
              <w:t>(5)</w:t>
            </w:r>
          </w:p>
        </w:tc>
        <w:tc>
          <w:tcPr>
            <w:tcW w:w="258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33,750</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174,996</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208,746</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Adam D’Angelo</w:t>
            </w:r>
            <w:r>
              <w:rPr>
                <w:rFonts w:ascii="Inter Medium;sans-serif" w:hAnsi="Inter Medium;sans-serif"/>
                <w:b w:val="false"/>
                <w:color w:val="000000"/>
                <w:sz w:val="10"/>
              </w:rPr>
              <w:t>(6)</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30,000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174,996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204,996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Andrew Lindsay</w:t>
            </w:r>
            <w:r>
              <w:rPr>
                <w:rFonts w:ascii="Inter Medium;sans-serif" w:hAnsi="Inter Medium;sans-serif"/>
                <w:b w:val="false"/>
                <w:color w:val="000000"/>
                <w:sz w:val="10"/>
              </w:rPr>
              <w:t>(7)</w:t>
            </w:r>
          </w:p>
        </w:tc>
        <w:tc>
          <w:tcPr>
            <w:tcW w:w="258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47,500</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174,996</w:t>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222,496</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Lorrie Norrington</w:t>
            </w:r>
            <w:r>
              <w:rPr>
                <w:rFonts w:ascii="Inter Medium;sans-serif" w:hAnsi="Inter Medium;sans-serif"/>
                <w:b w:val="false"/>
                <w:color w:val="000000"/>
                <w:sz w:val="10"/>
              </w:rPr>
              <w:t>(8)</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58,750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174,996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233,746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Justin Rosenstein</w:t>
            </w:r>
            <w:r>
              <w:rPr>
                <w:rFonts w:ascii="Inter Medium;sans-serif" w:hAnsi="Inter Medium;sans-serif"/>
                <w:b w:val="false"/>
                <w:color w:val="000000"/>
                <w:sz w:val="10"/>
              </w:rPr>
              <w:t>(9)</w:t>
            </w:r>
          </w:p>
        </w:tc>
        <w:tc>
          <w:tcPr>
            <w:tcW w:w="2580"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30,000</w:t>
            </w:r>
          </w:p>
        </w:tc>
        <w:tc>
          <w:tcPr>
            <w:tcW w:w="1379"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174,996</w:t>
            </w:r>
          </w:p>
        </w:tc>
        <w:tc>
          <w:tcPr>
            <w:tcW w:w="781"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204,996</w:t>
            </w:r>
          </w:p>
        </w:tc>
        <w:tc>
          <w:tcPr>
            <w:tcW w:w="37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(1)This column represents the amount of all fees earned or paid in cash for services as a director. See the “Equity Granted in Lieu of Cash Retainers” table below for the amounts earned in cash that our directors elected to receive in shares of our Class A common stock.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(2)Amounts reported represent the aggregate grant date fair value of restricted stock unit awards, or RSUs, granted to our directors during the fiscal year ended January 31, 2025 under our 2020 Equity Incentive Plan, computed in accordance with ASC Topic 718. These awards represent the right to receive shares of our Class A common stock equal in value to $175,000, determined based on the closing price per share of our Class A common stock on the grant date, and rounded down to the nearest whole share. The grant date fair value is calculated based on the number of shares granted subject to the awards, multiplied by the closing price per share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59435"/>
                <wp:effectExtent l="0" t="0" r="0" b="0"/>
                <wp:wrapNone/>
                <wp:docPr id="45" name="Frame28"/>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23</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1579"/>
        <w:gridCol w:w="1389"/>
        <w:gridCol w:w="1396"/>
        <w:gridCol w:w="474"/>
        <w:gridCol w:w="474"/>
        <w:gridCol w:w="671"/>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60"/>
        <w:jc w:val="left"/>
        <w:rPr>
          <w:rFonts w:ascii="Inter Light;sans-serif" w:hAnsi="Inter Light;sans-serif"/>
          <w:b w:val="false"/>
          <w:color w:val="636466"/>
          <w:sz w:val="16"/>
        </w:rPr>
      </w:pPr>
      <w:r>
        <w:rPr>
          <w:rFonts w:ascii="Inter Light;sans-serif" w:hAnsi="Inter Light;sans-serif"/>
          <w:b w:val="false"/>
          <w:color w:val="636466"/>
          <w:sz w:val="16"/>
        </w:rPr>
        <w:t>Class A common stock on the grant date. With respect to deferral elections made under our Deferred Compensation Plan, which allows for the accumulation of fractional shares, the right to receive shares of our Class A common stock equal to the difference in value between $175,000 and the grant date fair value was credited to the stock unit account for Ms. Norrington. The assumptions used in calculating the grant date fair value of the stock awards reported in this column are set forth in the notes to our audited consolidated financial statements included in our Annual Report on Form 10-K for the fiscal year ended January 31, 2025. This amount does not reflect the actual economic value that may be realized by the non-employee director.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(3)As of January 31, 2025, Ms. Anderson-Copperman’s outstanding equity awards consisted of: (a) 6,555 shares of our Class A common stock subject to unvested RSUs that will vest (i) in equal annual installments over a three-year period such that the grant will be fully vested on the third anniversary of the date of grant or (ii) in full upon a Change in Control (as defined in the Company’s 2020 Equity Incentive Plan), in either case, subject to her continuous service through the applicable vesting date and, upon vesting, the shares will be subject to the Director Initial Grant Holding Period; (b) 13,108 shares of our Class A common stock subject to vested RSUs that remain subject to the Director Initial Grant Holding Period and therefore have not yet been delivered to Ms. Anderson-Copperman; and (c) 14,583 shares of our Class A common stock subject to unvested RSUs that will vest (i) on the first anniversary of the date of grant or (ii) upon a Change in Control (as defined in the Company’s 2020 Equity Incentive Plan), in either case, subject to her continuous service through the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(4)As of January 31, 2025, Ms. Carey's outstanding equity awards consisted of: (a) 9,684 shares of our Class A common stock subject to vested RSUs that remain subject to the Director Annual Grant Holding Period and therefore have not yet been delivered to Ms. Carey; and (b) 14,583 shares of our Class A common stock subject to unvested RSUs that will vest (i) on the first anniversary of the date of grant or (ii) upon a Change in Control (as defined in the Company’s 2020 Equity Incentive Plan) and, upon vesting, will be subject to the Director Annual Grant Holding Period, in either case, subject to her continuous service through the applicable vesting date.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(5)As of January 31, 2025, Mr. Cohler’s outstanding equity awards consisted of: (a) 9,684 shares of our Class A common stock subject to vested RSUs that remain subject to the Director Annual Grant Holding Period and therefore have not yet been delivered to Mr. Cohler; and (b) 14,583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(6)As of January 31, 2025, Mr. D’Angelo’s outstanding equity awards consisted of: (a) 9,684 shares of our Class A common stock subject to vested RSUs that remain subject to the Director Annual Grant Holding Period and therefore have not yet been delivered to Mr. D’Angelo; and (b) 14,583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(7)As of January 31, 2025, Mr. Lindsay’s outstanding equity awards consisted of: (a) 1,757 shares of our Class A common stock subject to vested RSUs that remain subject to the Director Initial Grant Holding Period and therefore have not yet been delivered to Mr. Lindsay; (b) 9,684 shares of our Class A common stock subject to vested RSUs that remain subject to the Director Annual Grant Holding Period and therefore have not yet been delivered to Mr. Lindsay; and (c) 14,583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(8)As of January 31, 2025, Ms. Norrington’s outstanding equity awards consisted of: (a) 9,684 shares of our Class A common stock subject to vested RSUs that remain subject to the Director Annual Grant Holding Period and therefore have not yet been delivered to Ms. Norrington; and (b) 14,583 shares of our Class A common stock subject to unvested RSUs that will vest (i) on the first anniversary of the date of grant or (ii) upon a Change in Control (as defined in the Company’s 2020 Equity Incentive Plan) in either case, subject to her continuous service through the applicable vesting date. Pursuant to the Directors’ Deferred Compensation Plan, Ms. Norrington elected to defer receipt of (a) all of her director fees earned on or after January 1, 2021 and (b) all of her equity compensation earned on or after January 1, 2021 pursuant to our Non-Employee Director Compensation Policy.</w:t>
      </w:r>
    </w:p>
    <w:p>
      <w:pPr>
        <w:pStyle w:val="TextBody"/>
        <w:bidi w:val="0"/>
        <w:spacing w:lineRule="atLeast" w:line="220" w:before="0" w:after="3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(9)As of January 31, 2025, Mr. Rosenstein’s outstanding equity awards consisted of: (a) 9,684 shares of our Class A common stock subject to vested RSUs that remain subject to the Director Annual Grant Holding Period and therefore have not yet been delivered to Mr. Rosenstein; (b) 14,583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 and (c) 575,984 shares of our Class A common stock issuable upon the exercise of stock options, all of which are early exercisable and 435,584 of which are vested as of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9140"/>
                <wp:effectExtent l="0" t="0" r="0" b="0"/>
                <wp:wrapNone/>
                <wp:docPr id="46"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983" w:type="dxa"/>
        <w:jc w:val="left"/>
        <w:tblInd w:w="0" w:type="dxa"/>
        <w:tblLayout w:type="fixed"/>
        <w:tblCellMar>
          <w:top w:w="28" w:type="dxa"/>
          <w:left w:w="28" w:type="dxa"/>
          <w:bottom w:w="28" w:type="dxa"/>
          <w:right w:w="28" w:type="dxa"/>
        </w:tblCellMar>
      </w:tblPr>
      <w:tblGrid>
        <w:gridCol w:w="575"/>
        <w:gridCol w:w="505"/>
        <w:gridCol w:w="509"/>
        <w:gridCol w:w="1287"/>
        <w:gridCol w:w="1287"/>
        <w:gridCol w:w="182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394"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Board of Directors and Corporate Governance</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Equity Granted in Lieu of Cash Retainers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shows the amount of cash compensation earned during fiscal year 2025 that each director elected to receive in shares of our Class A common stock (rounded to the nearest whole dollar) and the number of shares received, excluding adjustments for dividend equivalents.</w:t>
      </w:r>
    </w:p>
    <w:tbl>
      <w:tblPr>
        <w:tblW w:w="10205" w:type="dxa"/>
        <w:jc w:val="left"/>
        <w:tblInd w:w="0" w:type="dxa"/>
        <w:tblLayout w:type="fixed"/>
        <w:tblCellMar>
          <w:top w:w="28" w:type="dxa"/>
          <w:left w:w="28" w:type="dxa"/>
          <w:bottom w:w="28" w:type="dxa"/>
          <w:right w:w="28" w:type="dxa"/>
        </w:tblCellMar>
      </w:tblPr>
      <w:tblGrid>
        <w:gridCol w:w="828"/>
        <w:gridCol w:w="727"/>
        <w:gridCol w:w="735"/>
        <w:gridCol w:w="1199"/>
        <w:gridCol w:w="1199"/>
        <w:gridCol w:w="1203"/>
        <w:gridCol w:w="1311"/>
        <w:gridCol w:w="1311"/>
        <w:gridCol w:w="1315"/>
        <w:gridCol w:w="109"/>
        <w:gridCol w:w="109"/>
        <w:gridCol w:w="159"/>
      </w:tblGrid>
      <w:tr>
        <w:trPr/>
        <w:tc>
          <w:tcPr>
            <w:tcW w:w="82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Director</w:t>
            </w:r>
          </w:p>
        </w:tc>
        <w:tc>
          <w:tcPr>
            <w:tcW w:w="3601"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Cash Fees Paid in Class A Common Stock at Director’s Election</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937"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Number of Shares of Class A Common Stock Received in Lieu of Cash</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Krista Anderson-Copperman</w:t>
            </w:r>
          </w:p>
        </w:tc>
        <w:tc>
          <w:tcPr>
            <w:tcW w:w="360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52,000</w:t>
            </w:r>
          </w:p>
        </w:tc>
        <w:tc>
          <w:tcPr>
            <w:tcW w:w="393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3,464</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Sydney Carey</w:t>
            </w:r>
          </w:p>
        </w:tc>
        <w:tc>
          <w:tcPr>
            <w:tcW w:w="360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56,000</w:t>
            </w:r>
          </w:p>
        </w:tc>
        <w:tc>
          <w:tcPr>
            <w:tcW w:w="393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3,731</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Matthew Cohler</w:t>
            </w:r>
          </w:p>
        </w:tc>
        <w:tc>
          <w:tcPr>
            <w:tcW w:w="360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33,750</w:t>
            </w:r>
          </w:p>
        </w:tc>
        <w:tc>
          <w:tcPr>
            <w:tcW w:w="393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2,247</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Adam D’Angelo</w:t>
            </w:r>
          </w:p>
        </w:tc>
        <w:tc>
          <w:tcPr>
            <w:tcW w:w="360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30,000</w:t>
            </w:r>
          </w:p>
        </w:tc>
        <w:tc>
          <w:tcPr>
            <w:tcW w:w="393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1,998</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Andrew Lindsay</w:t>
            </w:r>
          </w:p>
        </w:tc>
        <w:tc>
          <w:tcPr>
            <w:tcW w:w="3601"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393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Lorrie Norrington</w:t>
            </w:r>
            <w:r>
              <w:rPr>
                <w:rFonts w:ascii="Inter Medium;sans-serif" w:hAnsi="Inter Medium;sans-serif"/>
                <w:b w:val="false"/>
                <w:color w:val="000000"/>
                <w:sz w:val="10"/>
              </w:rPr>
              <w:t>(2)</w:t>
            </w:r>
          </w:p>
        </w:tc>
        <w:tc>
          <w:tcPr>
            <w:tcW w:w="360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58,750</w:t>
            </w:r>
          </w:p>
        </w:tc>
        <w:tc>
          <w:tcPr>
            <w:tcW w:w="393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3,915</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Justin Rosenstein</w:t>
            </w:r>
          </w:p>
        </w:tc>
        <w:tc>
          <w:tcPr>
            <w:tcW w:w="3601"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right"/>
              <w:rPr>
                <w:color w:val="0D0E10"/>
              </w:rPr>
            </w:pPr>
            <w:r>
              <w:rPr>
                <w:color w:val="0D0E10"/>
              </w:rPr>
              <w:t>—</w:t>
            </w:r>
          </w:p>
        </w:tc>
        <w:tc>
          <w:tcPr>
            <w:tcW w:w="3937"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right"/>
              <w:rPr>
                <w:color w:val="0D0E10"/>
              </w:rPr>
            </w:pPr>
            <w:r>
              <w:rPr>
                <w:color w:val="0D0E10"/>
              </w:rPr>
              <w:t>—</w:t>
            </w:r>
          </w:p>
        </w:tc>
        <w:tc>
          <w:tcPr>
            <w:tcW w:w="377"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(1)The number of shares of our Class A common stock received in lieu of cash was calculated based on the closing price of a share of our Class A common stock on (a) April 30, 2024 with respect to shares of our Class A common stock received in lieu of cash for a non-employee director’s service during the first quarter of fiscal year 2025, (b) July 31, 2024 with respect to shares of our Class A common stock received in lieu of cash for a non-employee director’s service during the second quarter of fiscal year 2025, (c) October 31, 2024 with respect to shares of our Class A common stock received in lieu of cash for a non-employee director’s service during the third quarter of fiscal year 2025, and (d) January 31, 2025 with respect to shares of our Class A common stock received in lieu of cash for a non-employee director’s service during the fourth quarter of fiscal year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(2)Pursuant to the Directors’ Deferred Compensation Plan, Ms. Norrington elected to defer receipt of all of her director fees earned on or after January 1, 2021, including 3,915 shares of our Class A common stock issuable to Ms. Norrington in lieu of cash fees earned in fiscal year 2025 pursuant to our Non-Employee Director Compensation Policy.</w:t>
      </w:r>
    </w:p>
    <w:p>
      <w:pPr>
        <w:pStyle w:val="TextBody"/>
        <w:bidi w:val="0"/>
        <w:spacing w:lineRule="atLeast" w:line="260" w:before="36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Mr. Moskovitz, our CEO, also serves as a director but does not receive any compensation for his service as a director under our Non-Employee Director Compensation Policy due to his current status as an employee. See the section titled “Executive Compensation” for additional information about all other compensation paid to Mr. Moskovitz.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59435"/>
                <wp:effectExtent l="0" t="0" r="0" b="0"/>
                <wp:wrapNone/>
                <wp:docPr id="47" name="Frame30"/>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25</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8"/>
        <w:gridCol w:w="2873"/>
        <w:gridCol w:w="4064"/>
      </w:tblGrid>
      <w:tr>
        <w:trP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Corporate Responsibility and Sustainability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At Asana, our mission is to help humanity thrive by enabling the world’s teams to work together effortlessly. When it comes to solving the world's most pressing challenges, the solution lies in working better and smarter, together. At Asana, we're dedicated to empowering teams to make significant strides for people, the planet, and their organizations.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platform is designed for leaders, innovators, and problem-solvers, facilitating crucial discussions and workflows on vital issues that benefit humanity. We harness powerful, AI-enabled solutions to take the guesswork out of strategic planning so people can thrive and focus on achieving their goals.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Like all companies, we intend to create great returns for our stockholders. We are also deeply committed to benefiting all our stakeholders: our customers, our employees, our partners, our communities, the environment, and humanity.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built Asana because the work people do together matters. From curing diseases and developing clean energy to building local schools and creating global movements, progress depends on teamwork. This is why it’s mission-critical that our company culture enables employees to do their most impactful work as effortlessly as possible, so we can empower even more of the world’s organizations to achieve their own missions.</w:t>
      </w: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Our Values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From the very beginning, we’ve been intentional about how we build our culture at Asana, and our company values are its foundation. They guide us on how we show up and work together so we can achieve our mission. Particularly during this time of transformational AI-powered change, it’s critical to have a north star that guides our work as we scale, which we believe will ultimately help us to achieve our mission. Our values help us make it happen.</w:t>
      </w:r>
    </w:p>
    <w:p>
      <w:pPr>
        <w:pStyle w:val="TextBody"/>
        <w:bidi w:val="0"/>
        <w:spacing w:before="0" w:after="300"/>
        <w:jc w:val="center"/>
        <w:rPr/>
      </w:pPr>
      <w:r>
        <w:rPr/>
      </w:r>
    </w:p>
    <w:tbl>
      <w:tblPr>
        <w:tblW w:w="7721" w:type="dxa"/>
        <w:jc w:val="center"/>
        <w:tblInd w:w="0" w:type="dxa"/>
        <w:tblLayout w:type="fixed"/>
        <w:tblCellMar>
          <w:top w:w="28" w:type="dxa"/>
          <w:left w:w="28" w:type="dxa"/>
          <w:bottom w:w="28" w:type="dxa"/>
          <w:right w:w="28" w:type="dxa"/>
        </w:tblCellMar>
      </w:tblPr>
      <w:tblGrid>
        <w:gridCol w:w="399"/>
        <w:gridCol w:w="351"/>
        <w:gridCol w:w="356"/>
        <w:gridCol w:w="109"/>
        <w:gridCol w:w="109"/>
        <w:gridCol w:w="109"/>
        <w:gridCol w:w="363"/>
        <w:gridCol w:w="363"/>
        <w:gridCol w:w="365"/>
        <w:gridCol w:w="109"/>
        <w:gridCol w:w="109"/>
        <w:gridCol w:w="109"/>
        <w:gridCol w:w="654"/>
        <w:gridCol w:w="654"/>
        <w:gridCol w:w="656"/>
        <w:gridCol w:w="109"/>
        <w:gridCol w:w="109"/>
        <w:gridCol w:w="109"/>
        <w:gridCol w:w="370"/>
        <w:gridCol w:w="370"/>
        <w:gridCol w:w="371"/>
        <w:gridCol w:w="109"/>
        <w:gridCol w:w="109"/>
        <w:gridCol w:w="109"/>
        <w:gridCol w:w="334"/>
        <w:gridCol w:w="334"/>
        <w:gridCol w:w="473"/>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nter SemiBold;sans-serif" w:hAnsi="Inter SemiBold;sans-serif"/>
                <w:b w:val="false"/>
                <w:color w:val="690031"/>
                <w:sz w:val="16"/>
              </w:rPr>
            </w:pPr>
            <w:r>
              <w:rPr>
                <w:rFonts w:ascii="Inter SemiBold;sans-serif" w:hAnsi="Inter SemiBold;sans-serif"/>
                <w:b w:val="false"/>
                <w:color w:val="690031"/>
                <w:sz w:val="16"/>
              </w:rPr>
              <w:t>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nter SemiBold;sans-serif" w:hAnsi="Inter SemiBold;sans-serif"/>
                <w:b w:val="false"/>
                <w:color w:val="690031"/>
                <w:sz w:val="16"/>
              </w:rPr>
            </w:pPr>
            <w:r>
              <w:rPr>
                <w:rFonts w:ascii="Inter SemiBold;sans-serif" w:hAnsi="Inter SemiBold;sans-serif"/>
                <w:b w:val="false"/>
                <w:color w:val="690031"/>
                <w:sz w:val="16"/>
              </w:rPr>
              <w:t>Clarity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6"/>
              </w:rPr>
            </w:pPr>
            <w:r>
              <w:rPr>
                <w:rFonts w:ascii="Inter SemiBold;sans-serif" w:hAnsi="Inter SemiBold;sans-serif"/>
                <w:b w:val="false"/>
                <w:color w:val="690031"/>
                <w:sz w:val="16"/>
              </w:rPr>
              <w:t>Reject False Tradeoffs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nter SemiBold;sans-serif" w:hAnsi="Inter SemiBold;sans-serif"/>
                <w:b w:val="false"/>
                <w:color w:val="690031"/>
                <w:sz w:val="16"/>
              </w:rPr>
            </w:pPr>
            <w:r>
              <w:rPr>
                <w:rFonts w:ascii="Inter SemiBold;sans-serif" w:hAnsi="Inter SemiBold;sans-serif"/>
                <w:b w:val="false"/>
                <w:color w:val="690031"/>
                <w:sz w:val="16"/>
              </w:rPr>
              <w:t>Co-Creation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nter SemiBold;sans-serif" w:hAnsi="Inter SemiBold;sans-serif"/>
                <w:b w:val="false"/>
                <w:color w:val="690031"/>
                <w:sz w:val="16"/>
              </w:rPr>
            </w:pPr>
            <w:r>
              <w:rPr>
                <w:rFonts w:ascii="Inter SemiBold;sans-serif" w:hAnsi="Inter SemiBold;sans-serif"/>
                <w:b w:val="false"/>
                <w:color w:val="690031"/>
                <w:sz w:val="16"/>
              </w:rPr>
              <w:t>Mindfulness</w:t>
            </w:r>
          </w:p>
        </w:tc>
      </w:tr>
      <w:tr>
        <w:trPr/>
        <w:tc>
          <w:tcPr>
            <w:tcW w:w="11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38175"/>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19"/>
                          <a:stretch>
                            <a:fillRect/>
                          </a:stretch>
                        </pic:blipFill>
                        <pic:spPr bwMode="auto">
                          <a:xfrm>
                            <a:off x="0" y="0"/>
                            <a:ext cx="638175" cy="6381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2865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638175" cy="6286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28650"/>
                  <wp:effectExtent l="0" t="0" r="0" b="0"/>
                  <wp:docPr id="5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0" descr=""/>
                          <pic:cNvPicPr>
                            <a:picLocks noChangeAspect="1" noChangeArrowheads="1"/>
                          </pic:cNvPicPr>
                        </pic:nvPicPr>
                        <pic:blipFill>
                          <a:blip r:embed="rId21"/>
                          <a:stretch>
                            <a:fillRect/>
                          </a:stretch>
                        </pic:blipFill>
                        <pic:spPr bwMode="auto">
                          <a:xfrm>
                            <a:off x="0" y="0"/>
                            <a:ext cx="638175" cy="6286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28650"/>
                  <wp:effectExtent l="0" t="0" r="0" b="0"/>
                  <wp:docPr id="5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1" descr=""/>
                          <pic:cNvPicPr>
                            <a:picLocks noChangeAspect="1" noChangeArrowheads="1"/>
                          </pic:cNvPicPr>
                        </pic:nvPicPr>
                        <pic:blipFill>
                          <a:blip r:embed="rId22"/>
                          <a:stretch>
                            <a:fillRect/>
                          </a:stretch>
                        </pic:blipFill>
                        <pic:spPr bwMode="auto">
                          <a:xfrm>
                            <a:off x="0" y="0"/>
                            <a:ext cx="638175" cy="6286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38175"/>
                  <wp:effectExtent l="0" t="0" r="0" b="0"/>
                  <wp:docPr id="5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2" descr=""/>
                          <pic:cNvPicPr>
                            <a:picLocks noChangeAspect="1" noChangeArrowheads="1"/>
                          </pic:cNvPicPr>
                        </pic:nvPicPr>
                        <pic:blipFill>
                          <a:blip r:embed="rId23"/>
                          <a:stretch>
                            <a:fillRect/>
                          </a:stretch>
                        </pic:blipFill>
                        <pic:spPr bwMode="auto">
                          <a:xfrm>
                            <a:off x="0" y="0"/>
                            <a:ext cx="638175" cy="638175"/>
                          </a:xfrm>
                          <a:prstGeom prst="rect">
                            <a:avLst/>
                          </a:prstGeom>
                        </pic:spPr>
                      </pic:pic>
                    </a:graphicData>
                  </a:graphic>
                </wp:inline>
              </w:drawing>
            </w:r>
          </w:p>
        </w:tc>
      </w:tr>
    </w:tbl>
    <w:tbl>
      <w:tblPr>
        <w:tblW w:w="8791" w:type="dxa"/>
        <w:jc w:val="center"/>
        <w:tblInd w:w="0" w:type="dxa"/>
        <w:tblLayout w:type="fixed"/>
        <w:tblCellMar>
          <w:top w:w="28" w:type="dxa"/>
          <w:left w:w="28" w:type="dxa"/>
          <w:bottom w:w="28" w:type="dxa"/>
          <w:right w:w="28" w:type="dxa"/>
        </w:tblCellMar>
      </w:tblPr>
      <w:tblGrid>
        <w:gridCol w:w="919"/>
        <w:gridCol w:w="805"/>
        <w:gridCol w:w="811"/>
        <w:gridCol w:w="109"/>
        <w:gridCol w:w="109"/>
        <w:gridCol w:w="109"/>
        <w:gridCol w:w="748"/>
        <w:gridCol w:w="748"/>
        <w:gridCol w:w="753"/>
        <w:gridCol w:w="109"/>
        <w:gridCol w:w="109"/>
        <w:gridCol w:w="109"/>
        <w:gridCol w:w="629"/>
        <w:gridCol w:w="629"/>
        <w:gridCol w:w="632"/>
        <w:gridCol w:w="109"/>
        <w:gridCol w:w="109"/>
        <w:gridCol w:w="109"/>
        <w:gridCol w:w="332"/>
        <w:gridCol w:w="332"/>
        <w:gridCol w:w="472"/>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38175"/>
                  <wp:effectExtent l="0" t="0" r="0" b="0"/>
                  <wp:docPr id="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 descr=""/>
                          <pic:cNvPicPr>
                            <a:picLocks noChangeAspect="1" noChangeArrowheads="1"/>
                          </pic:cNvPicPr>
                        </pic:nvPicPr>
                        <pic:blipFill>
                          <a:blip r:embed="rId24"/>
                          <a:stretch>
                            <a:fillRect/>
                          </a:stretch>
                        </pic:blipFill>
                        <pic:spPr bwMode="auto">
                          <a:xfrm>
                            <a:off x="0" y="0"/>
                            <a:ext cx="638175" cy="6381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38175"/>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25"/>
                          <a:stretch>
                            <a:fillRect/>
                          </a:stretch>
                        </pic:blipFill>
                        <pic:spPr bwMode="auto">
                          <a:xfrm>
                            <a:off x="0" y="0"/>
                            <a:ext cx="638175" cy="6381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28650"/>
                  <wp:effectExtent l="0" t="0" r="0" b="0"/>
                  <wp:docPr id="5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5" descr=""/>
                          <pic:cNvPicPr>
                            <a:picLocks noChangeAspect="1" noChangeArrowheads="1"/>
                          </pic:cNvPicPr>
                        </pic:nvPicPr>
                        <pic:blipFill>
                          <a:blip r:embed="rId26"/>
                          <a:stretch>
                            <a:fillRect/>
                          </a:stretch>
                        </pic:blipFill>
                        <pic:spPr bwMode="auto">
                          <a:xfrm>
                            <a:off x="0" y="0"/>
                            <a:ext cx="638175" cy="6286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8175" cy="628650"/>
                  <wp:effectExtent l="0" t="0" r="0" b="0"/>
                  <wp:docPr id="5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6" descr=""/>
                          <pic:cNvPicPr>
                            <a:picLocks noChangeAspect="1" noChangeArrowheads="1"/>
                          </pic:cNvPicPr>
                        </pic:nvPicPr>
                        <pic:blipFill>
                          <a:blip r:embed="rId27"/>
                          <a:stretch>
                            <a:fillRect/>
                          </a:stretch>
                        </pic:blipFill>
                        <pic:spPr bwMode="auto">
                          <a:xfrm>
                            <a:off x="0" y="0"/>
                            <a:ext cx="638175" cy="628650"/>
                          </a:xfrm>
                          <a:prstGeom prst="rect">
                            <a:avLst/>
                          </a:prstGeom>
                        </pic:spPr>
                      </pic:pic>
                    </a:graphicData>
                  </a:graphic>
                </wp:inline>
              </w:drawing>
            </w:r>
          </w:p>
        </w:tc>
      </w:tr>
      <w:tr>
        <w:trPr/>
        <w:tc>
          <w:tcPr>
            <w:tcW w:w="2535"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6"/>
              </w:rPr>
            </w:pPr>
            <w:r>
              <w:rPr>
                <w:rFonts w:ascii="Inter SemiBold;sans-serif" w:hAnsi="Inter SemiBold;sans-serif"/>
                <w:b w:val="false"/>
                <w:color w:val="690031"/>
                <w:sz w:val="16"/>
              </w:rPr>
              <w:t>Give and Take Responsibility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6"/>
              </w:rPr>
            </w:pPr>
            <w:r>
              <w:rPr>
                <w:rFonts w:ascii="Inter SemiBold;sans-serif" w:hAnsi="Inter SemiBold;sans-serif"/>
                <w:b w:val="false"/>
                <w:color w:val="690031"/>
                <w:sz w:val="16"/>
              </w:rPr>
              <w:t xml:space="preserve">Be Real </w:t>
              <w:br/>
              <w:t>(with yourself and 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690031"/>
                <w:sz w:val="16"/>
              </w:rPr>
            </w:pPr>
            <w:r>
              <w:rPr>
                <w:rFonts w:ascii="Inter SemiBold;sans-serif" w:hAnsi="Inter SemiBold;sans-serif"/>
                <w:b w:val="false"/>
                <w:color w:val="690031"/>
                <w:sz w:val="16"/>
              </w:rPr>
              <w:t>Do Great Things, Fast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nter SemiBold;sans-serif" w:hAnsi="Inter SemiBold;sans-serif"/>
                <w:b w:val="false"/>
                <w:color w:val="690031"/>
                <w:sz w:val="16"/>
              </w:rPr>
            </w:pPr>
            <w:r>
              <w:rPr>
                <w:rFonts w:ascii="Inter SemiBold;sans-serif" w:hAnsi="Inter SemiBold;sans-serif"/>
                <w:b w:val="false"/>
                <w:color w:val="690031"/>
                <w:sz w:val="16"/>
              </w:rPr>
              <w:t>Heartitude</w:t>
            </w:r>
          </w:p>
        </w:tc>
      </w:tr>
    </w:tbl>
    <w:p>
      <w:pPr>
        <w:pStyle w:val="TextBody"/>
        <w:bidi w:val="0"/>
        <w:spacing w:before="24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39140"/>
                <wp:effectExtent l="0" t="0" r="0" b="0"/>
                <wp:wrapNone/>
                <wp:docPr id="57"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804" w:type="dxa"/>
        <w:jc w:val="center"/>
        <w:tblInd w:w="0" w:type="dxa"/>
        <w:tblLayout w:type="fixed"/>
        <w:tblCellMar>
          <w:top w:w="28" w:type="dxa"/>
          <w:left w:w="28" w:type="dxa"/>
          <w:bottom w:w="28" w:type="dxa"/>
          <w:right w:w="28" w:type="dxa"/>
        </w:tblCellMar>
      </w:tblPr>
      <w:tblGrid>
        <w:gridCol w:w="575"/>
        <w:gridCol w:w="505"/>
        <w:gridCol w:w="509"/>
        <w:gridCol w:w="1234"/>
        <w:gridCol w:w="1234"/>
        <w:gridCol w:w="174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21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Corporate Responsibility and Sustainability</w:t>
            </w:r>
          </w:p>
        </w:tc>
      </w:tr>
    </w:tbl>
    <w:p>
      <w:pPr>
        <w:pStyle w:val="TextBody"/>
        <w:bidi w:val="0"/>
        <w:spacing w:lineRule="atLeast" w:line="26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Culture and Belonging</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believe that by creating an inclusive environment, we are better positioned to achieve our mission. Investing in talent development and retention programs helps ensure that every employee at Asana can thrive and feel a sense of belonging in order to achieve their best work. Our mission-driven culture, rooted in our values and powered by our global workforce, enables us to successfully understand and meet the demands of our broad customer base worldwide.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Supporting and enabling employees from a variety of backgrounds to grow in their journey as Asanas in turn allows us to better support and serve a greater number of customers across an increasingly wide range of regions and industries. Recent initiatives to support breadth in our workforce through development and retention include recruiting from non-technology backgrounds, offering career sponsorship, and our peer mentorship programs.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also offer a variety of benefits designed to support Asanas in every stage of life, at home and in-office. These include:</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Health and Well-Being:</w:t>
      </w:r>
      <w:r>
        <w:rPr>
          <w:color w:val="0D0E10"/>
        </w:rPr>
        <w:t xml:space="preserve"> </w:t>
      </w:r>
      <w:r>
        <w:rPr>
          <w:rFonts w:ascii="Inter Light;sans-serif" w:hAnsi="Inter Light;sans-serif"/>
          <w:b w:val="false"/>
          <w:color w:val="0D0E10"/>
          <w:sz w:val="18"/>
        </w:rPr>
        <w:t>Accessible mental health and wellness benefits through an online platform that connects employees and their dependents around the world to mental healthcare options, as well as either a fitness reimbursement or gym access dependent on location, all helping employees to better bring their best self to work.</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 xml:space="preserve">Family Forming and Childcare: </w:t>
      </w:r>
      <w:r>
        <w:rPr>
          <w:rFonts w:ascii="Inter Light;sans-serif" w:hAnsi="Inter Light;sans-serif"/>
          <w:b w:val="false"/>
          <w:color w:val="0D0E10"/>
          <w:sz w:val="18"/>
        </w:rPr>
        <w:t>We have intentionally designed our global benefits and time off programs to support working parents, including offering a minimum of 16 weeks of paid parental leave, providing a family forming reimbursement benefit, and giving employees access to childcare and caregiving services.</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Community Creation:</w:t>
      </w:r>
      <w:r>
        <w:rPr>
          <w:color w:val="0D0E10"/>
        </w:rPr>
        <w:t xml:space="preserve"> </w:t>
      </w:r>
      <w:r>
        <w:rPr>
          <w:rFonts w:ascii="Inter Light;sans-serif" w:hAnsi="Inter Light;sans-serif"/>
          <w:b w:val="false"/>
          <w:color w:val="0D0E10"/>
          <w:sz w:val="18"/>
        </w:rPr>
        <w:t>Our employee resource groups, which are open to all employees, represent a range of interests and enable employees to support each other and grow together in their journey as Asanas.</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Career Growth Budget:</w:t>
      </w:r>
      <w:r>
        <w:rPr>
          <w:color w:val="0D0E10"/>
        </w:rPr>
        <w:t xml:space="preserve"> </w:t>
      </w:r>
      <w:r>
        <w:rPr>
          <w:rFonts w:ascii="Inter Light;sans-serif" w:hAnsi="Inter Light;sans-serif"/>
          <w:b w:val="false"/>
          <w:color w:val="0D0E10"/>
          <w:sz w:val="18"/>
        </w:rPr>
        <w:t>We believe in the symbiotic relationship between company and employee, where investment in development leads to high-impact business outcomes. Our annual reimbursement for eligible content and experience expenses allows us to enable individual skill development.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believe that empowering all of our employees to develop in their careers not only helps us retain talent but also helps us meet customer needs better as employees in turn develop in their journey using our products. Our platform is designed to scale and expand with organizations according to need and we are committed to offering that same supportive growth opportunity to our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Impact of Culture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focus on impact and results at Asana. We firmly believe that a strong and positive culture is the foundation for driving exceptional business results. As of January 31, 2025, our Glassdoor overall score sat at 4.0 out of 5.0, including an 81% approval rating of our CEO. During 2024, we were recognized with the following awards that highlight our unwavering dedication to co-creating an environment where our employees thrive and, ultimately, drive the growth and success of our customers: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Fortune and Great Place to Work’s Best Workplace in the Bay Area, for the eighth year in a row;</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Fortune and Great Place to Work’s Best Workplace in Technology, for the seventh year in a row; and</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Inc.’s Best Workplaces, for the seventh year in a row.</w:t>
      </w:r>
    </w:p>
    <w:p>
      <w:pPr>
        <w:pStyle w:val="TextBody"/>
        <w:bidi w:val="0"/>
        <w:spacing w:lineRule="atLeast" w:line="260" w:before="0" w:after="120"/>
        <w:jc w:val="left"/>
        <w:rPr>
          <w:rFonts w:ascii="Inter Light;sans-serif" w:hAnsi="Inter Light;sans-serif"/>
          <w:b w:val="false"/>
          <w:color w:val="0D0E10"/>
          <w:sz w:val="18"/>
        </w:rPr>
      </w:pPr>
      <w:r>
        <w:rPr>
          <w:rFonts w:ascii="Inter Light;sans-serif" w:hAnsi="Inter Light;sans-serif"/>
          <w:b w:val="false"/>
          <w:color w:val="0D0E10"/>
          <w:sz w:val="18"/>
        </w:rPr>
        <w:t xml:space="preserve">These achievements are a testament to the value we place on ensuring that Asana employees are connected to our mission and enable us to attract and retain top talent globally.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59435"/>
                <wp:effectExtent l="0" t="0" r="0" b="0"/>
                <wp:wrapNone/>
                <wp:docPr id="58" name="Frame32"/>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27</w:t>
                            </w:r>
                          </w:p>
                        </w:tc>
                      </w:tr>
                    </w:tbl>
                    <w:p>
                      <w:pPr>
                        <w:pStyle w:val="TextBody"/>
                        <w:bidi w:val="0"/>
                        <w:spacing w:before="0" w:after="283"/>
                        <w:jc w:val="left"/>
                        <w:rPr/>
                      </w:pPr>
                      <w:r>
                        <w:rPr/>
                      </w:r>
                    </w:p>
                  </w:txbxContent>
                </v:textbox>
                <w10:wrap type="none"/>
              </v:rect>
            </w:pict>
          </mc:Fallback>
        </mc:AlternateContent>
      </w:r>
    </w:p>
    <w:tbl>
      <w:tblPr>
        <w:tblW w:w="5804" w:type="dxa"/>
        <w:jc w:val="center"/>
        <w:tblInd w:w="0" w:type="dxa"/>
        <w:tblLayout w:type="fixed"/>
        <w:tblCellMar>
          <w:top w:w="28" w:type="dxa"/>
          <w:left w:w="28" w:type="dxa"/>
          <w:bottom w:w="28" w:type="dxa"/>
          <w:right w:w="28" w:type="dxa"/>
        </w:tblCellMar>
      </w:tblPr>
      <w:tblGrid>
        <w:gridCol w:w="1515"/>
        <w:gridCol w:w="1334"/>
        <w:gridCol w:w="1336"/>
        <w:gridCol w:w="474"/>
        <w:gridCol w:w="474"/>
        <w:gridCol w:w="671"/>
      </w:tblGrid>
      <w:tr>
        <w:trPr/>
        <w:tc>
          <w:tcPr>
            <w:tcW w:w="151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Corporate Responsibility and Sustainability</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933"/>
        <w:gridCol w:w="1933"/>
        <w:gridCol w:w="1937"/>
        <w:gridCol w:w="1228"/>
        <w:gridCol w:w="1228"/>
        <w:gridCol w:w="1230"/>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vMerge w:val="restart"/>
            <w:tcBorders>
              <w:top w:val="single" w:sz="2" w:space="0" w:color="690031"/>
              <w:bottom w:val="single" w:sz="2" w:space="0" w:color="690031"/>
            </w:tcBorders>
            <w:tcMar>
              <w:left w:w="0" w:type="dxa"/>
              <w:right w:w="0" w:type="dxa"/>
            </w:tcMar>
            <w:vAlign w:val="center"/>
          </w:tcPr>
          <w:p>
            <w:pPr>
              <w:pStyle w:val="TableContents"/>
              <w:bidi w:val="0"/>
              <w:spacing w:before="100" w:after="100"/>
              <w:jc w:val="center"/>
              <w:rPr/>
            </w:pPr>
            <w:r>
              <w:rPr/>
              <w:drawing>
                <wp:inline distT="0" distB="0" distL="0" distR="0">
                  <wp:extent cx="2286000" cy="2162175"/>
                  <wp:effectExtent l="0" t="0" r="0" b="0"/>
                  <wp:docPr id="5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7" descr=""/>
                          <pic:cNvPicPr>
                            <a:picLocks noChangeAspect="1" noChangeArrowheads="1"/>
                          </pic:cNvPicPr>
                        </pic:nvPicPr>
                        <pic:blipFill>
                          <a:blip r:embed="rId28"/>
                          <a:stretch>
                            <a:fillRect/>
                          </a:stretch>
                        </pic:blipFill>
                        <pic:spPr bwMode="auto">
                          <a:xfrm>
                            <a:off x="0" y="0"/>
                            <a:ext cx="2286000" cy="2162175"/>
                          </a:xfrm>
                          <a:prstGeom prst="rect">
                            <a:avLst/>
                          </a:prstGeom>
                        </pic:spPr>
                      </pic:pic>
                    </a:graphicData>
                  </a:graphic>
                </wp:inline>
              </w:drawing>
            </w:r>
          </w:p>
        </w:tc>
        <w:tc>
          <w:tcPr>
            <w:tcW w:w="374"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cMar>
              <w:top w:w="0" w:type="dxa"/>
              <w:left w:w="0" w:type="dxa"/>
              <w:bottom w:w="0" w:type="dxa"/>
              <w:right w:w="0" w:type="dxa"/>
            </w:tcMar>
            <w:vAlign w:val="center"/>
          </w:tcPr>
          <w:p>
            <w:pPr>
              <w:pStyle w:val="TableContents"/>
              <w:bidi w:val="0"/>
              <w:spacing w:lineRule="atLeast" w:line="500" w:before="0" w:after="0"/>
              <w:jc w:val="left"/>
              <w:rPr>
                <w:rFonts w:ascii="Inter Medium;sans-serif" w:hAnsi="Inter Medium;sans-serif"/>
                <w:b w:val="false"/>
                <w:color w:val="690031"/>
                <w:sz w:val="40"/>
              </w:rPr>
            </w:pPr>
            <w:r>
              <w:rPr>
                <w:rFonts w:ascii="Inter Medium;sans-serif" w:hAnsi="Inter Medium;sans-serif"/>
                <w:b w:val="false"/>
                <w:color w:val="690031"/>
                <w:sz w:val="40"/>
              </w:rPr>
              <w:t xml:space="preserve">We focus on </w:t>
            </w:r>
          </w:p>
          <w:p>
            <w:pPr>
              <w:pStyle w:val="TableContents"/>
              <w:bidi w:val="0"/>
              <w:spacing w:lineRule="atLeast" w:line="500" w:before="0" w:after="0"/>
              <w:jc w:val="left"/>
              <w:rPr>
                <w:rFonts w:ascii="Inter Medium;sans-serif" w:hAnsi="Inter Medium;sans-serif"/>
                <w:b w:val="false"/>
                <w:color w:val="690031"/>
                <w:sz w:val="40"/>
              </w:rPr>
            </w:pPr>
            <w:r>
              <w:rPr>
                <w:rFonts w:ascii="Inter Medium;sans-serif" w:hAnsi="Inter Medium;sans-serif"/>
                <w:b w:val="false"/>
                <w:color w:val="690031"/>
                <w:sz w:val="40"/>
              </w:rPr>
              <w:t xml:space="preserve">impact and results </w:t>
            </w:r>
          </w:p>
          <w:p>
            <w:pPr>
              <w:pStyle w:val="TableContents"/>
              <w:bidi w:val="0"/>
              <w:spacing w:lineRule="atLeast" w:line="500" w:before="0" w:after="300"/>
              <w:jc w:val="left"/>
              <w:rPr>
                <w:rFonts w:ascii="Inter Medium;sans-serif" w:hAnsi="Inter Medium;sans-serif"/>
                <w:b w:val="false"/>
                <w:color w:val="690031"/>
                <w:sz w:val="40"/>
              </w:rPr>
            </w:pPr>
            <w:r>
              <w:rPr>
                <w:rFonts w:ascii="Inter Medium;sans-serif" w:hAnsi="Inter Medium;sans-serif"/>
                <w:b w:val="false"/>
                <w:color w:val="690031"/>
                <w:sz w:val="40"/>
              </w:rPr>
              <w:t xml:space="preserve">at Asana. </w:t>
            </w:r>
          </w:p>
          <w:p>
            <w:pPr>
              <w:pStyle w:val="TableContents"/>
              <w:bidi w:val="0"/>
              <w:spacing w:lineRule="atLeast" w:line="300" w:before="0" w:after="0"/>
              <w:jc w:val="left"/>
              <w:rPr>
                <w:rFonts w:ascii="Inter;sans-serif" w:hAnsi="Inter;sans-serif"/>
                <w:b w:val="false"/>
                <w:color w:val="690031"/>
                <w:sz w:val="20"/>
              </w:rPr>
            </w:pPr>
            <w:r>
              <w:rPr>
                <w:rFonts w:ascii="Inter;sans-serif" w:hAnsi="Inter;sans-serif"/>
                <w:b w:val="false"/>
                <w:color w:val="690031"/>
                <w:sz w:val="20"/>
              </w:rPr>
              <w:t>We bring our culture to life in the following ways to enable our employees to do their most impactful work as effortlessly as possible.</w:t>
            </w:r>
          </w:p>
        </w:tc>
        <w:tc>
          <w:tcPr>
            <w:tcW w:w="3686" w:type="dxa"/>
            <w:gridSpan w:val="3"/>
            <w:vMerge w:val="continue"/>
            <w:tcBorders>
              <w:top w:val="single" w:sz="2" w:space="0" w:color="690031"/>
              <w:bottom w:val="single" w:sz="2" w:space="0" w:color="690031"/>
            </w:tcBorders>
            <w:tcMar>
              <w:left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2"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bottom w:val="single" w:sz="2"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vMerge w:val="continue"/>
            <w:tcBorders>
              <w:top w:val="single" w:sz="2" w:space="0" w:color="690031"/>
              <w:bottom w:val="single" w:sz="2" w:space="0" w:color="690031"/>
            </w:tcBorders>
            <w:tcMar>
              <w:left w:w="0" w:type="dxa"/>
              <w:right w:w="0" w:type="dxa"/>
            </w:tcMar>
            <w:vAlign w:val="center"/>
          </w:tcPr>
          <w:p>
            <w:pPr>
              <w:pStyle w:val="Normal"/>
              <w:bidi w:val="0"/>
              <w:jc w:val="left"/>
              <w:rPr/>
            </w:pPr>
            <w:r>
              <w:rPr/>
            </w:r>
          </w:p>
        </w:tc>
        <w:tc>
          <w:tcPr>
            <w:tcW w:w="374" w:type="dxa"/>
            <w:gridSpan w:val="3"/>
            <w:tcBorders>
              <w:bottom w:val="single" w:sz="2"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41"/>
        <w:gridCol w:w="341"/>
        <w:gridCol w:w="341"/>
        <w:gridCol w:w="310"/>
        <w:gridCol w:w="310"/>
        <w:gridCol w:w="310"/>
        <w:gridCol w:w="310"/>
        <w:gridCol w:w="310"/>
        <w:gridCol w:w="310"/>
        <w:gridCol w:w="2200"/>
        <w:gridCol w:w="2200"/>
        <w:gridCol w:w="2205"/>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EAEC" w:val="clear"/>
            <w:tcMar>
              <w:top w:w="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690031"/>
                <w:sz w:val="28"/>
              </w:rPr>
            </w:pPr>
            <w:r>
              <w:rPr>
                <w:rFonts w:ascii="Inter Medium;sans-serif" w:hAnsi="Inter Medium;sans-serif"/>
                <w:b w:val="false"/>
                <w:color w:val="690031"/>
                <w:sz w:val="28"/>
              </w:rPr>
              <w:t>1.</w:t>
            </w:r>
          </w:p>
        </w:tc>
        <w:tc>
          <w:tcPr>
            <w:tcW w:w="930" w:type="dxa"/>
            <w:gridSpan w:val="3"/>
            <w:tcBorders>
              <w:bottom w:val="single" w:sz="2"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left w:val="single" w:sz="2" w:space="0" w:color="690031"/>
              <w:bottom w:val="single" w:sz="2" w:space="0" w:color="690031"/>
            </w:tcBorders>
            <w:shd w:fill="FFEAEC" w:val="clear"/>
            <w:tcMar>
              <w:top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tcBorders>
              <w:bottom w:val="single" w:sz="2" w:space="0" w:color="690031"/>
            </w:tcBorders>
            <w:shd w:fill="FFEAEC" w:val="clear"/>
            <w:tcMar>
              <w:top w:w="0" w:type="dxa"/>
              <w:left w:w="0" w:type="dxa"/>
              <w:bottom w:w="30" w:type="dxa"/>
              <w:right w:w="0" w:type="dxa"/>
            </w:tcMar>
            <w:vAlign w:val="center"/>
          </w:tcPr>
          <w:p>
            <w:pPr>
              <w:pStyle w:val="TableContents"/>
              <w:bidi w:val="0"/>
              <w:spacing w:lineRule="atLeast" w:line="360" w:before="100" w:after="100"/>
              <w:jc w:val="left"/>
              <w:rPr>
                <w:rFonts w:ascii="Inter Medium;sans-serif" w:hAnsi="Inter Medium;sans-serif"/>
                <w:b w:val="false"/>
                <w:color w:val="690031"/>
                <w:sz w:val="28"/>
              </w:rPr>
            </w:pPr>
            <w:r>
              <w:rPr>
                <w:rFonts w:ascii="Inter Medium;sans-serif" w:hAnsi="Inter Medium;sans-serif"/>
                <w:b w:val="false"/>
                <w:color w:val="690031"/>
                <w:sz w:val="28"/>
              </w:rPr>
              <w:t>Growth and Impact</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12"/>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12"/>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We invest deeply in employee growth and impact, from onboarding to ongoing learning and development opportunities. From day one, Asana employees have clarity on how to increase their impact by leveraging our team success guides, participating in annual Growth &amp; Impact conversations and quarterly check-ins, and giving and receiving peer feedback regularly through our Anytime Feedback program. We also provide conscious leadership training for all employees. Career growth today isn’t always linear, which is why we believe in giving employees multiple pathways and opportunities to make an impact and further their professional development at Asana. Our Areas of Responsibility (AOR) system empowers employees to take ownership and responsibility over parts of the business that stretch them beyond their job description and give them exposure to new opportunities and cross-functional teams.</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12"/>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567"/>
        <w:gridCol w:w="567"/>
        <w:gridCol w:w="567"/>
        <w:gridCol w:w="506"/>
        <w:gridCol w:w="506"/>
        <w:gridCol w:w="506"/>
        <w:gridCol w:w="506"/>
        <w:gridCol w:w="506"/>
        <w:gridCol w:w="506"/>
        <w:gridCol w:w="1581"/>
        <w:gridCol w:w="1581"/>
        <w:gridCol w:w="1585"/>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BEDFF" w:val="clear"/>
            <w:tcMar>
              <w:top w:w="0" w:type="dxa"/>
              <w:left w:w="0" w:type="dxa"/>
              <w:bottom w:w="0" w:type="dxa"/>
              <w:right w:w="0" w:type="dxa"/>
            </w:tcMar>
            <w:vAlign w:val="center"/>
          </w:tcPr>
          <w:p>
            <w:pPr>
              <w:pStyle w:val="TableContents"/>
              <w:bidi w:val="0"/>
              <w:spacing w:lineRule="atLeast" w:line="360" w:before="0" w:after="0"/>
              <w:jc w:val="center"/>
              <w:rPr>
                <w:rFonts w:ascii="Inter Medium;sans-serif" w:hAnsi="Inter Medium;sans-serif"/>
                <w:b w:val="false"/>
                <w:color w:val="222875"/>
                <w:sz w:val="28"/>
              </w:rPr>
            </w:pPr>
            <w:r>
              <w:rPr>
                <w:rFonts w:ascii="Inter Medium;sans-serif" w:hAnsi="Inter Medium;sans-serif"/>
                <w:b w:val="false"/>
                <w:color w:val="222875"/>
                <w:sz w:val="28"/>
              </w:rPr>
              <w:t>2.</w:t>
            </w:r>
          </w:p>
        </w:tc>
        <w:tc>
          <w:tcPr>
            <w:tcW w:w="1518" w:type="dxa"/>
            <w:gridSpan w:val="3"/>
            <w:tcBorders>
              <w:bottom w:val="single" w:sz="2" w:space="0" w:color="222875"/>
            </w:tcBorders>
            <w:shd w:fill="CBED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left w:val="single" w:sz="2" w:space="0" w:color="222875"/>
              <w:bottom w:val="single" w:sz="2" w:space="0" w:color="222875"/>
            </w:tcBorders>
            <w:shd w:fill="CBEDFF" w:val="clear"/>
            <w:tcMar>
              <w:top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bottom w:val="single" w:sz="2" w:space="0" w:color="222875"/>
            </w:tcBorders>
            <w:shd w:fill="CBEDFF" w:val="clear"/>
            <w:tcMar>
              <w:top w:w="0" w:type="dxa"/>
              <w:left w:w="0" w:type="dxa"/>
              <w:bottom w:w="30" w:type="dxa"/>
              <w:right w:w="0" w:type="dxa"/>
            </w:tcMar>
            <w:vAlign w:val="center"/>
          </w:tcPr>
          <w:p>
            <w:pPr>
              <w:pStyle w:val="TableContents"/>
              <w:bidi w:val="0"/>
              <w:spacing w:lineRule="atLeast" w:line="360" w:before="100" w:after="100"/>
              <w:jc w:val="left"/>
              <w:rPr>
                <w:rFonts w:ascii="Inter Medium;sans-serif" w:hAnsi="Inter Medium;sans-serif"/>
                <w:b w:val="false"/>
                <w:color w:val="222875"/>
                <w:sz w:val="28"/>
              </w:rPr>
            </w:pPr>
            <w:r>
              <w:rPr>
                <w:rFonts w:ascii="Inter Medium;sans-serif" w:hAnsi="Inter Medium;sans-serif"/>
                <w:b w:val="false"/>
                <w:color w:val="222875"/>
                <w:sz w:val="28"/>
              </w:rPr>
              <w:t>Clarity</w:t>
            </w:r>
          </w:p>
        </w:tc>
        <w:tc>
          <w:tcPr>
            <w:tcW w:w="379"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222875"/>
            </w:tcBorders>
            <w:shd w:fill="CB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top w:val="single" w:sz="2" w:space="0" w:color="222875"/>
            </w:tcBorders>
            <w:shd w:fill="CB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2" w:space="0" w:color="222875"/>
            </w:tcBorders>
            <w:shd w:fill="CB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CBED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222875"/>
                <w:sz w:val="16"/>
              </w:rPr>
            </w:pPr>
            <w:r>
              <w:rPr>
                <w:rFonts w:ascii="Inter Light;sans-serif" w:hAnsi="Inter Light;sans-serif"/>
                <w:b w:val="false"/>
                <w:color w:val="222875"/>
                <w:sz w:val="16"/>
              </w:rPr>
              <w:t>We believe that clarity and transparency in the workplace require both great technology and a company culture grounded in openness. At quarterly Q&amp;As and company-wide All Hands meetings, the leadership team speaks openly about the state of the company, sharing financial insights, growth metrics, and news. Through our Goals feature in our product, we can provide real-time transparency on achieving our annual high-level priorities company-wide so every employee at Asana understands our shared objectives and how their day-to-day work contributes to achieving those goals, and ultimately, our mission. Keeping employees in the know at every step of the way builds ongoing trust and confidence in our leadership and company.</w:t>
            </w:r>
          </w:p>
        </w:tc>
        <w:tc>
          <w:tcPr>
            <w:tcW w:w="379"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B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06"/>
        <w:gridCol w:w="406"/>
        <w:gridCol w:w="406"/>
        <w:gridCol w:w="367"/>
        <w:gridCol w:w="367"/>
        <w:gridCol w:w="367"/>
        <w:gridCol w:w="367"/>
        <w:gridCol w:w="367"/>
        <w:gridCol w:w="367"/>
        <w:gridCol w:w="2021"/>
        <w:gridCol w:w="2021"/>
        <w:gridCol w:w="2024"/>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9FCDB" w:val="clear"/>
            <w:tcMar>
              <w:top w:w="0" w:type="dxa"/>
              <w:left w:w="0" w:type="dxa"/>
              <w:bottom w:w="0" w:type="dxa"/>
              <w:right w:w="0" w:type="dxa"/>
            </w:tcMar>
            <w:vAlign w:val="center"/>
          </w:tcPr>
          <w:p>
            <w:pPr>
              <w:pStyle w:val="TableContents"/>
              <w:bidi w:val="0"/>
              <w:spacing w:lineRule="atLeast" w:line="360" w:before="0" w:after="283"/>
              <w:jc w:val="center"/>
              <w:rPr>
                <w:rFonts w:ascii="Inter Medium;sans-serif" w:hAnsi="Inter Medium;sans-serif"/>
                <w:b w:val="false"/>
                <w:color w:val="004232"/>
                <w:sz w:val="28"/>
              </w:rPr>
            </w:pPr>
            <w:r>
              <w:rPr>
                <w:rFonts w:ascii="Inter Medium;sans-serif" w:hAnsi="Inter Medium;sans-serif"/>
                <w:b w:val="false"/>
                <w:color w:val="004232"/>
                <w:sz w:val="28"/>
              </w:rPr>
              <w:t>3.</w:t>
            </w:r>
          </w:p>
        </w:tc>
        <w:tc>
          <w:tcPr>
            <w:tcW w:w="1101" w:type="dxa"/>
            <w:gridSpan w:val="3"/>
            <w:tcBorders>
              <w:bottom w:val="single" w:sz="2" w:space="0" w:color="004232"/>
            </w:tcBorders>
            <w:shd w:fill="C9FC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left w:val="single" w:sz="2" w:space="0" w:color="004232"/>
              <w:bottom w:val="single" w:sz="2" w:space="0" w:color="004232"/>
            </w:tcBorders>
            <w:shd w:fill="C9FCDB" w:val="clear"/>
            <w:tcMar>
              <w:top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3"/>
            <w:tcBorders>
              <w:bottom w:val="single" w:sz="2" w:space="0" w:color="004232"/>
            </w:tcBorders>
            <w:shd w:fill="C9FCDB" w:val="clear"/>
            <w:tcMar>
              <w:top w:w="0" w:type="dxa"/>
              <w:left w:w="0" w:type="dxa"/>
              <w:bottom w:w="30" w:type="dxa"/>
              <w:right w:w="0" w:type="dxa"/>
            </w:tcMar>
            <w:vAlign w:val="center"/>
          </w:tcPr>
          <w:p>
            <w:pPr>
              <w:pStyle w:val="TableContents"/>
              <w:bidi w:val="0"/>
              <w:spacing w:lineRule="atLeast" w:line="360" w:before="100" w:after="100"/>
              <w:jc w:val="left"/>
              <w:rPr>
                <w:rFonts w:ascii="Inter Medium;sans-serif" w:hAnsi="Inter Medium;sans-serif"/>
                <w:b w:val="false"/>
                <w:color w:val="004232"/>
                <w:sz w:val="28"/>
              </w:rPr>
            </w:pPr>
            <w:r>
              <w:rPr>
                <w:rFonts w:ascii="Inter Medium;sans-serif" w:hAnsi="Inter Medium;sans-serif"/>
                <w:b w:val="false"/>
                <w:color w:val="004232"/>
                <w:sz w:val="28"/>
              </w:rPr>
              <w:t>Co-Creation</w:t>
            </w:r>
          </w:p>
        </w:tc>
        <w:tc>
          <w:tcPr>
            <w:tcW w:w="377"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4232"/>
            </w:tcBorders>
            <w:shd w:fill="C9F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top w:val="single" w:sz="2" w:space="0" w:color="004232"/>
            </w:tcBorders>
            <w:shd w:fill="C9F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2" w:space="0" w:color="004232"/>
            </w:tcBorders>
            <w:shd w:fill="C9FC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shd w:fill="C9FCDB"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04232"/>
                <w:sz w:val="16"/>
              </w:rPr>
            </w:pPr>
            <w:r>
              <w:rPr>
                <w:rFonts w:ascii="Inter Light;sans-serif" w:hAnsi="Inter Light;sans-serif"/>
                <w:b w:val="false"/>
                <w:color w:val="004232"/>
                <w:sz w:val="16"/>
              </w:rPr>
              <w:t>Just as we continuously improve the Asana product, we believe in continuously improving and co-creating our culture - we believe in soliciting feedback from our employees throughout the year. Each year, we conduct two company-wide engagement surveys to gain insight into how employees are experiencing life at Asana. These surveys help us surface areas that need improvement, and we use survey feedback to co-create plans to address areas to improve and strengthen our culture. Additionally, our Global People Advisory Board, which includes leaders from across the company, regularly leverages employee feedback as well as data from engagement surveys, to ensure that leaders and managers are aware of the issues that are top of mind for employees and taking the appropriate steps to address them. In our most recent global employee engagement survey, 75% of our employees indicated they would recommend Asana as a great place to work and 76% reported feeling an overall sense of belonging.</w:t>
            </w:r>
          </w:p>
        </w:tc>
        <w:tc>
          <w:tcPr>
            <w:tcW w:w="377"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2"/>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9FC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39140"/>
                <wp:effectExtent l="0" t="0" r="0" b="0"/>
                <wp:wrapNone/>
                <wp:docPr id="60"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28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5804" w:type="dxa"/>
        <w:jc w:val="center"/>
        <w:tblInd w:w="0" w:type="dxa"/>
        <w:tblLayout w:type="fixed"/>
        <w:tblCellMar>
          <w:top w:w="28" w:type="dxa"/>
          <w:left w:w="28" w:type="dxa"/>
          <w:bottom w:w="28" w:type="dxa"/>
          <w:right w:w="28" w:type="dxa"/>
        </w:tblCellMar>
      </w:tblPr>
      <w:tblGrid>
        <w:gridCol w:w="575"/>
        <w:gridCol w:w="505"/>
        <w:gridCol w:w="509"/>
        <w:gridCol w:w="1234"/>
        <w:gridCol w:w="1234"/>
        <w:gridCol w:w="1747"/>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421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Corporate Responsibility and Sustainability</w:t>
            </w:r>
          </w:p>
        </w:tc>
      </w:tr>
    </w:tbl>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Building a Sustainable Business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Achieving our mission to help humanity thrive also means we are mindful of our responsibility for our impact on the environment that our employees and customers live and work in.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are taking steps to make our planet safer and cleaner by being thoughtful and responsible in our operations. We purchase 100% renewable electricity for our offices and have achieved carbon neutrality across our direct operations and certain parts of our value chain, specifically business travel, employee commuting, and data centers. Our global headquarters in San Francisco, California is certified to the Leadership in Energy and Environmental Design (LEED) Gold standard and many of our international offices have obtained green building certifications and ratings.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global real estate strategy takes into account proximity to public transportation options so that our employees can choose how they want to commute to the office. To encourage the use of public transportation, where possible, we offer public transit subsidies and a monthly bicycle credit for employees who commute to the office.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also measure our global greenhouse gas emissions and report our metrics in accordance with the Sustainability Accounting Standards Board Standards, and with reference to the Global Reporting Initiative Standards. These disclosures are available via our annual Environmental, Social, and Governance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Long-Term Stock Exchange</w:t>
      </w:r>
    </w:p>
    <w:p>
      <w:pPr>
        <w:pStyle w:val="TextBody"/>
        <w:bidi w:val="0"/>
        <w:spacing w:lineRule="atLeast" w:line="260" w:before="0" w:after="180"/>
        <w:jc w:val="left"/>
        <w:rPr/>
      </w:pPr>
      <w:r>
        <w:rPr>
          <w:rFonts w:ascii="Inter Light;sans-serif" w:hAnsi="Inter Light;sans-serif"/>
          <w:b w:val="false"/>
          <w:color w:val="000000"/>
          <w:sz w:val="18"/>
        </w:rPr>
        <w:t xml:space="preserve">In addition to being listed on the New York Stock Exchange, in August 2021 we became one of the first companies to list our shares on the Long-Term Stock Exchange, or the LTSE. The LTSE is an SEC-registered national securities exchange built for companies focused on long-term thinking. As an LTSE-listed company, we must publish policies that focus on value creation and stockholder engagement over time and commit to the LTSE’s listing principles. Copies of our LTSE Policies are available on our Investor Relations website at </w:t>
      </w:r>
      <w:r>
        <w:rPr>
          <w:rFonts w:ascii="Inter Light;sans-serif" w:hAnsi="Inter Light;sans-serif"/>
          <w:b w:val="false"/>
          <w:color w:val="FF584A"/>
          <w:sz w:val="18"/>
          <w:u w:val="single"/>
        </w:rPr>
        <w:t>https://investors.asana.com/governance/governance-documents</w:t>
      </w:r>
      <w:r>
        <w:rPr>
          <w:rFonts w:ascii="Inter Light;sans-serif" w:hAnsi="Inter Light;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Code of Conduct and Ethics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At Asana, we want to make sure that all Asanas not only feel a sense of belonging, but also thrive in a work environment that is ethical and respectful towards employees, candidates, board members, contractors, customers, vendors, and all beings. Simply put, we want all members of the Asana community to do the right thing when interacting with each other and our business. To that end, we adopted a Code of Conduct and Ethics that applies to all of our employees, contractors, officers, and directors. </w:t>
      </w:r>
    </w:p>
    <w:p>
      <w:pPr>
        <w:pStyle w:val="TextBody"/>
        <w:bidi w:val="0"/>
        <w:spacing w:lineRule="atLeast" w:line="260" w:before="0" w:after="180"/>
        <w:jc w:val="left"/>
        <w:rPr/>
      </w:pPr>
      <w:r>
        <w:rPr>
          <w:rFonts w:ascii="Inter Light;sans-serif" w:hAnsi="Inter Light;sans-serif"/>
          <w:b w:val="false"/>
          <w:color w:val="000000"/>
          <w:sz w:val="18"/>
        </w:rPr>
        <w:t xml:space="preserve">Our Code of Conduct and Ethics contains guidelines for what doing the right thing looks like at Asana, how to conduct our business with the highest standards for integrity and respect, avoiding actual or apparent conflicts of interest, complying with the law and Asana’s policies, and what to do if a potential violation occurs. We also encourage our employees to report suspected policy violations through our anonymous Ethics and Compliance Helpline. Our Code of Conduct and Ethics is available on our Investor Relations website at </w:t>
      </w:r>
      <w:r>
        <w:rPr>
          <w:rFonts w:ascii="Inter Light;sans-serif" w:hAnsi="Inter Light;sans-serif"/>
          <w:b w:val="false"/>
          <w:color w:val="FF584A"/>
          <w:sz w:val="18"/>
          <w:u w:val="single"/>
        </w:rPr>
        <w:t>https://investors.asana.com/governance/governance-documents</w:t>
      </w:r>
      <w:r>
        <w:rPr>
          <w:rFonts w:ascii="Inter Light;sans-serif" w:hAnsi="Inter Light;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59435"/>
                <wp:effectExtent l="0" t="0" r="0" b="0"/>
                <wp:wrapNone/>
                <wp:docPr id="61" name="Frame34"/>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29</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5789" w:type="dxa"/>
        <w:jc w:val="left"/>
        <w:tblInd w:w="0" w:type="dxa"/>
        <w:tblLayout w:type="fixed"/>
        <w:tblCellMar>
          <w:top w:w="28" w:type="dxa"/>
          <w:left w:w="28" w:type="dxa"/>
          <w:bottom w:w="28" w:type="dxa"/>
          <w:right w:w="28" w:type="dxa"/>
        </w:tblCellMar>
      </w:tblPr>
      <w:tblGrid>
        <w:gridCol w:w="1854"/>
        <w:gridCol w:w="1629"/>
        <w:gridCol w:w="2306"/>
      </w:tblGrid>
      <w:tr>
        <w:trPr/>
        <w:tc>
          <w:tcPr>
            <w:tcW w:w="185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104900" cy="266700"/>
                  <wp:effectExtent l="0" t="0" r="0" b="0"/>
                  <wp:docPr id="6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8" descr=""/>
                          <pic:cNvPicPr>
                            <a:picLocks noChangeAspect="1" noChangeArrowheads="1"/>
                          </pic:cNvPicPr>
                        </pic:nvPicPr>
                        <pic:blipFill>
                          <a:blip r:embed="rId29"/>
                          <a:stretch>
                            <a:fillRect/>
                          </a:stretch>
                        </pic:blipFill>
                        <pic:spPr bwMode="auto">
                          <a:xfrm>
                            <a:off x="0" y="0"/>
                            <a:ext cx="1104900" cy="266700"/>
                          </a:xfrm>
                          <a:prstGeom prst="rect">
                            <a:avLst/>
                          </a:prstGeom>
                        </pic:spPr>
                      </pic:pic>
                    </a:graphicData>
                  </a:graphic>
                </wp:inline>
              </w:drawing>
            </w:r>
          </w:p>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Election of Directors</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Board of Directors is currently comprised of nine members. In accordance with our restated certificate of incorporation, our Board of Directors is divided into three staggered classes of directors. At the Annual Meeting, three Class II directors will be elected for a three-year term to succeed the same class whose term is then expiring.</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Each director’s term continues until the election and qualification of their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Nominees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Nominating and Corporate Governance Committee has recommended, and our Board of Directors has approved, Andrew Lindsay, Lorrie Norrington, and Justin Rosenstein as nominees for election as Class II directors at the Annual Meeting. If elected, each of Ms. Norrington and Messrs. Lindsay and Rosenstein will serve as Class II directors until our 2028 annual meeting of stockholders and until their successors are duly elected and qualified. Each of the nominees is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currently a director of our company. For information concerning the nominees, please see the section titled “Board of Directors and Corporate Governance.”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you are a stockholder of record and you sign your proxy card or vote by telephone or over the Internet but do not give instructions with respect to the voting of directors, your shares will be voted “For” the election of Ms. Norrington and Messrs. Lindsay and Rosenstein. We expect that each of Ms. Norrington and Messrs. Lindsay and Rosenstein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Vote Required</w:t>
      </w:r>
    </w:p>
    <w:p>
      <w:pPr>
        <w:pStyle w:val="TextBody"/>
        <w:bidi w:val="0"/>
        <w:spacing w:lineRule="atLeast" w:line="260" w:before="0" w:after="240"/>
        <w:jc w:val="left"/>
        <w:rPr>
          <w:rFonts w:ascii="Inter Light;sans-serif" w:hAnsi="Inter Light;sans-serif"/>
          <w:b w:val="false"/>
          <w:color w:val="000000"/>
          <w:sz w:val="18"/>
        </w:rPr>
      </w:pPr>
      <w:r>
        <w:rPr>
          <w:rFonts w:ascii="Inter Light;sans-serif" w:hAnsi="Inter Light;sans-serif"/>
          <w:b w:val="false"/>
          <w:color w:val="000000"/>
          <w:sz w:val="18"/>
        </w:rPr>
        <w:t>The election of directors requires a plurality of the voting power of the shares of our common stock present in person or by proxy and entitled to vote thereon at the Annual Meeting to be approved. Broker non-votes will have no effect on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18"/>
        <w:gridCol w:w="218"/>
        <w:gridCol w:w="220"/>
        <w:gridCol w:w="2943"/>
        <w:gridCol w:w="2943"/>
        <w:gridCol w:w="294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EAEC" w:val="clear"/>
            <w:tcMar>
              <w:top w:w="0" w:type="dxa"/>
              <w:left w:w="0" w:type="dxa"/>
              <w:bottom w:w="0" w:type="dxa"/>
              <w:right w:w="0" w:type="dxa"/>
            </w:tcMar>
            <w:vAlign w:val="center"/>
          </w:tcPr>
          <w:p>
            <w:pPr>
              <w:pStyle w:val="TableContents"/>
              <w:bidi w:val="0"/>
              <w:spacing w:before="100" w:after="100"/>
              <w:jc w:val="center"/>
              <w:rPr/>
            </w:pPr>
            <w:r>
              <w:rPr/>
              <w:drawing>
                <wp:inline distT="0" distB="0" distL="0" distR="0">
                  <wp:extent cx="361950" cy="361950"/>
                  <wp:effectExtent l="0" t="0" r="0" b="0"/>
                  <wp:docPr id="6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9" descr=""/>
                          <pic:cNvPicPr>
                            <a:picLocks noChangeAspect="1" noChangeArrowheads="1"/>
                          </pic:cNvPicPr>
                        </pic:nvPicPr>
                        <pic:blipFill>
                          <a:blip r:embed="rId30"/>
                          <a:stretch>
                            <a:fillRect/>
                          </a:stretch>
                        </pic:blipFill>
                        <pic:spPr bwMode="auto">
                          <a:xfrm>
                            <a:off x="0" y="0"/>
                            <a:ext cx="361950" cy="361950"/>
                          </a:xfrm>
                          <a:prstGeom prst="rect">
                            <a:avLst/>
                          </a:prstGeom>
                        </pic:spPr>
                      </pic:pic>
                    </a:graphicData>
                  </a:graphic>
                </wp:inline>
              </w:drawing>
            </w:r>
          </w:p>
        </w:tc>
        <w:tc>
          <w:tcPr>
            <w:tcW w:w="8834" w:type="dxa"/>
            <w:gridSpan w:val="3"/>
            <w:tcBorders/>
            <w:shd w:fill="FFEAEC" w:val="clear"/>
            <w:tcMar>
              <w:top w:w="0" w:type="dxa"/>
              <w:left w:w="0" w:type="dxa"/>
              <w:bottom w:w="0" w:type="dxa"/>
              <w:right w:w="0" w:type="dxa"/>
            </w:tcMar>
            <w:vAlign w:val="center"/>
          </w:tcPr>
          <w:p>
            <w:pPr>
              <w:pStyle w:val="TableContents"/>
              <w:bidi w:val="0"/>
              <w:spacing w:lineRule="atLeast" w:line="300" w:before="0" w:after="0"/>
              <w:jc w:val="left"/>
              <w:rPr/>
            </w:pPr>
            <w:r>
              <w:rPr>
                <w:rFonts w:ascii="Inter Light;sans-serif" w:hAnsi="Inter Light;sans-serif"/>
                <w:b w:val="false"/>
                <w:color w:val="000000"/>
                <w:sz w:val="22"/>
              </w:rPr>
              <w:t xml:space="preserve">The Board of Directors recommends a vote </w:t>
            </w:r>
            <w:r>
              <w:rPr>
                <w:color w:val="FF584A"/>
              </w:rPr>
              <w:t>“</w:t>
            </w:r>
            <w:r>
              <w:rPr>
                <w:rFonts w:ascii="Inter SemiBold;sans-serif" w:hAnsi="Inter SemiBold;sans-serif"/>
                <w:b w:val="false"/>
                <w:color w:val="FF584A"/>
                <w:sz w:val="22"/>
              </w:rPr>
              <w:t>FOR”</w:t>
            </w:r>
            <w:r>
              <w:rPr>
                <w:color w:val="000000"/>
              </w:rPr>
              <w:t xml:space="preserve"> </w:t>
            </w:r>
            <w:r>
              <w:rPr>
                <w:rFonts w:ascii="Inter Light;sans-serif" w:hAnsi="Inter Light;sans-serif"/>
                <w:b w:val="false"/>
                <w:color w:val="000000"/>
                <w:sz w:val="22"/>
              </w:rPr>
              <w:t>each of the nominees named above.</w:t>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39140"/>
                <wp:effectExtent l="0" t="0" r="0" b="0"/>
                <wp:wrapNone/>
                <wp:docPr id="64"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123950" cy="266700"/>
                  <wp:effectExtent l="0" t="0" r="0" b="0"/>
                  <wp:docPr id="6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0" descr=""/>
                          <pic:cNvPicPr>
                            <a:picLocks noChangeAspect="1" noChangeArrowheads="1"/>
                          </pic:cNvPicPr>
                        </pic:nvPicPr>
                        <pic:blipFill>
                          <a:blip r:embed="rId31"/>
                          <a:stretch>
                            <a:fillRect/>
                          </a:stretch>
                        </pic:blipFill>
                        <pic:spPr bwMode="auto">
                          <a:xfrm>
                            <a:off x="0" y="0"/>
                            <a:ext cx="1123950" cy="266700"/>
                          </a:xfrm>
                          <a:prstGeom prst="rect">
                            <a:avLst/>
                          </a:prstGeom>
                        </pic:spPr>
                      </pic:pic>
                    </a:graphicData>
                  </a:graphic>
                </wp:inline>
              </w:drawing>
            </w:r>
          </w:p>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Ratification of Appointment of Independent Registered Public Accounting Firm</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Audit Committee has appointed PricewaterhouseCoopers LLP, or PwC, independent registered public accountants, to audit our consolidated financial statements for our fiscal year ending January 31, 2026. During our fiscal year ended January 31, 2025, PwC served as our independent registered public accounting firm.</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Notwithstanding the appointment of PwC,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At the Annual Meeting, our stockholders are being asked to ratify the appointment of PwC as our independent registered public accounting firm for our fiscal year ending January 31, 2026. Our Audit Committee is submitting the appointment of PwC to our stockholders because we value our stockholders’ views on our independent registered public accounting firm and as a matter of good corporate governance. Representatives of PwC will be present at the Annual Meeting, and they will have an opportunity to make a statement and will be available to respond to appropriate questions from our stockholders.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If our stockholders do not ratify the appointment of PwC, our Audit Committee may reconsider the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Audit and Related Fees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presents fees for professional audit services and other services rendered to our company by PwC for our fiscal years ended January 31, 2024 and 2025.</w:t>
      </w:r>
    </w:p>
    <w:tbl>
      <w:tblPr>
        <w:tblW w:w="3650" w:type="dxa"/>
        <w:jc w:val="left"/>
        <w:tblInd w:w="0" w:type="dxa"/>
        <w:tblLayout w:type="fixed"/>
        <w:tblCellMar>
          <w:top w:w="28" w:type="dxa"/>
          <w:left w:w="28" w:type="dxa"/>
          <w:bottom w:w="28" w:type="dxa"/>
          <w:right w:w="28" w:type="dxa"/>
        </w:tblCellMar>
      </w:tblPr>
      <w:tblGrid>
        <w:gridCol w:w="614"/>
        <w:gridCol w:w="539"/>
        <w:gridCol w:w="541"/>
        <w:gridCol w:w="308"/>
        <w:gridCol w:w="308"/>
        <w:gridCol w:w="176"/>
        <w:gridCol w:w="308"/>
        <w:gridCol w:w="308"/>
        <w:gridCol w:w="176"/>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6"/>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Fiscal Year</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(in thousands)</w:t>
            </w:r>
          </w:p>
        </w:tc>
        <w:tc>
          <w:tcPr>
            <w:tcW w:w="79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2025</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79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2024</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Audit Fees</w:t>
            </w:r>
            <w:r>
              <w:rPr>
                <w:rFonts w:ascii="Inter Light;sans-serif" w:hAnsi="Inter Light;sans-serif"/>
                <w:b w:val="false"/>
                <w:color w:val="0D0E10"/>
                <w:sz w:val="10"/>
              </w:rPr>
              <w:t>(1)</w:t>
            </w:r>
          </w:p>
        </w:tc>
        <w:tc>
          <w:tcPr>
            <w:tcW w:w="61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2,830 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3,217 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Audit-Related Fees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Tax Fees</w:t>
            </w:r>
            <w:r>
              <w:rPr>
                <w:rFonts w:ascii="Inter Light;sans-serif" w:hAnsi="Inter Light;sans-serif"/>
                <w:b w:val="false"/>
                <w:color w:val="0D0E10"/>
                <w:sz w:val="10"/>
              </w:rPr>
              <w:t>(2)</w:t>
            </w:r>
          </w:p>
        </w:tc>
        <w:tc>
          <w:tcPr>
            <w:tcW w:w="61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191 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142 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All Other Fees</w:t>
            </w:r>
            <w:r>
              <w:rPr>
                <w:rFonts w:ascii="Inter Light;sans-serif" w:hAnsi="Inter Light;sans-serif"/>
                <w:b w:val="false"/>
                <w:color w:val="0D0E10"/>
                <w:sz w:val="10"/>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Total Fees</w:t>
            </w:r>
          </w:p>
        </w:tc>
        <w:tc>
          <w:tcPr>
            <w:tcW w:w="616"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3,023 </w:t>
            </w:r>
          </w:p>
        </w:tc>
        <w:tc>
          <w:tcPr>
            <w:tcW w:w="17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3,364 </w:t>
            </w:r>
          </w:p>
        </w:tc>
        <w:tc>
          <w:tcPr>
            <w:tcW w:w="17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(1)Audit Fees consist of professional services provided in connection with the audit of our annual consolidated financial statements and the review of our unaudited quarterly consolidated financial statements.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(2)Tax Fees consist of fees for professional services for tax compliance, tax advice and tax planning. These services include consultation on tax matters and assistance regarding federal, state, and international tax compliance.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(3)All Other Fees consist of aggregate fees billed for products and services provided by the independent registered public accounting firm other than those disclosed above, which include subscription fees paid for access to online accounting research software applications and data and permissible advisory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59435"/>
                <wp:effectExtent l="0" t="0" r="0" b="0"/>
                <wp:wrapNone/>
                <wp:docPr id="66" name="Frame36"/>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31</w:t>
                            </w:r>
                          </w:p>
                        </w:tc>
                      </w:tr>
                    </w:tbl>
                    <w:p>
                      <w:pPr>
                        <w:pStyle w:val="TextBody"/>
                        <w:bidi w:val="0"/>
                        <w:spacing w:before="0" w:after="283"/>
                        <w:jc w:val="left"/>
                        <w:rPr/>
                      </w:pPr>
                      <w:r>
                        <w:rPr/>
                      </w:r>
                    </w:p>
                  </w:txbxContent>
                </v:textbox>
                <w10:wrap type="none"/>
              </v:rect>
            </w:pict>
          </mc:Fallback>
        </mc:AlternateContent>
      </w:r>
    </w:p>
    <w:tbl>
      <w:tblPr>
        <w:tblW w:w="2744" w:type="dxa"/>
        <w:jc w:val="left"/>
        <w:tblInd w:w="0" w:type="dxa"/>
        <w:tblLayout w:type="fixed"/>
        <w:tblCellMar>
          <w:top w:w="28" w:type="dxa"/>
          <w:left w:w="28" w:type="dxa"/>
          <w:bottom w:w="28" w:type="dxa"/>
          <w:right w:w="28" w:type="dxa"/>
        </w:tblCellMar>
      </w:tblPr>
      <w:tblGrid>
        <w:gridCol w:w="407"/>
        <w:gridCol w:w="358"/>
        <w:gridCol w:w="360"/>
        <w:gridCol w:w="474"/>
        <w:gridCol w:w="474"/>
        <w:gridCol w:w="671"/>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Proposal 2</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Auditor Independence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Pursuant to its charter and the policy described further below, our Audit Committee pre-approves audit and non-audit services rendered by our independent registered public accounting firm, PwC. Our Audit Committee has determined that the rendering of non-audit services by PwC is compatible with maintaining the independence of PwC.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Audit Committee Policy on Pre-Approval of Audit and Permissible </w:t>
        <w:br/>
        <w:t>Non-Audit Services of Independent Registered Public Accounting Firm</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Audit Committee has established a policy governing our use of the services of our independent registered public accounting accounting firm. Under this policy, our Audit Committee is required to pre-approve all audit and non-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audit services performed by our independent registered public accounting firm in order to ensure that the provision of such services does not impair the public accountants’ independence. All services rendered by PwC for our fiscal years ended January 31, 2024 and 2025 were pre-approved by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Vote Required</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The ratification of the appointment of PwC as our independent registered public accounting firm requires the affirmative vote of a majority of the voting power of the shares of our common stock entitled to vote thereon that are present in person or by proxy at the Annual Meeting and are voted for or against this proposal. Abstentions and broker non-votes will each have no effect on the outcome of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18"/>
        <w:gridCol w:w="218"/>
        <w:gridCol w:w="220"/>
        <w:gridCol w:w="2943"/>
        <w:gridCol w:w="2943"/>
        <w:gridCol w:w="294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EAEC" w:val="clear"/>
            <w:tcMar>
              <w:top w:w="0" w:type="dxa"/>
              <w:left w:w="0" w:type="dxa"/>
              <w:bottom w:w="0" w:type="dxa"/>
              <w:right w:w="0" w:type="dxa"/>
            </w:tcMar>
            <w:vAlign w:val="center"/>
          </w:tcPr>
          <w:p>
            <w:pPr>
              <w:pStyle w:val="TableContents"/>
              <w:bidi w:val="0"/>
              <w:spacing w:before="100" w:after="100"/>
              <w:jc w:val="center"/>
              <w:rPr/>
            </w:pPr>
            <w:r>
              <w:rPr/>
              <w:drawing>
                <wp:inline distT="0" distB="0" distL="0" distR="0">
                  <wp:extent cx="361950" cy="361950"/>
                  <wp:effectExtent l="0" t="0" r="0" b="0"/>
                  <wp:docPr id="6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1" descr=""/>
                          <pic:cNvPicPr>
                            <a:picLocks noChangeAspect="1" noChangeArrowheads="1"/>
                          </pic:cNvPicPr>
                        </pic:nvPicPr>
                        <pic:blipFill>
                          <a:blip r:embed="rId32"/>
                          <a:stretch>
                            <a:fillRect/>
                          </a:stretch>
                        </pic:blipFill>
                        <pic:spPr bwMode="auto">
                          <a:xfrm>
                            <a:off x="0" y="0"/>
                            <a:ext cx="361950" cy="361950"/>
                          </a:xfrm>
                          <a:prstGeom prst="rect">
                            <a:avLst/>
                          </a:prstGeom>
                        </pic:spPr>
                      </pic:pic>
                    </a:graphicData>
                  </a:graphic>
                </wp:inline>
              </w:drawing>
            </w:r>
          </w:p>
        </w:tc>
        <w:tc>
          <w:tcPr>
            <w:tcW w:w="8833" w:type="dxa"/>
            <w:gridSpan w:val="3"/>
            <w:tcBorders/>
            <w:shd w:fill="FFEAEC" w:val="clear"/>
            <w:tcMar>
              <w:top w:w="0" w:type="dxa"/>
              <w:left w:w="0" w:type="dxa"/>
              <w:bottom w:w="0" w:type="dxa"/>
              <w:right w:w="0" w:type="dxa"/>
            </w:tcMar>
            <w:vAlign w:val="center"/>
          </w:tcPr>
          <w:p>
            <w:pPr>
              <w:pStyle w:val="TableContents"/>
              <w:bidi w:val="0"/>
              <w:spacing w:lineRule="atLeast" w:line="300" w:before="0" w:after="0"/>
              <w:jc w:val="left"/>
              <w:rPr/>
            </w:pPr>
            <w:r>
              <w:rPr>
                <w:rFonts w:ascii="Inter Light;sans-serif" w:hAnsi="Inter Light;sans-serif"/>
                <w:b w:val="false"/>
                <w:color w:val="000000"/>
                <w:sz w:val="22"/>
              </w:rPr>
              <w:t xml:space="preserve">The Board of Directors recommends a vote </w:t>
            </w:r>
            <w:r>
              <w:rPr>
                <w:color w:val="FF584A"/>
              </w:rPr>
              <w:t>“</w:t>
            </w:r>
            <w:r>
              <w:rPr>
                <w:rFonts w:ascii="Inter SemiBold;sans-serif" w:hAnsi="Inter SemiBold;sans-serif"/>
                <w:b w:val="false"/>
                <w:color w:val="FF584A"/>
                <w:sz w:val="22"/>
              </w:rPr>
              <w:t>FOR”</w:t>
            </w:r>
            <w:r>
              <w:rPr>
                <w:color w:val="000000"/>
              </w:rPr>
              <w:t xml:space="preserve"> </w:t>
            </w:r>
            <w:r>
              <w:rPr>
                <w:rFonts w:ascii="Inter Light;sans-serif" w:hAnsi="Inter Light;sans-serif"/>
                <w:b w:val="false"/>
                <w:color w:val="000000"/>
                <w:sz w:val="22"/>
              </w:rPr>
              <w:t>the ratification of the appointment of PricewaterhouseCoopers LLP.</w:t>
            </w:r>
          </w:p>
        </w:tc>
        <w:tc>
          <w:tcPr>
            <w:tcW w:w="37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39140"/>
                <wp:effectExtent l="0" t="0" r="0" b="0"/>
                <wp:wrapNone/>
                <wp:docPr id="68"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59" w:type="dxa"/>
        <w:jc w:val="left"/>
        <w:tblInd w:w="0" w:type="dxa"/>
        <w:tblLayout w:type="fixed"/>
        <w:tblCellMar>
          <w:top w:w="28" w:type="dxa"/>
          <w:left w:w="28" w:type="dxa"/>
          <w:bottom w:w="28" w:type="dxa"/>
          <w:right w:w="28" w:type="dxa"/>
        </w:tblCellMar>
      </w:tblPr>
      <w:tblGrid>
        <w:gridCol w:w="2806"/>
        <w:gridCol w:w="2466"/>
        <w:gridCol w:w="3487"/>
      </w:tblGrid>
      <w:tr>
        <w:trPr/>
        <w:tc>
          <w:tcPr>
            <w:tcW w:w="2806"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8759" w:type="dxa"/>
            <w:gridSpan w:val="3"/>
            <w:tcBorders/>
            <w:tcMar>
              <w:top w:w="0" w:type="dxa"/>
              <w:left w:w="0" w:type="dxa"/>
              <w:bottom w:w="0" w:type="dxa"/>
              <w:right w:w="0" w:type="dxa"/>
            </w:tcMar>
            <w:vAlign w:val="center"/>
          </w:tcPr>
          <w:p>
            <w:pPr>
              <w:pStyle w:val="TableContents"/>
              <w:bidi w:val="0"/>
              <w:spacing w:lineRule="atLeast" w:line="360" w:before="0" w:after="600"/>
              <w:jc w:val="left"/>
              <w:rPr>
                <w:rFonts w:ascii="Inter Medium;sans-serif" w:hAnsi="Inter Medium;sans-serif"/>
                <w:b w:val="false"/>
                <w:color w:val="0D0E10"/>
                <w:sz w:val="56"/>
              </w:rPr>
            </w:pPr>
            <w:r>
              <w:rPr>
                <w:rFonts w:ascii="Inter Medium;sans-serif" w:hAnsi="Inter Medium;sans-serif"/>
                <w:b w:val="false"/>
                <w:color w:val="0D0E10"/>
                <w:sz w:val="56"/>
              </w:rPr>
              <w:t>Report of the Audit Committee</w:t>
            </w:r>
          </w:p>
        </w:tc>
      </w:tr>
    </w:tbl>
    <w:p>
      <w:pPr>
        <w:pStyle w:val="TextBody"/>
        <w:bidi w:val="0"/>
        <w:spacing w:lineRule="atLeast" w:line="260" w:before="0" w:after="180"/>
        <w:jc w:val="left"/>
        <w:rPr/>
      </w:pPr>
      <w:r>
        <w:rPr>
          <w:rFonts w:ascii="Inter Light;sans-serif" w:hAnsi="Inter Light;sans-serif"/>
          <w:b w:val="false"/>
          <w:color w:val="000000"/>
          <w:sz w:val="18"/>
        </w:rPr>
        <w:t>The Audit Committee is a committee of the Company’s Board of Directors comprised solely of independent directors as required by the listing standards of each of the NYSE and the LTSE as well as the rules and regulations of the Securities and Exchange Commission, or the SEC. The Audit Committee operates under a written charter approved by the Company’s Board of Directors, which is available on the Company’s Investor Relations website at</w:t>
      </w:r>
      <w:r>
        <w:rPr>
          <w:color w:val="FF584A"/>
        </w:rPr>
        <w:t xml:space="preserve"> </w:t>
      </w:r>
      <w:r>
        <w:rPr>
          <w:rFonts w:ascii="Inter Light;sans-serif" w:hAnsi="Inter Light;sans-serif"/>
          <w:b w:val="false"/>
          <w:color w:val="FF584A"/>
          <w:sz w:val="18"/>
          <w:u w:val="single"/>
        </w:rPr>
        <w:t>https://investors.asana.com/governance/governance-documents</w:t>
      </w:r>
      <w:r>
        <w:rPr>
          <w:rFonts w:ascii="Inter Light;sans-serif" w:hAnsi="Inter Light;sans-serif"/>
          <w:b w:val="false"/>
          <w:color w:val="000000"/>
          <w:sz w:val="18"/>
        </w:rPr>
        <w:t>.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With respect to the Company’s financial reporting process, the management of the Company is responsible for (1) establishing and maintaining internal controls and (2) preparing the Company’s consolidated financial statements. The Company’s independent registered public accounting firm, PricewaterhouseCoopers, or PwC, is responsible for performing an independent audit of the Company’s consolidated financial statements in accordance with the auditing standards of the Public Company Accounting Oversight Board (United States)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reviewed and discussed the audited financial statements with management and PwC;</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discussed with PwC the matters required to be discussed by the applicable requirements of the Public Company Accounting Oversight Board and the SEC;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received and reviewed the written communication from PwC required by applicable requirements of the Public Company Accounting Oversight Board regarding the independent accountant’s communications with the Audit Committee concerning independence, and has discussed with PwC its independence.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Based on the Audit Committee’s review and discussions with management and PwC, the Audit Committee recommended to the Board of Directors that the audited financial statements be included in the Annual Report on Form 10-K for the fiscal year ended January 31, 2025 for filing with the Securities and Exchange Commission.</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Respectfully submitted by the members of the Audit Committee of the Board of Directors:</w:t>
      </w:r>
    </w:p>
    <w:p>
      <w:pPr>
        <w:pStyle w:val="TextBody"/>
        <w:bidi w:val="0"/>
        <w:spacing w:lineRule="atLeast" w:line="260" w:before="0" w:after="60"/>
        <w:ind w:left="0" w:right="0" w:hanging="270"/>
        <w:jc w:val="left"/>
        <w:rPr/>
      </w:pPr>
      <w:r>
        <w:rPr>
          <w:color w:val="000000"/>
        </w:rPr>
        <w:t>•</w:t>
      </w:r>
      <w:r>
        <w:rPr>
          <w:rFonts w:ascii="Inter Medium;sans-serif" w:hAnsi="Inter Medium;sans-serif"/>
          <w:b/>
          <w:color w:val="000000"/>
          <w:sz w:val="18"/>
        </w:rPr>
        <w:t xml:space="preserve">Sydney Carey </w:t>
      </w:r>
      <w:r>
        <w:rPr>
          <w:rFonts w:ascii="Inter Light;sans-serif" w:hAnsi="Inter Light;sans-serif"/>
          <w:b w:val="false"/>
          <w:color w:val="000000"/>
          <w:sz w:val="18"/>
        </w:rPr>
        <w:t>(Chair)</w:t>
      </w:r>
    </w:p>
    <w:p>
      <w:pPr>
        <w:pStyle w:val="TextBody"/>
        <w:bidi w:val="0"/>
        <w:spacing w:lineRule="atLeast" w:line="260" w:before="0" w:after="60"/>
        <w:ind w:left="0" w:right="0" w:hanging="270"/>
        <w:jc w:val="left"/>
        <w:rPr/>
      </w:pPr>
      <w:r>
        <w:rPr>
          <w:color w:val="000000"/>
        </w:rPr>
        <w:t>•</w:t>
      </w:r>
      <w:r>
        <w:rPr>
          <w:rFonts w:ascii="Inter Medium;sans-serif" w:hAnsi="Inter Medium;sans-serif"/>
          <w:b/>
          <w:color w:val="000000"/>
          <w:sz w:val="18"/>
        </w:rPr>
        <w:t>Krista Anderson-Copperman</w:t>
      </w:r>
    </w:p>
    <w:p>
      <w:pPr>
        <w:pStyle w:val="TextBody"/>
        <w:bidi w:val="0"/>
        <w:spacing w:lineRule="atLeast" w:line="260" w:before="0" w:after="60"/>
        <w:ind w:left="0" w:right="0" w:hanging="270"/>
        <w:jc w:val="left"/>
        <w:rPr/>
      </w:pPr>
      <w:r>
        <w:rPr>
          <w:color w:val="000000"/>
        </w:rPr>
        <w:t>•</w:t>
      </w:r>
      <w:r>
        <w:rPr>
          <w:rFonts w:ascii="Inter Medium;sans-serif" w:hAnsi="Inter Medium;sans-serif"/>
          <w:b/>
          <w:color w:val="000000"/>
          <w:sz w:val="18"/>
        </w:rPr>
        <w:t>Andrew Lindsay</w:t>
      </w:r>
    </w:p>
    <w:p>
      <w:pPr>
        <w:pStyle w:val="TextBody"/>
        <w:bidi w:val="0"/>
        <w:spacing w:lineRule="atLeast" w:line="260" w:before="0" w:after="180"/>
        <w:ind w:left="0" w:right="0" w:hanging="270"/>
        <w:jc w:val="left"/>
        <w:rPr/>
      </w:pPr>
      <w:r>
        <w:rPr>
          <w:color w:val="000000"/>
        </w:rPr>
        <w:t>•</w:t>
      </w:r>
      <w:r>
        <w:rPr>
          <w:rFonts w:ascii="Inter Medium;sans-serif" w:hAnsi="Inter Medium;sans-serif"/>
          <w:b/>
          <w:color w:val="000000"/>
          <w:sz w:val="18"/>
        </w:rPr>
        <w:t>Lorrie Norrington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or the Securities Act, or under the Securities Exchange Act of 1934, as amended, or the Exchange Act, except to the extent that we specifically incorporate this information by reference, and will not otherwise be deemed “soliciting material” or “filed” under either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59435"/>
                <wp:effectExtent l="0" t="0" r="0" b="0"/>
                <wp:wrapNone/>
                <wp:docPr id="69" name="Frame38"/>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33</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9"/>
        <w:gridCol w:w="2871"/>
        <w:gridCol w:w="4065"/>
      </w:tblGrid>
      <w:tr>
        <w:trPr/>
        <w:tc>
          <w:tcPr>
            <w:tcW w:w="326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209675" cy="266700"/>
                  <wp:effectExtent l="0" t="0" r="0" b="0"/>
                  <wp:docPr id="7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2" descr=""/>
                          <pic:cNvPicPr>
                            <a:picLocks noChangeAspect="1" noChangeArrowheads="1"/>
                          </pic:cNvPicPr>
                        </pic:nvPicPr>
                        <pic:blipFill>
                          <a:blip r:embed="rId33"/>
                          <a:stretch>
                            <a:fillRect/>
                          </a:stretch>
                        </pic:blipFill>
                        <pic:spPr bwMode="auto">
                          <a:xfrm>
                            <a:off x="0" y="0"/>
                            <a:ext cx="1209675" cy="266700"/>
                          </a:xfrm>
                          <a:prstGeom prst="rect">
                            <a:avLst/>
                          </a:prstGeom>
                        </pic:spPr>
                      </pic:pic>
                    </a:graphicData>
                  </a:graphic>
                </wp:inline>
              </w:drawing>
            </w:r>
          </w:p>
          <w:p>
            <w:pPr>
              <w:pStyle w:val="TableContents"/>
              <w:bidi w:val="0"/>
              <w:spacing w:lineRule="atLeast" w:line="600" w:before="0" w:after="600"/>
              <w:jc w:val="left"/>
              <w:rPr>
                <w:rFonts w:ascii="Inter Medium;sans-serif" w:hAnsi="Inter Medium;sans-serif"/>
                <w:b w:val="false"/>
                <w:color w:val="0D0E10"/>
                <w:sz w:val="48"/>
              </w:rPr>
            </w:pPr>
            <w:r>
              <w:rPr>
                <w:rFonts w:ascii="Inter Medium;sans-serif" w:hAnsi="Inter Medium;sans-serif"/>
                <w:b w:val="false"/>
                <w:color w:val="0D0E10"/>
                <w:sz w:val="48"/>
              </w:rPr>
              <w:t>Advisory Vote to Approve the Compensation of our Named Executive Officers</w:t>
            </w:r>
          </w:p>
        </w:tc>
      </w:tr>
    </w:tbl>
    <w:p>
      <w:pPr>
        <w:pStyle w:val="TextBody"/>
        <w:bidi w:val="0"/>
        <w:spacing w:lineRule="atLeast" w:line="240" w:before="0" w:after="160"/>
        <w:jc w:val="left"/>
        <w:rPr>
          <w:rFonts w:ascii="Inter Light;sans-serif" w:hAnsi="Inter Light;sans-serif"/>
          <w:b w:val="false"/>
          <w:color w:val="000000"/>
          <w:sz w:val="18"/>
        </w:rPr>
      </w:pPr>
      <w:r>
        <w:rPr>
          <w:rFonts w:ascii="Inter Light;sans-serif" w:hAnsi="Inter Light;sans-serif"/>
          <w:b w:val="false"/>
          <w:color w:val="000000"/>
          <w:sz w:val="18"/>
        </w:rPr>
        <w:t>As required by Section 14A of the Securities Exchange Act of 1934 (which was added by the Dodd-Frank Wall Street Reform and Consumer Protection Act and the related rules of the SEC, or the Dodd-Frank Act), we are providing our stockholders with the opportunity to cast a non-binding advisory vote to approve the compensation of our named executive officers at the Annual Meeting. This proposal, commonly known as a “say-on-pay” proposal, gives our stockholders the opportunity to express their views on the design and operation of our executive officers compensation program. We currently hold our advisory say-on-pay vote every year. Stockholders will have an opportunity to cast an advisory vote on the frequency of the say-on-pay votes at least every six years. We currently expect that the next advisory vote on the frequency of the say-on-pay votes will occur at the 2028 annual meeting of stockholders.</w:t>
      </w:r>
    </w:p>
    <w:p>
      <w:pPr>
        <w:pStyle w:val="TextBody"/>
        <w:bidi w:val="0"/>
        <w:spacing w:lineRule="atLeast" w:line="240" w:before="0" w:after="40"/>
        <w:jc w:val="left"/>
        <w:rPr>
          <w:rFonts w:ascii="Inter Light;sans-serif" w:hAnsi="Inter Light;sans-serif"/>
          <w:b w:val="false"/>
          <w:color w:val="000000"/>
          <w:sz w:val="18"/>
        </w:rPr>
      </w:pPr>
      <w:r>
        <w:rPr>
          <w:rFonts w:ascii="Inter Light;sans-serif" w:hAnsi="Inter Light;sans-serif"/>
          <w:b w:val="false"/>
          <w:color w:val="000000"/>
          <w:sz w:val="18"/>
        </w:rPr>
        <w:t xml:space="preserve">Asana’s named executive officer compensation program is designed to attract, reward and retain the caliber of executive officers needed to ensure our continued growth and progress towards profitability. This vote is not intended to address any specific item of compensation or the compensation of any specific named executive officer, but rather the overall compensation of all of our named executive officers described in this proxy statement. The compensation of our named executive officers is disclosed in the section of this proxy statement titled “Executive </w:t>
      </w:r>
    </w:p>
    <w:p>
      <w:pPr>
        <w:pStyle w:val="TextBody"/>
        <w:bidi w:val="0"/>
        <w:spacing w:lineRule="atLeast" w:line="240" w:before="0" w:after="160"/>
        <w:jc w:val="left"/>
        <w:rPr>
          <w:rFonts w:ascii="Inter Light;sans-serif" w:hAnsi="Inter Light;sans-serif"/>
          <w:b w:val="false"/>
          <w:color w:val="000000"/>
          <w:sz w:val="18"/>
        </w:rPr>
      </w:pPr>
      <w:r>
        <w:rPr>
          <w:rFonts w:ascii="Inter Light;sans-serif" w:hAnsi="Inter Light;sans-serif"/>
          <w:b w:val="false"/>
          <w:color w:val="000000"/>
          <w:sz w:val="18"/>
        </w:rPr>
        <w:t>Compensation”, which consists of the Compensation Discussion and Analysis, the Summary Compensation Table, the ancillary compensation tables, and the related narrative disclosure contained therein. We believe that our named executive officer compensation program is competitive within our industry and strongly aligned with the long-term interests of our stockholders. Our Compensation Committee regularly reviews the compensation program for our named executive officer compensation program to ensure that it achieves the desired goals of aligning our named executive officer compensation structure with our stockholders’ interests, advancement of achieving our mission, and current market practices.</w:t>
      </w:r>
    </w:p>
    <w:p>
      <w:pPr>
        <w:pStyle w:val="TextBody"/>
        <w:bidi w:val="0"/>
        <w:spacing w:lineRule="atLeast" w:line="240" w:before="0" w:after="160"/>
        <w:jc w:val="left"/>
        <w:rPr>
          <w:rFonts w:ascii="Inter Light;sans-serif" w:hAnsi="Inter Light;sans-serif"/>
          <w:b w:val="false"/>
          <w:color w:val="000000"/>
          <w:sz w:val="18"/>
        </w:rPr>
      </w:pPr>
      <w:r>
        <w:rPr>
          <w:rFonts w:ascii="Inter Light;sans-serif" w:hAnsi="Inter Light;sans-serif"/>
          <w:b w:val="false"/>
          <w:color w:val="000000"/>
          <w:sz w:val="18"/>
        </w:rPr>
        <w:t>For these reasons, our Board recommends a vote in favor of the following resolution: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lineRule="atLeast" w:line="260" w:before="0" w:after="180"/>
              <w:jc w:val="left"/>
              <w:rPr/>
            </w:pPr>
            <w:r>
              <w:rPr>
                <w:color w:val="000000"/>
              </w:rPr>
              <w:t>“</w:t>
            </w:r>
            <w:r>
              <w:rPr>
                <w:rFonts w:ascii="Inter Medium;sans-serif" w:hAnsi="Inter Medium;sans-serif"/>
                <w:b/>
                <w:color w:val="0D0E10"/>
                <w:sz w:val="20"/>
              </w:rPr>
              <w:t>RESOLVED,</w:t>
            </w:r>
            <w:r>
              <w:rPr>
                <w:color w:val="000000"/>
              </w:rPr>
              <w:t xml:space="preserve"> </w:t>
            </w:r>
            <w:r>
              <w:rPr>
                <w:rFonts w:ascii="Inter Light;sans-serif" w:hAnsi="Inter Light;sans-serif"/>
                <w:b w:val="false"/>
                <w:color w:val="000000"/>
                <w:sz w:val="18"/>
              </w:rPr>
              <w:t>that the stockholders of Asana, Inc. (the “Company”) approve, on an advisory basis, compensation paid to the Company’s named executive officers, as disclosed in this proxy statement for the 2025 Annual Meeting, pursuant to the compensation disclosure rules of the Securities and Exchange Commission, including the Compensation Discussion and Analysis, the compensation tables and the accompanying narrative disclosures.”</w:t>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Vote Required</w:t>
      </w:r>
    </w:p>
    <w:p>
      <w:pPr>
        <w:pStyle w:val="TextBody"/>
        <w:bidi w:val="0"/>
        <w:spacing w:lineRule="atLeast" w:line="240" w:before="0" w:after="0"/>
        <w:jc w:val="left"/>
        <w:rPr>
          <w:rFonts w:ascii="Inter Light;sans-serif" w:hAnsi="Inter Light;sans-serif"/>
          <w:b w:val="false"/>
          <w:color w:val="000000"/>
          <w:sz w:val="18"/>
        </w:rPr>
      </w:pPr>
      <w:r>
        <w:rPr>
          <w:rFonts w:ascii="Inter Light;sans-serif" w:hAnsi="Inter Light;sans-serif"/>
          <w:b w:val="false"/>
          <w:color w:val="000000"/>
          <w:sz w:val="18"/>
        </w:rPr>
        <w:t xml:space="preserve">As an advisory vote, this proposal is not binding upon the Company, our Board or our Compensation Committee. Notwithstanding the advisory nature of this vote, our Board and our Compensation Committee, which is responsible for designing and overseeing our named executive officer compensation program, value the opinions expressed by our stockholders in their vote on this proposal, and will consider the outcome of the vote when making future compensation decisions for our executive officers. Furthermore, Asana’s </w:t>
      </w:r>
    </w:p>
    <w:p>
      <w:pPr>
        <w:pStyle w:val="TextBody"/>
        <w:bidi w:val="0"/>
        <w:spacing w:lineRule="atLeast" w:line="240" w:before="0" w:after="180"/>
        <w:jc w:val="left"/>
        <w:rPr>
          <w:rFonts w:ascii="Inter Light;sans-serif" w:hAnsi="Inter Light;sans-serif"/>
          <w:b w:val="false"/>
          <w:color w:val="000000"/>
          <w:sz w:val="18"/>
        </w:rPr>
      </w:pPr>
      <w:r>
        <w:rPr>
          <w:rFonts w:ascii="Inter Light;sans-serif" w:hAnsi="Inter Light;sans-serif"/>
          <w:b w:val="false"/>
          <w:color w:val="000000"/>
          <w:sz w:val="18"/>
        </w:rPr>
        <w:t>stockholders are welcome to bring any specific concerns regarding executive compensation to the attention of our Board at any time throughout the year. Approval of this proposal requires the affirmative vote of a majority of the votes present and entitled to vote on the proposal that are present in person or by proxy at the Annual Meeting and are voted for or against this proposal. Stockholders may vote “for” or “against” the proposal, or they may abstain from voting on the proposal. Abstentions and broker non-votes will each have no effect on the outcome of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18"/>
        <w:gridCol w:w="218"/>
        <w:gridCol w:w="220"/>
        <w:gridCol w:w="2943"/>
        <w:gridCol w:w="2943"/>
        <w:gridCol w:w="294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EAEC" w:val="clear"/>
            <w:tcMar>
              <w:top w:w="0" w:type="dxa"/>
              <w:left w:w="0" w:type="dxa"/>
              <w:bottom w:w="0" w:type="dxa"/>
              <w:right w:w="0" w:type="dxa"/>
            </w:tcMar>
            <w:vAlign w:val="center"/>
          </w:tcPr>
          <w:p>
            <w:pPr>
              <w:pStyle w:val="TableContents"/>
              <w:bidi w:val="0"/>
              <w:spacing w:before="100" w:after="100"/>
              <w:jc w:val="center"/>
              <w:rPr/>
            </w:pPr>
            <w:r>
              <w:rPr/>
              <w:drawing>
                <wp:inline distT="0" distB="0" distL="0" distR="0">
                  <wp:extent cx="361950" cy="361950"/>
                  <wp:effectExtent l="0" t="0" r="0" b="0"/>
                  <wp:docPr id="7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3" descr=""/>
                          <pic:cNvPicPr>
                            <a:picLocks noChangeAspect="1" noChangeArrowheads="1"/>
                          </pic:cNvPicPr>
                        </pic:nvPicPr>
                        <pic:blipFill>
                          <a:blip r:embed="rId34"/>
                          <a:stretch>
                            <a:fillRect/>
                          </a:stretch>
                        </pic:blipFill>
                        <pic:spPr bwMode="auto">
                          <a:xfrm>
                            <a:off x="0" y="0"/>
                            <a:ext cx="361950" cy="361950"/>
                          </a:xfrm>
                          <a:prstGeom prst="rect">
                            <a:avLst/>
                          </a:prstGeom>
                        </pic:spPr>
                      </pic:pic>
                    </a:graphicData>
                  </a:graphic>
                </wp:inline>
              </w:drawing>
            </w:r>
          </w:p>
        </w:tc>
        <w:tc>
          <w:tcPr>
            <w:tcW w:w="8834" w:type="dxa"/>
            <w:gridSpan w:val="3"/>
            <w:tcBorders/>
            <w:shd w:fill="FFEAEC" w:val="clear"/>
            <w:tcMar>
              <w:top w:w="0" w:type="dxa"/>
              <w:left w:w="0" w:type="dxa"/>
              <w:bottom w:w="0" w:type="dxa"/>
              <w:right w:w="0" w:type="dxa"/>
            </w:tcMar>
            <w:vAlign w:val="center"/>
          </w:tcPr>
          <w:p>
            <w:pPr>
              <w:pStyle w:val="TableContents"/>
              <w:bidi w:val="0"/>
              <w:spacing w:lineRule="atLeast" w:line="300" w:before="0" w:after="0"/>
              <w:jc w:val="left"/>
              <w:rPr/>
            </w:pPr>
            <w:r>
              <w:rPr>
                <w:rFonts w:ascii="Inter Light;sans-serif" w:hAnsi="Inter Light;sans-serif"/>
                <w:b w:val="false"/>
                <w:color w:val="000000"/>
                <w:sz w:val="22"/>
              </w:rPr>
              <w:t xml:space="preserve">The Board of Directors recommends a vote </w:t>
            </w:r>
            <w:r>
              <w:rPr>
                <w:color w:val="FF584A"/>
              </w:rPr>
              <w:t>“</w:t>
            </w:r>
            <w:r>
              <w:rPr>
                <w:rFonts w:ascii="Inter SemiBold;sans-serif" w:hAnsi="Inter SemiBold;sans-serif"/>
                <w:b w:val="false"/>
                <w:color w:val="FF584A"/>
                <w:sz w:val="22"/>
              </w:rPr>
              <w:t>FOR”</w:t>
            </w:r>
            <w:r>
              <w:rPr>
                <w:color w:val="000000"/>
              </w:rPr>
              <w:t xml:space="preserve"> </w:t>
            </w:r>
            <w:r>
              <w:rPr>
                <w:rFonts w:ascii="Inter Light;sans-serif" w:hAnsi="Inter Light;sans-serif"/>
                <w:b w:val="false"/>
                <w:color w:val="000000"/>
                <w:sz w:val="22"/>
              </w:rPr>
              <w:t>approving the compensation of the named executive officers.</w:t>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39140"/>
                <wp:effectExtent l="0" t="0" r="0" b="0"/>
                <wp:wrapNone/>
                <wp:docPr id="72"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90" w:type="dxa"/>
        <w:jc w:val="left"/>
        <w:tblInd w:w="0" w:type="dxa"/>
        <w:tblLayout w:type="fixed"/>
        <w:tblCellMar>
          <w:top w:w="28" w:type="dxa"/>
          <w:left w:w="28" w:type="dxa"/>
          <w:bottom w:w="28" w:type="dxa"/>
          <w:right w:w="28" w:type="dxa"/>
        </w:tblCellMar>
      </w:tblPr>
      <w:tblGrid>
        <w:gridCol w:w="1663"/>
        <w:gridCol w:w="1461"/>
        <w:gridCol w:w="2066"/>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tLeast" w:line="360" w:before="0" w:after="600"/>
              <w:jc w:val="left"/>
              <w:rPr>
                <w:rFonts w:ascii="Inter Medium;sans-serif" w:hAnsi="Inter Medium;sans-serif"/>
                <w:b w:val="false"/>
                <w:color w:val="0D0E10"/>
                <w:sz w:val="56"/>
              </w:rPr>
            </w:pPr>
            <w:r>
              <w:rPr>
                <w:rFonts w:ascii="Inter Medium;sans-serif" w:hAnsi="Inter Medium;sans-serif"/>
                <w:b w:val="false"/>
                <w:color w:val="0D0E10"/>
                <w:sz w:val="56"/>
              </w:rPr>
              <w:t>Executive Officers</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identifies certain information about our executive officers as of April 30, 2025. Our executive officers are appointed by, and serve at the discretion of, our Board of Directors. There are no family relationships among any of our directors or executive officers.</w:t>
      </w:r>
    </w:p>
    <w:tbl>
      <w:tblPr>
        <w:tblW w:w="7540" w:type="dxa"/>
        <w:jc w:val="left"/>
        <w:tblInd w:w="0" w:type="dxa"/>
        <w:tblLayout w:type="fixed"/>
        <w:tblCellMar>
          <w:top w:w="28" w:type="dxa"/>
          <w:left w:w="28" w:type="dxa"/>
          <w:bottom w:w="28" w:type="dxa"/>
          <w:right w:w="28" w:type="dxa"/>
        </w:tblCellMar>
      </w:tblPr>
      <w:tblGrid>
        <w:gridCol w:w="548"/>
        <w:gridCol w:w="482"/>
        <w:gridCol w:w="485"/>
        <w:gridCol w:w="145"/>
        <w:gridCol w:w="145"/>
        <w:gridCol w:w="146"/>
        <w:gridCol w:w="109"/>
        <w:gridCol w:w="109"/>
        <w:gridCol w:w="109"/>
        <w:gridCol w:w="1623"/>
        <w:gridCol w:w="1623"/>
        <w:gridCol w:w="1644"/>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43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Age</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Position</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4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40</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President, Chief Executive Officer, and Chair of the Board</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43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Chief Financial Officer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4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57</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General Counsel and Corporate Secretary</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436"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53</w:t>
            </w:r>
          </w:p>
        </w:tc>
        <w:tc>
          <w:tcPr>
            <w:tcW w:w="327"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Chief Operating Officer</w:t>
            </w:r>
          </w:p>
        </w:tc>
        <w:tc>
          <w:tcPr>
            <w:tcW w:w="372"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80"/>
        <w:jc w:val="left"/>
        <w:rPr/>
      </w:pPr>
      <w:r>
        <w:rPr>
          <w:rFonts w:ascii="Inter SemiBold;sans-serif" w:hAnsi="Inter SemiBold;sans-serif"/>
          <w:b/>
          <w:color w:val="000000"/>
          <w:sz w:val="18"/>
        </w:rPr>
        <w:t xml:space="preserve">Dustin Moskovitz. </w:t>
      </w:r>
      <w:r>
        <w:rPr>
          <w:rFonts w:ascii="Inter Light;sans-serif" w:hAnsi="Inter Light;sans-serif"/>
          <w:b w:val="false"/>
          <w:color w:val="000000"/>
          <w:sz w:val="18"/>
        </w:rPr>
        <w:t xml:space="preserve">Dustin Moskovitz co-founded Asana and has served as a member of our Board of Directors since December 2008, as our CEO since October 2010, as our President since February 2019, and as our Chair since December 2019. Previously, Mr. Moskovitz served as our Chief Financial Officer from February 2009 to January 2017, and as our Secretary from February 2009 to October 2017. Prior to Asana, Mr. Moskovitz co-founded Facebook, Inc., a social media and networking company, and from February 2004 to November 2008, he served in a variety of senior roles, including Chief Technology Officer and Vice President of Engineering. Mr. Moskovitz attended Harvard University where he studied economics. </w:t>
      </w:r>
    </w:p>
    <w:p>
      <w:pPr>
        <w:pStyle w:val="TextBody"/>
        <w:bidi w:val="0"/>
        <w:spacing w:lineRule="atLeast" w:line="260" w:before="0" w:after="180"/>
        <w:jc w:val="left"/>
        <w:rPr/>
      </w:pPr>
      <w:r>
        <w:rPr>
          <w:rFonts w:ascii="Inter SemiBold;sans-serif" w:hAnsi="Inter SemiBold;sans-serif"/>
          <w:b/>
          <w:color w:val="000000"/>
          <w:sz w:val="18"/>
        </w:rPr>
        <w:t xml:space="preserve">Sonalee Parekh. </w:t>
      </w:r>
      <w:r>
        <w:rPr>
          <w:rFonts w:ascii="Inter Light;sans-serif" w:hAnsi="Inter Light;sans-serif"/>
          <w:b w:val="false"/>
          <w:color w:val="000000"/>
          <w:sz w:val="18"/>
        </w:rPr>
        <w:t xml:space="preserve">Sonalee Parekh has served as our Chief Financial Officer and Head of Finance since September 2024. Prior to joining Asana, Ms. Parekh served as Chief Financial Officer of RingCentral, Inc., a cloud-based collaboration and communication SaaS company, from May 2022 through August 2024, where she was responsible for accounting, FP&amp;A, treasury, tax, internal audit and investor relations. Previously, Ms. Parekh served as Divisional CFO and Senior Vice President of Corporate Development and Investor Relations at Hewlett Packard Enterprise (“HPE”), a Fortune 500 public technology company, from September 2019 to April 2022, where she oversaw critical growth initiatives, including global M&amp;A and integration, corporate strategy, strategic investments, and managed all buyside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and sellside communication. Prior to HPE, Ms. Parekh held senior leadership roles at several global investment banks, including Goldman Sachs, Jeffries and Barclays Capital. Ms. Parekh currently serves as a director and chair of the audit committee for Indie Semiconductor. Ms. Parekh holds a Bachelor of Commerce degree from McGill University and is a Chartered Accountant.</w:t>
      </w:r>
    </w:p>
    <w:p>
      <w:pPr>
        <w:pStyle w:val="TextBody"/>
        <w:bidi w:val="0"/>
        <w:spacing w:lineRule="atLeast" w:line="260" w:before="0" w:after="180"/>
        <w:jc w:val="left"/>
        <w:rPr/>
      </w:pPr>
      <w:r>
        <w:rPr>
          <w:rFonts w:ascii="Inter SemiBold;sans-serif" w:hAnsi="Inter SemiBold;sans-serif"/>
          <w:b/>
          <w:color w:val="000000"/>
          <w:sz w:val="18"/>
        </w:rPr>
        <w:t xml:space="preserve">Eleanor Lacey. </w:t>
      </w:r>
      <w:r>
        <w:rPr>
          <w:rFonts w:ascii="Inter Light;sans-serif" w:hAnsi="Inter Light;sans-serif"/>
          <w:b w:val="false"/>
          <w:color w:val="000000"/>
          <w:sz w:val="18"/>
        </w:rPr>
        <w:t>Eleanor Lacey has served as our General Counsel since July 2019 and as our Corporate Secretary since September 2019. Prior to joining Asana, from November 2016 to July 2019, Ms. Lacey was with Sophos, Inc., an affiliated entity of Sophos Group plc, a security software and hardware company, most recently serving as Executive Vice President and Chief Legal Officer, and served as Group Company Secretary at Sophos Group plc. From July 2012 to November 2016, Ms. Lacey led the legal department of SurveyMonkey, Inc., a SaaS software company, serving as Vice President, General Counsel, and Corporate Secretary from July 2012 to August 2016, and as Senior Vice President, General Counsel, and Corporate Secretary from August 2016 to November 2016. Ms. Lacey holds a B.A. in English literature and history from the University of Massachusetts, Amherst and a J.D. from Yale Law School.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59435"/>
                <wp:effectExtent l="0" t="0" r="0" b="0"/>
                <wp:wrapNone/>
                <wp:docPr id="73" name="Frame40"/>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35</w:t>
                            </w:r>
                          </w:p>
                        </w:tc>
                      </w:tr>
                    </w:tbl>
                    <w:p>
                      <w:pPr>
                        <w:pStyle w:val="TextBody"/>
                        <w:bidi w:val="0"/>
                        <w:spacing w:before="0" w:after="283"/>
                        <w:jc w:val="left"/>
                        <w:rPr/>
                      </w:pPr>
                      <w:r>
                        <w:rPr/>
                      </w:r>
                    </w:p>
                  </w:txbxContent>
                </v:textbox>
                <w10:wrap type="none"/>
              </v:rect>
            </w:pict>
          </mc:Fallback>
        </mc:AlternateContent>
      </w:r>
    </w:p>
    <w:tbl>
      <w:tblPr>
        <w:tblW w:w="3404" w:type="dxa"/>
        <w:jc w:val="left"/>
        <w:tblInd w:w="0" w:type="dxa"/>
        <w:tblLayout w:type="fixed"/>
        <w:tblCellMar>
          <w:top w:w="28" w:type="dxa"/>
          <w:left w:w="28" w:type="dxa"/>
          <w:bottom w:w="28" w:type="dxa"/>
          <w:right w:w="28" w:type="dxa"/>
        </w:tblCellMar>
      </w:tblPr>
      <w:tblGrid>
        <w:gridCol w:w="647"/>
        <w:gridCol w:w="568"/>
        <w:gridCol w:w="570"/>
        <w:gridCol w:w="474"/>
        <w:gridCol w:w="474"/>
        <w:gridCol w:w="671"/>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Executive Officers</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0"/>
        <w:jc w:val="left"/>
        <w:rPr/>
      </w:pPr>
      <w:r>
        <w:rPr>
          <w:rFonts w:ascii="Inter SemiBold;sans-serif" w:hAnsi="Inter SemiBold;sans-serif"/>
          <w:b/>
          <w:color w:val="000000"/>
          <w:sz w:val="18"/>
        </w:rPr>
        <w:t xml:space="preserve">Anne Raimondi. </w:t>
      </w:r>
      <w:r>
        <w:rPr>
          <w:rFonts w:ascii="Inter Light;sans-serif" w:hAnsi="Inter Light;sans-serif"/>
          <w:b w:val="false"/>
          <w:color w:val="000000"/>
          <w:sz w:val="18"/>
        </w:rPr>
        <w:t xml:space="preserve">Anne Raimondi has served as our Chief Operating Officer since August 2021. Previously, Ms. Raimondi served as a member of our Board of Directors from February 2019 to August 2021, including service as our Lead Independent Director from December 2019 to August 2021. Ms. Raimondi served as the Chief Customer Officer of Guru Technologies, Inc., a knowledge management solution company, from May 2019 through January 2021 and recently joined its board of directors as an independent director in February 2021. Prior to joining Guru, from August 2013 to November 2017, Ms. Raimondi served several roles at Zendesk, Inc., a customer service platform provider, including as Senior Vice President, Strategy, Senior Vice President, Operations, and Vice President, People Operations. Ms. Raimondi currently also serves on the boards of Gusto, Inc. and Patreon, Inc., both of which are privately-held corporations, and has previously served on the board of directors of several other companies, including SendGrid, Inc. from February 2018 to February 2019, and Bloc, Inc. from June 2017 to April 2018. Ms. Raimondi holds a B.A. in economics and sociology and an M.B.A. from Stanford University.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9140"/>
                <wp:effectExtent l="0" t="0" r="0" b="0"/>
                <wp:wrapNone/>
                <wp:docPr id="74"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064" w:type="dxa"/>
        <w:jc w:val="left"/>
        <w:tblInd w:w="0" w:type="dxa"/>
        <w:tblLayout w:type="fixed"/>
        <w:tblCellMar>
          <w:top w:w="28" w:type="dxa"/>
          <w:left w:w="28" w:type="dxa"/>
          <w:bottom w:w="28" w:type="dxa"/>
          <w:right w:w="28" w:type="dxa"/>
        </w:tblCellMar>
      </w:tblPr>
      <w:tblGrid>
        <w:gridCol w:w="2263"/>
        <w:gridCol w:w="1988"/>
        <w:gridCol w:w="2813"/>
      </w:tblGrid>
      <w:tr>
        <w:trPr/>
        <w:tc>
          <w:tcPr>
            <w:tcW w:w="226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tLeast" w:line="360" w:before="0" w:after="600"/>
              <w:jc w:val="left"/>
              <w:rPr>
                <w:rFonts w:ascii="Inter Medium;sans-serif" w:hAnsi="Inter Medium;sans-serif"/>
                <w:b w:val="false"/>
                <w:color w:val="0D0E10"/>
                <w:sz w:val="56"/>
              </w:rPr>
            </w:pPr>
            <w:r>
              <w:rPr>
                <w:rFonts w:ascii="Inter Medium;sans-serif" w:hAnsi="Inter Medium;sans-serif"/>
                <w:b w:val="false"/>
                <w:color w:val="0D0E10"/>
                <w:sz w:val="56"/>
              </w:rPr>
              <w:t>Executive Compensation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Compensation Discussion and Analysis </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Introduction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This Compensation Discussion &amp; Analysis, or CD&amp;A, explains our executive compensation program for our named executive officers for the fiscal year ended January 31, 2025, each of whom is identified in the table below. This CD&amp;A also describes our Compensation Committee’s process for making pay decisions, as well as its rationale for specific decisions related to the fiscal year ended January 31, 2025.</w:t>
      </w:r>
    </w:p>
    <w:tbl>
      <w:tblPr>
        <w:tblW w:w="6206" w:type="dxa"/>
        <w:jc w:val="left"/>
        <w:tblInd w:w="0" w:type="dxa"/>
        <w:tblLayout w:type="fixed"/>
        <w:tblCellMar>
          <w:top w:w="28" w:type="dxa"/>
          <w:left w:w="28" w:type="dxa"/>
          <w:bottom w:w="28" w:type="dxa"/>
          <w:right w:w="28" w:type="dxa"/>
        </w:tblCellMar>
      </w:tblPr>
      <w:tblGrid>
        <w:gridCol w:w="797"/>
        <w:gridCol w:w="701"/>
        <w:gridCol w:w="706"/>
        <w:gridCol w:w="1205"/>
        <w:gridCol w:w="1205"/>
        <w:gridCol w:w="1220"/>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Named Executive Officer</w:t>
            </w:r>
          </w:p>
        </w:tc>
        <w:tc>
          <w:tcPr>
            <w:tcW w:w="363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Position</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363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President and Chief Executive Officer</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363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Chief Financial Officer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Tim Wan</w:t>
            </w:r>
          </w:p>
        </w:tc>
        <w:tc>
          <w:tcPr>
            <w:tcW w:w="363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Former Chief Financial Officer</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363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General Counsel and Corporate Secretary</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3630"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Chief Operating Officer</w:t>
            </w:r>
          </w:p>
        </w:tc>
        <w:tc>
          <w:tcPr>
            <w:tcW w:w="37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Executive Summary</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A Summary of our Company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Asana is a leading work management software platform with an enterprise focus that helps organizations set and track goals, drive strategic initiatives, and manage work in one place. Over 169,000 paying customers use Asana to automate complex operational workflows like product launches and employee onboarding, resource planning, tracking company-wide strategic initiatives and more. Our secure and scalable platform with AI-powered features adds structure to unstructured work, creating clarity, accountability, and impact for everyone within an organization—executives, department heads, team leads, and individuals—so everyone understands exactly who is doing what, by when, how and why.</w:t>
      </w:r>
    </w:p>
    <w:p>
      <w:pPr>
        <w:pStyle w:val="TextBody"/>
        <w:bidi w:val="0"/>
        <w:spacing w:lineRule="atLeast" w:line="300" w:before="0" w:after="180"/>
        <w:jc w:val="left"/>
        <w:rPr>
          <w:rFonts w:ascii="Inter SemiBold;sans-serif" w:hAnsi="Inter SemiBold;sans-serif"/>
          <w:b/>
          <w:color w:val="690031"/>
          <w:sz w:val="22"/>
        </w:rPr>
      </w:pPr>
      <w:r>
        <w:rPr>
          <w:rFonts w:ascii="Inter SemiBold;sans-serif" w:hAnsi="Inter SemiBold;sans-serif"/>
          <w:b/>
          <w:color w:val="690031"/>
          <w:sz w:val="22"/>
        </w:rPr>
        <w:t>Our Business Performance in Fiscal Year 2025</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We delivered strong business results in fiscal year 2025 that resulted in revenues of $723.9 million and 11% growth year over year, driven by our continued success serving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enterprise customers and showing meaningful progress towards profitability. Every year, we define company-wide objectives in order to drive alignment, help us focus, and rally together toward ambitious goals. For fiscal 2025, we set companywide objectives that captured our most critical financial, customer, product, operational, and people-related goals, which we evaluated our performance against throughout the course of the year. </w:t>
      </w:r>
    </w:p>
    <w:p>
      <w:pPr>
        <w:pStyle w:val="TextBody"/>
        <w:bidi w:val="0"/>
        <w:spacing w:lineRule="atLeast" w:line="260" w:before="240" w:after="180"/>
        <w:jc w:val="left"/>
        <w:rPr>
          <w:rFonts w:ascii="Inter SemiBold;sans-serif" w:hAnsi="Inter SemiBold;sans-serif"/>
          <w:b/>
          <w:color w:val="690031"/>
          <w:sz w:val="22"/>
        </w:rPr>
      </w:pPr>
      <w:r>
        <w:rPr>
          <w:rFonts w:ascii="Inter SemiBold;sans-serif" w:hAnsi="Inter SemiBold;sans-serif"/>
          <w:b/>
          <w:color w:val="690031"/>
          <w:sz w:val="22"/>
        </w:rPr>
        <w:t>Our Stockholder Return Performance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Asana’s stockholder return in fiscal year 2025 was 21%. From our direct listing in September 2020 through the last day of fiscal year 2025, Asana’s stockholder return was -21%. </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Organizational Changes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August 2024, Tim Wan announced his intention to leave Asana where he had served as our Chief Financial Officer since January 2017. Mr. Wan’s last day of service as our Chief Financial Officer was September 10, 2024. Our Board of Directors appointed Sonalee Parekh to the role of Chief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59435"/>
                <wp:effectExtent l="0" t="0" r="0" b="0"/>
                <wp:wrapNone/>
                <wp:docPr id="75" name="Frame42"/>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37</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Financial Officer, effective September 11, 2024. Upon the effective date of Ms. Parekh’s appointment, Mr. Wan transitioned into an advisory role with us through September 27, 2024. Mr. Wan did not receive any severance payments or benefits and forfeited all unvested equity awards in connection with his resignation.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March 2025, we announced the anticipated transition of Dustin Moskovitz from the role of Chief Executive Officer once a successor has been appointed by the Board. Mr. Moskovitz will continue to serve as the Chair of the Board following this planned transition.</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Key Compensation Decisions and Actions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regularly reviews and considers the elements of our compensation program and makes determinations about appropriate adjustments. In fiscal year 2025, our Compensation Committee's actions included:</w:t>
      </w:r>
    </w:p>
    <w:p>
      <w:pPr>
        <w:pStyle w:val="TextBody"/>
        <w:bidi w:val="0"/>
        <w:spacing w:lineRule="atLeast" w:line="260" w:before="0" w:after="240"/>
        <w:ind w:left="0" w:right="0" w:hanging="270"/>
        <w:jc w:val="left"/>
        <w:rPr/>
      </w:pPr>
      <w:r>
        <w:rPr>
          <w:color w:val="000000"/>
        </w:rPr>
        <w:t>•</w:t>
      </w:r>
      <w:r>
        <w:rPr>
          <w:rFonts w:ascii="Inter SemiBold;sans-serif" w:hAnsi="Inter SemiBold;sans-serif"/>
          <w:b/>
          <w:color w:val="000000"/>
          <w:sz w:val="18"/>
        </w:rPr>
        <w:t xml:space="preserve">CEO Compensation: </w:t>
      </w:r>
      <w:r>
        <w:rPr>
          <w:rFonts w:ascii="Inter Light;sans-serif" w:hAnsi="Inter Light;sans-serif"/>
          <w:b w:val="false"/>
          <w:color w:val="000000"/>
          <w:sz w:val="18"/>
        </w:rPr>
        <w:t>Mr. Moskovitz previously requested that our Compensation Committee provide him with no cash or equity compensation except for an annual base salary of $1. Our Compensation Committee evaluated Mr. Moskovitz's request and, in light of his significant ownership position, determined that his financial incentives are strongly aligned with long-term stockholder value, and therefore approved Mr. Moskovitz's request. Our Compensation Committee conducts an annual assessment of the compensation of all NEOs, including Mr. Moskovitz.</w:t>
      </w:r>
    </w:p>
    <w:p>
      <w:pPr>
        <w:pStyle w:val="TextBody"/>
        <w:bidi w:val="0"/>
        <w:spacing w:lineRule="atLeast" w:line="260" w:before="0" w:after="240"/>
        <w:ind w:left="0" w:right="0" w:hanging="270"/>
        <w:jc w:val="left"/>
        <w:rPr/>
      </w:pPr>
      <w:r>
        <w:rPr>
          <w:color w:val="000000"/>
        </w:rPr>
        <w:t>•</w:t>
      </w:r>
      <w:r>
        <w:rPr>
          <w:rFonts w:ascii="Inter SemiBold;sans-serif" w:hAnsi="Inter SemiBold;sans-serif"/>
          <w:b/>
          <w:color w:val="000000"/>
          <w:sz w:val="18"/>
        </w:rPr>
        <w:t>Base Salary and RSU Awards for Other Executives:</w:t>
      </w:r>
      <w:r>
        <w:rPr>
          <w:color w:val="0D0E10"/>
        </w:rPr>
        <w:t xml:space="preserve"> </w:t>
      </w:r>
      <w:r>
        <w:rPr>
          <w:rFonts w:ascii="Inter Light;sans-serif" w:hAnsi="Inter Light;sans-serif"/>
          <w:b w:val="false"/>
          <w:color w:val="000000"/>
          <w:sz w:val="18"/>
        </w:rPr>
        <w:t xml:space="preserve">In fiscal year 2025, our Compensation Committee approved a program that did not provide salary adjustments to NEOs (other than as noted below) and resulted in equity incentive awards with a grant date value slightly higher than grants made in the prior year. These actions were approved in May 2024, following two prior meetings during which our Compensation Committee reviewed competitive market data presented by Compensia, an independent consultant to the Committee, and reviewed the performance results of Asana and each executive officer over the prior fiscal year. The Compensation Committee reviewed the Company’s leadership succession plan at the same time. </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New Chief Financial Officer Compensation:</w:t>
      </w:r>
      <w:r>
        <w:rPr>
          <w:color w:val="000000"/>
        </w:rPr>
        <w:t xml:space="preserve"> </w:t>
      </w:r>
      <w:r>
        <w:rPr>
          <w:rFonts w:ascii="Inter Light;sans-serif" w:hAnsi="Inter Light;sans-serif"/>
          <w:b w:val="false"/>
          <w:color w:val="000000"/>
          <w:sz w:val="18"/>
        </w:rPr>
        <w:t>In connection with hiring Sonalee Parekh as our new Chief Financial Officer starting on September 11, 2024, the Compensation Committee approved a base salary of $750,000 for Ms. Parekh and an RSU award with a total grant value of $15,000,000, as further described in this CD&amp;A and reported in the “Summary Compensation Table for Fiscal Year 2025” below.</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 xml:space="preserve">General Counsel Base Salary: </w:t>
      </w:r>
      <w:r>
        <w:rPr>
          <w:rFonts w:ascii="Inter Light;sans-serif" w:hAnsi="Inter Light;sans-serif"/>
          <w:b w:val="false"/>
          <w:color w:val="000000"/>
          <w:sz w:val="18"/>
        </w:rPr>
        <w:t>In December 2024, the Compensation Committee approved an increase to Eleanor Lacey’s base salary from $525,000 to $660,000 effective January 1, 2025. While reviewing this increase, the Compensation Committee considered the increase in Ms. Lacey’s scope of responsibilities in connection with the growing complexity of the Company’s activities and market compensation trends.</w:t>
      </w: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39140"/>
                <wp:effectExtent l="0" t="0" r="0" b="0"/>
                <wp:wrapNone/>
                <wp:docPr id="76"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38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Key Compensation Governance Policies and Practices</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We also believe the following policies and practices within our executive compensation program promote sound compensation governance and are in the best interests of our stockholders and executive officers:</w:t>
      </w:r>
    </w:p>
    <w:tbl>
      <w:tblPr>
        <w:tblW w:w="10205" w:type="dxa"/>
        <w:jc w:val="left"/>
        <w:tblInd w:w="0" w:type="dxa"/>
        <w:tblLayout w:type="fixed"/>
        <w:tblCellMar>
          <w:top w:w="28" w:type="dxa"/>
          <w:left w:w="28" w:type="dxa"/>
          <w:bottom w:w="28" w:type="dxa"/>
          <w:right w:w="28" w:type="dxa"/>
        </w:tblCellMar>
      </w:tblPr>
      <w:tblGrid>
        <w:gridCol w:w="238"/>
        <w:gridCol w:w="198"/>
        <w:gridCol w:w="198"/>
        <w:gridCol w:w="3117"/>
        <w:gridCol w:w="3035"/>
        <w:gridCol w:w="3044"/>
        <w:gridCol w:w="109"/>
        <w:gridCol w:w="109"/>
        <w:gridCol w:w="157"/>
      </w:tblGrid>
      <w:tr>
        <w:trPr/>
        <w:tc>
          <w:tcPr>
            <w:tcW w:w="2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shd w:fill="FF584A" w:val="clear"/>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FFFFFF"/>
                <w:sz w:val="20"/>
              </w:rPr>
            </w:pPr>
            <w:r>
              <w:rPr>
                <w:rFonts w:ascii="Inter SemiBold;sans-serif" w:hAnsi="Inter SemiBold;sans-serif"/>
                <w:b w:val="false"/>
                <w:color w:val="FFFFFF"/>
                <w:sz w:val="20"/>
              </w:rPr>
              <w:t>What We Do</w:t>
            </w:r>
          </w:p>
        </w:tc>
        <w:tc>
          <w:tcPr>
            <w:tcW w:w="375" w:type="dxa"/>
            <w:gridSpan w:val="3"/>
            <w:tcBorders/>
            <w:shd w:fill="FF58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7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4" descr=""/>
                          <pic:cNvPicPr>
                            <a:picLocks noChangeAspect="1" noChangeArrowheads="1"/>
                          </pic:cNvPicPr>
                        </pic:nvPicPr>
                        <pic:blipFill>
                          <a:blip r:embed="rId35"/>
                          <a:stretch>
                            <a:fillRect/>
                          </a:stretch>
                        </pic:blipFill>
                        <pic:spPr bwMode="auto">
                          <a:xfrm>
                            <a:off x="0" y="0"/>
                            <a:ext cx="200025" cy="200025"/>
                          </a:xfrm>
                          <a:prstGeom prst="rect">
                            <a:avLst/>
                          </a:prstGeom>
                        </pic:spPr>
                      </pic:pic>
                    </a:graphicData>
                  </a:graphic>
                </wp:inline>
              </w:drawing>
            </w:r>
          </w:p>
        </w:tc>
        <w:tc>
          <w:tcPr>
            <w:tcW w:w="919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Encourage long-term equity ownership through our stock ownership policy and multi-year vesting in a majority of equity awards</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7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5" descr=""/>
                          <pic:cNvPicPr>
                            <a:picLocks noChangeAspect="1" noChangeArrowheads="1"/>
                          </pic:cNvPicPr>
                        </pic:nvPicPr>
                        <pic:blipFill>
                          <a:blip r:embed="rId36"/>
                          <a:stretch>
                            <a:fillRect/>
                          </a:stretch>
                        </pic:blipFill>
                        <pic:spPr bwMode="auto">
                          <a:xfrm>
                            <a:off x="0" y="0"/>
                            <a:ext cx="200025" cy="200025"/>
                          </a:xfrm>
                          <a:prstGeom prst="rect">
                            <a:avLst/>
                          </a:prstGeom>
                        </pic:spPr>
                      </pic:pic>
                    </a:graphicData>
                  </a:graphic>
                </wp:inline>
              </w:drawing>
            </w:r>
          </w:p>
        </w:tc>
        <w:tc>
          <w:tcPr>
            <w:tcW w:w="919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Engage an independent compensation consultant</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7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6" descr=""/>
                          <pic:cNvPicPr>
                            <a:picLocks noChangeAspect="1" noChangeArrowheads="1"/>
                          </pic:cNvPicPr>
                        </pic:nvPicPr>
                        <pic:blipFill>
                          <a:blip r:embed="rId37"/>
                          <a:stretch>
                            <a:fillRect/>
                          </a:stretch>
                        </pic:blipFill>
                        <pic:spPr bwMode="auto">
                          <a:xfrm>
                            <a:off x="0" y="0"/>
                            <a:ext cx="200025" cy="200025"/>
                          </a:xfrm>
                          <a:prstGeom prst="rect">
                            <a:avLst/>
                          </a:prstGeom>
                        </pic:spPr>
                      </pic:pic>
                    </a:graphicData>
                  </a:graphic>
                </wp:inline>
              </w:drawing>
            </w:r>
          </w:p>
        </w:tc>
        <w:tc>
          <w:tcPr>
            <w:tcW w:w="919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Maintain anti-hedging and anti-pledging policies</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7" descr=""/>
                          <pic:cNvPicPr>
                            <a:picLocks noChangeAspect="1" noChangeArrowheads="1"/>
                          </pic:cNvPicPr>
                        </pic:nvPicPr>
                        <pic:blipFill>
                          <a:blip r:embed="rId38"/>
                          <a:stretch>
                            <a:fillRect/>
                          </a:stretch>
                        </pic:blipFill>
                        <pic:spPr bwMode="auto">
                          <a:xfrm>
                            <a:off x="0" y="0"/>
                            <a:ext cx="200025" cy="200025"/>
                          </a:xfrm>
                          <a:prstGeom prst="rect">
                            <a:avLst/>
                          </a:prstGeom>
                        </pic:spPr>
                      </pic:pic>
                    </a:graphicData>
                  </a:graphic>
                </wp:inline>
              </w:drawing>
            </w:r>
          </w:p>
        </w:tc>
        <w:tc>
          <w:tcPr>
            <w:tcW w:w="919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Provide for “double-trigger” equity award vesting and severance payments and benefits upon a change in control of Asana</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8" descr=""/>
                          <pic:cNvPicPr>
                            <a:picLocks noChangeAspect="1" noChangeArrowheads="1"/>
                          </pic:cNvPicPr>
                        </pic:nvPicPr>
                        <pic:blipFill>
                          <a:blip r:embed="rId39"/>
                          <a:stretch>
                            <a:fillRect/>
                          </a:stretch>
                        </pic:blipFill>
                        <pic:spPr bwMode="auto">
                          <a:xfrm>
                            <a:off x="0" y="0"/>
                            <a:ext cx="200025" cy="200025"/>
                          </a:xfrm>
                          <a:prstGeom prst="rect">
                            <a:avLst/>
                          </a:prstGeom>
                        </pic:spPr>
                      </pic:pic>
                    </a:graphicData>
                  </a:graphic>
                </wp:inline>
              </w:drawing>
            </w:r>
          </w:p>
        </w:tc>
        <w:tc>
          <w:tcPr>
            <w:tcW w:w="9196"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Design our compensation program to discourage excessive risk-taking</w:t>
            </w:r>
          </w:p>
        </w:tc>
        <w:tc>
          <w:tcPr>
            <w:tcW w:w="375"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7"/>
        <w:gridCol w:w="288"/>
        <w:gridCol w:w="288"/>
        <w:gridCol w:w="2987"/>
        <w:gridCol w:w="2960"/>
        <w:gridCol w:w="2970"/>
        <w:gridCol w:w="109"/>
        <w:gridCol w:w="109"/>
        <w:gridCol w:w="157"/>
      </w:tblGrid>
      <w:tr>
        <w:trPr/>
        <w:tc>
          <w:tcPr>
            <w:tcW w:w="3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SemiBold;sans-serif" w:hAnsi="Inter SemiBold;sans-serif"/>
                <w:b w:val="false"/>
                <w:color w:val="FFFFFF"/>
                <w:sz w:val="20"/>
              </w:rPr>
            </w:pPr>
            <w:r>
              <w:rPr>
                <w:rFonts w:ascii="Inter SemiBold;sans-serif" w:hAnsi="Inter SemiBold;sans-serif"/>
                <w:b w:val="false"/>
                <w:color w:val="FFFFFF"/>
                <w:sz w:val="20"/>
              </w:rPr>
              <w:t>What We Don’t Do</w:t>
            </w:r>
          </w:p>
        </w:tc>
        <w:tc>
          <w:tcPr>
            <w:tcW w:w="3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EAE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9" descr=""/>
                          <pic:cNvPicPr>
                            <a:picLocks noChangeAspect="1" noChangeArrowheads="1"/>
                          </pic:cNvPicPr>
                        </pic:nvPicPr>
                        <pic:blipFill>
                          <a:blip r:embed="rId40"/>
                          <a:stretch>
                            <a:fillRect/>
                          </a:stretch>
                        </pic:blipFill>
                        <pic:spPr bwMode="auto">
                          <a:xfrm>
                            <a:off x="0" y="0"/>
                            <a:ext cx="200025" cy="200025"/>
                          </a:xfrm>
                          <a:prstGeom prst="rect">
                            <a:avLst/>
                          </a:prstGeom>
                        </pic:spPr>
                      </pic:pic>
                    </a:graphicData>
                  </a:graphic>
                </wp:inline>
              </w:drawing>
            </w:r>
          </w:p>
        </w:tc>
        <w:tc>
          <w:tcPr>
            <w:tcW w:w="891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No tax gross-ups in connection with payments and benefits upon a change in control of Asana</w:t>
            </w:r>
          </w:p>
        </w:tc>
        <w:tc>
          <w:tcPr>
            <w:tcW w:w="375"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0" descr=""/>
                          <pic:cNvPicPr>
                            <a:picLocks noChangeAspect="1" noChangeArrowheads="1"/>
                          </pic:cNvPicPr>
                        </pic:nvPicPr>
                        <pic:blipFill>
                          <a:blip r:embed="rId41"/>
                          <a:stretch>
                            <a:fillRect/>
                          </a:stretch>
                        </pic:blipFill>
                        <pic:spPr bwMode="auto">
                          <a:xfrm>
                            <a:off x="0" y="0"/>
                            <a:ext cx="200025" cy="200025"/>
                          </a:xfrm>
                          <a:prstGeom prst="rect">
                            <a:avLst/>
                          </a:prstGeom>
                        </pic:spPr>
                      </pic:pic>
                    </a:graphicData>
                  </a:graphic>
                </wp:inline>
              </w:drawing>
            </w:r>
          </w:p>
        </w:tc>
        <w:tc>
          <w:tcPr>
            <w:tcW w:w="891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No material perquisites</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1" descr=""/>
                          <pic:cNvPicPr>
                            <a:picLocks noChangeAspect="1" noChangeArrowheads="1"/>
                          </pic:cNvPicPr>
                        </pic:nvPicPr>
                        <pic:blipFill>
                          <a:blip r:embed="rId42"/>
                          <a:stretch>
                            <a:fillRect/>
                          </a:stretch>
                        </pic:blipFill>
                        <pic:spPr bwMode="auto">
                          <a:xfrm>
                            <a:off x="0" y="0"/>
                            <a:ext cx="200025" cy="200025"/>
                          </a:xfrm>
                          <a:prstGeom prst="rect">
                            <a:avLst/>
                          </a:prstGeom>
                        </pic:spPr>
                      </pic:pic>
                    </a:graphicData>
                  </a:graphic>
                </wp:inline>
              </w:drawing>
            </w:r>
          </w:p>
        </w:tc>
        <w:tc>
          <w:tcPr>
            <w:tcW w:w="891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No supplemental executive retirement plans or pension plans</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2" descr=""/>
                          <pic:cNvPicPr>
                            <a:picLocks noChangeAspect="1" noChangeArrowheads="1"/>
                          </pic:cNvPicPr>
                        </pic:nvPicPr>
                        <pic:blipFill>
                          <a:blip r:embed="rId43"/>
                          <a:stretch>
                            <a:fillRect/>
                          </a:stretch>
                        </pic:blipFill>
                        <pic:spPr bwMode="auto">
                          <a:xfrm>
                            <a:off x="0" y="0"/>
                            <a:ext cx="200025" cy="200025"/>
                          </a:xfrm>
                          <a:prstGeom prst="rect">
                            <a:avLst/>
                          </a:prstGeom>
                        </pic:spPr>
                      </pic:pic>
                    </a:graphicData>
                  </a:graphic>
                </wp:inline>
              </w:drawing>
            </w:r>
          </w:p>
        </w:tc>
        <w:tc>
          <w:tcPr>
            <w:tcW w:w="891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No stock option or stock appreciation rights granted below fair market value of our common stock on the date of grant</w:t>
            </w:r>
          </w:p>
        </w:tc>
        <w:tc>
          <w:tcPr>
            <w:tcW w:w="375"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0"/>
              <w:jc w:val="center"/>
              <w:rPr/>
            </w:pPr>
            <w:r>
              <w:rPr/>
              <w:drawing>
                <wp:inline distT="0" distB="0" distL="0" distR="0">
                  <wp:extent cx="200025" cy="200025"/>
                  <wp:effectExtent l="0" t="0" r="0" b="0"/>
                  <wp:docPr id="8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 descr=""/>
                          <pic:cNvPicPr>
                            <a:picLocks noChangeAspect="1" noChangeArrowheads="1"/>
                          </pic:cNvPicPr>
                        </pic:nvPicPr>
                        <pic:blipFill>
                          <a:blip r:embed="rId44"/>
                          <a:stretch>
                            <a:fillRect/>
                          </a:stretch>
                        </pic:blipFill>
                        <pic:spPr bwMode="auto">
                          <a:xfrm>
                            <a:off x="0" y="0"/>
                            <a:ext cx="200025" cy="200025"/>
                          </a:xfrm>
                          <a:prstGeom prst="rect">
                            <a:avLst/>
                          </a:prstGeom>
                        </pic:spPr>
                      </pic:pic>
                    </a:graphicData>
                  </a:graphic>
                </wp:inline>
              </w:drawing>
            </w:r>
          </w:p>
        </w:tc>
        <w:tc>
          <w:tcPr>
            <w:tcW w:w="8917"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690031"/>
                <w:sz w:val="16"/>
              </w:rPr>
            </w:pPr>
            <w:r>
              <w:rPr>
                <w:rFonts w:ascii="Inter Light;sans-serif" w:hAnsi="Inter Light;sans-serif"/>
                <w:b w:val="false"/>
                <w:color w:val="690031"/>
                <w:sz w:val="16"/>
              </w:rPr>
              <w:t>No repricing or exchange of underwater stock options without stockholder approval</w:t>
            </w:r>
          </w:p>
        </w:tc>
        <w:tc>
          <w:tcPr>
            <w:tcW w:w="375"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Our Approach to Executive Compensation</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Executive Compensation Philosophy, Objectives and Design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Asana’s executive compensation philosophy is to employ market-competitive compensation programs that reward our executive officers fairly and consistently relative to one another and to the broader employee population, and that promote Asana’s cohesive, collaborative culture.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executive compensation program aims to achieve the following primary objectives: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attract, retain, and reward world-class talent that is motivated by our mission;</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position ourselves strongly against our compensation peers to attract and retain top talent and ensure the competitiveness of our pay packages;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align the interests of our executive officers with long-term decision-making and minimize incentives for short-term decision-making;</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reflect simplicity as appropriate to promote understanding concerning pay among executives and stockholders;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align our executive officers’ interests with those of our long-term stockholders.</w:t>
      </w:r>
    </w:p>
    <w:p>
      <w:pPr>
        <w:pStyle w:val="TextBody"/>
        <w:bidi w:val="0"/>
        <w:spacing w:lineRule="atLeast" w:line="260" w:before="0" w:after="180"/>
        <w:jc w:val="left"/>
        <w:rPr>
          <w:rFonts w:ascii="Inter SemiBold;sans-serif" w:hAnsi="Inter SemiBold;sans-serif"/>
          <w:b/>
          <w:color w:val="690031"/>
          <w:sz w:val="22"/>
        </w:rPr>
      </w:pPr>
      <w:r>
        <w:rPr>
          <w:rFonts w:ascii="Inter SemiBold;sans-serif" w:hAnsi="Inter SemiBold;sans-serif"/>
          <w:b/>
          <w:color w:val="690031"/>
          <w:sz w:val="22"/>
        </w:rPr>
        <w:t xml:space="preserve">Timing of Executive Compensation Decisions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annual executive compensation review and adjustments typically occur in the first quarter of the fiscal year. Our Compensation Committee reviews business and individual performance from the prior fiscal year in determining salary adjustments and RSU awards for the current fiscal year.</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Elements of Executive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executive compensation program aims to take a holistic approach to compensation and generally consists of, and is intended to strike a balance among, two principal components: base salary and long-term incentive compensation. We do not pay our named executive officers short-term incentive compensation. Instead, a majority of our executive compensation is delivered in the form of long-term incentives. We believe that a compensation structure that focuses on equity value that includes vesting over time, combined with ongoing stock ownership guidelines, aligns with our long-term philosophy. The following chart summarizes the two principal components of our executive compensation program, their objectives, and key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59435"/>
                <wp:effectExtent l="0" t="0" r="0" b="0"/>
                <wp:wrapNone/>
                <wp:docPr id="87" name="Frame44"/>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39</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491"/>
        <w:gridCol w:w="324"/>
        <w:gridCol w:w="325"/>
        <w:gridCol w:w="1037"/>
        <w:gridCol w:w="1037"/>
        <w:gridCol w:w="1046"/>
        <w:gridCol w:w="109"/>
        <w:gridCol w:w="109"/>
        <w:gridCol w:w="109"/>
        <w:gridCol w:w="1769"/>
        <w:gridCol w:w="1728"/>
        <w:gridCol w:w="1744"/>
        <w:gridCol w:w="109"/>
        <w:gridCol w:w="109"/>
        <w:gridCol w:w="159"/>
      </w:tblGrid>
      <w:tr>
        <w:trPr/>
        <w:tc>
          <w:tcPr>
            <w:tcW w:w="49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Elements</w:t>
            </w:r>
          </w:p>
        </w:tc>
        <w:tc>
          <w:tcPr>
            <w:tcW w:w="312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Objectives</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Key Features</w:t>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Base Salary (fixed cash)</w:t>
            </w:r>
          </w:p>
        </w:tc>
        <w:tc>
          <w:tcPr>
            <w:tcW w:w="312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Provides financial stability and security through a fixed amount of cash for performing job responsibilities.</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Fixed compensation that is periodically reviewed and adjusted if and when appropriate, based on a number of factors (including individual performance and our overall performance), and by reference, in part, to competitive market data provided by our Compensation Committee’s independent compensation consultant.</w:t>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Long-Term Incentive</w:t>
              <w:br/>
              <w:t>(at-risk equity)</w:t>
            </w:r>
          </w:p>
        </w:tc>
        <w:tc>
          <w:tcPr>
            <w:tcW w:w="3120"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Motivates and rewards for long-term Company performance; aligns executive officers’ interests with stockholder interests and changes in stock value. Attracts highly qualified executive officers and supports our retention strategy.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Long-term incentives in the form of equity awards may be granted as appropriate during the year for new hires, promotions, or other special circumstances, such as to encourage retention, or as a reward for significant achievement. The majority of our executive officers’ target total direct compensation is delivered through equity in the form of RSU awards. Executive officers are encouraged to hold shares earned through the settlement of RSU awards by our meaningful stock ownership guidelines.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bottom w:val="single" w:sz="4"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bottom w:val="single" w:sz="4"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bottom w:val="single" w:sz="4"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4"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also provide our executive officers with severance and change in control related payments and benefits, as well as benefits generally available to all our employees, including retirement benefits under our Section 401(k) plan and participation in various employee health and welfare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How We Determine Executive Compensation</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Role of Our Compensation Committee, Management and the Board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is appointed by our Board of Directors and has oversight responsibilities related to our compensation and benefit programs, policies, and practices, administration of our equity compensation plans and in setting the compensation of our executive officers, the non-employee members of our Board of Directors, and other senior management, as appropriate.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is primarily responsible for establishing and reviewing our executive compensation strategy. Our Compensation Committee meets periodically throughout the year to, among other responsibilities, review and evaluate our executive compensation program, and generally determines the principal components of compensation (base salary and long-term incentives in the form of equity awards) for our executive officers on an annual basis; however, decisions may occur at other times for new hires, promotions or other special circumstances as our Compensation Committee determines appropriate. Our Compensation Committee does not delegate authority to approve executive officer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Compensation Committee typically reviews base compensation and grants “refresh” equity awards to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executive officers annually in the first quarter of the fiscal year, following comprehensive reviews of peer company market practices, company and individual performance results, and succession plan considerations (which are completed in the last quarter of the prior fiscal year). We do not maintain a formal policy regarding the timing of equity awards to our executive officers and may award grants at other times including when an executive officer is hired or promoted and at other times our Compensation Committee determines to be appropriate for retention or other purposes. Our Compensation Committee will continue to evaluate its equity grant policies as we continue to evolve and grow as a public company.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Under its charter, our Compensation Committee has the authority to retain or obtain the advice of compensation consultants, independent legal counsel, and other advisors. Our Compensation Committee works with and receives information and analyses from management, including within our legal, finance, and people teams, and considers such information and analyses in determining the structure and amounts of compensation to be paid to our executive officers, including our named executive officers. Our Compensation Committee also considers recommendations from our CEO regarding the compensation of our executive officers, other than himself. While our CEO discusses his recommendations with the Compensation Committee, he does not participate in the deliberations concerning, or the determination of, his own compensation. Our Compensation Committee has final authority to make all compensation decisions for our CEO and our executive officers.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From time to time, various other members of management and other employees as well as outside advisors or consultants may be invited by our Compensation Committee to make presentations, provide financial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39140"/>
                <wp:effectExtent l="0" t="0" r="0" b="0"/>
                <wp:wrapNone/>
                <wp:docPr id="88"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background information or advice or otherwise participate in Compensation Committee or Board of Directors meetings.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Members of management, including our CEO, may attend portions of our Compensation Committee’s meetings; however, our CEO is not present during discussions and decisions regarding his compensation.</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Role of Compensation Consultant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During fiscal year 2025, our Compensation Committee retained Compensia as its independent compensation consultant due to Compensia’s extensive analytical and compensation expertise with technology companies. In this capacity, Compensia has advised our Compensation Committee on compensation matters, including executive officer and employee director compensation design and structure. In fiscal year 2025, Compensia assisted with, among other things: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developing a group of peer companies to use as a reference in making executive compensation decisions;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conducting an executive competitive market pay analysis, including for our named executive officers;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analyzing the equity utilization and reserve practices of our peer companies;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conducting a risk assessment of our executive compensation policies and practices;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advising our Compensation Committee on market and industry trends and developments.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has the sole authority to retain compensation consultants to assist in its evaluation of executive compensation. Compensia makes recommendations to our Compensation Committee but has no authority to make compensation decisions on behalf of our Compensation Committee or the Company. Compensia reports to our Compensation Committee and has direct access to the chairperson and the other members of our Compensation Committee. Beyond data and advice related to executive, equity, and director compensation matters, Compensia did not provide other services to our Company in fiscal year 2025.</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has examined whether the work of Compensia as our compensation consultant raised any conflict of interest, taking into account relevant factors in accordance with applicable SEC rules. Based on its analysis, our Compensation Committee determined that the work of Compensia and the individual compensation advisors employed by Compensia does not raise any conflict of interest pursuant to the independence factors and guidance provided in the Dodd-Frank Act, SEC rules, and NYSE and LTSE listing standards.</w:t>
      </w:r>
    </w:p>
    <w:p>
      <w:pPr>
        <w:pStyle w:val="TextBody"/>
        <w:bidi w:val="0"/>
        <w:spacing w:lineRule="atLeast" w:line="300" w:before="240" w:after="60"/>
        <w:jc w:val="left"/>
        <w:rPr>
          <w:rFonts w:ascii="Inter SemiBold;sans-serif" w:hAnsi="Inter SemiBold;sans-serif"/>
          <w:b/>
          <w:color w:val="690031"/>
          <w:sz w:val="22"/>
        </w:rPr>
      </w:pPr>
      <w:r>
        <w:rPr>
          <w:rFonts w:ascii="Inter SemiBold;sans-serif" w:hAnsi="Inter SemiBold;sans-serif"/>
          <w:b/>
          <w:color w:val="690031"/>
          <w:sz w:val="22"/>
        </w:rPr>
        <w:t>Use of Competitive Market Data</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believes that it is important when making compensation decisions to be informed regarding current practices of comparable public companies with which we compete for top talent. To this end, our Compensation Committee works annually with Compensia to review and revise the list of our peer group companies to be used in connection with assessing compensation practices and pay levels. Our Compensation Committee believes that the competitive market data provided by Compensia, along with other factors, is an important reference point when setting compensation for our executive officers, including our named executive officers, because competition for executive talent is very intense in our industry and the retention of our talented leadership team is critical to our success.</w:t>
      </w:r>
    </w:p>
    <w:p>
      <w:pPr>
        <w:pStyle w:val="TextBody"/>
        <w:bidi w:val="0"/>
        <w:spacing w:lineRule="atLeast" w:line="260" w:before="0" w:after="60"/>
        <w:jc w:val="left"/>
        <w:rPr>
          <w:rFonts w:ascii="Inter SemiBold;sans-serif" w:hAnsi="Inter SemiBold;sans-serif"/>
          <w:b/>
          <w:color w:val="690031"/>
          <w:sz w:val="22"/>
        </w:rPr>
      </w:pPr>
      <w:r>
        <w:rPr>
          <w:rFonts w:ascii="Inter SemiBold;sans-serif" w:hAnsi="Inter SemiBold;sans-serif"/>
          <w:b/>
          <w:color w:val="690031"/>
          <w:sz w:val="22"/>
        </w:rPr>
        <w:t>Fiscal Year 2025 Compensation Peer Group</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December 2023, Compensia proposed, and our Compensation Committee approved, a group of companies that would be appropriate peers for fiscal year 2025 compensation decisions, based on the following criteria:</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Industry:</w:t>
      </w:r>
      <w:r>
        <w:rPr>
          <w:color w:val="0D0E10"/>
        </w:rPr>
        <w:t xml:space="preserve"> </w:t>
      </w:r>
      <w:r>
        <w:rPr>
          <w:rFonts w:ascii="Inter Light;sans-serif" w:hAnsi="Inter Light;sans-serif"/>
          <w:b w:val="false"/>
          <w:color w:val="0D0E10"/>
          <w:sz w:val="18"/>
        </w:rPr>
        <w:t>software-related companies with a focus on companies providing software as a service (SaaS).</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Market capitalization:</w:t>
      </w:r>
      <w:r>
        <w:rPr>
          <w:color w:val="0D0E10"/>
        </w:rPr>
        <w:t xml:space="preserve"> </w:t>
      </w:r>
      <w:r>
        <w:rPr>
          <w:rFonts w:ascii="Inter Light;sans-serif" w:hAnsi="Inter Light;sans-serif"/>
          <w:b w:val="false"/>
          <w:color w:val="0D0E10"/>
          <w:sz w:val="18"/>
        </w:rPr>
        <w:t>approximately 0.3x to 3x of our market capitalization.</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Revenues:</w:t>
      </w:r>
      <w:r>
        <w:rPr>
          <w:color w:val="0D0E10"/>
        </w:rPr>
        <w:t xml:space="preserve"> </w:t>
      </w:r>
      <w:r>
        <w:rPr>
          <w:rFonts w:ascii="Inter Light;sans-serif" w:hAnsi="Inter Light;sans-serif"/>
          <w:b w:val="false"/>
          <w:color w:val="0D0E10"/>
          <w:sz w:val="18"/>
        </w:rPr>
        <w:t>approximately 0.5x to 2.5x of our revenues over the trailing four quarters.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59435"/>
                <wp:effectExtent l="0" t="0" r="0" b="0"/>
                <wp:wrapNone/>
                <wp:docPr id="89" name="Frame46"/>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41</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At the time, our trailing four quarter revenue was $579 million, and our 30-day average market capitalization was approximately $4.9 billion. Using the above criteria collectively, the following 20 companies were identified as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appropriately sized for our peer group by our Compensation Committee for the purpose of informing executive pay decisions for fiscal year 2025:</w:t>
      </w:r>
    </w:p>
    <w:tbl>
      <w:tblPr>
        <w:tblW w:w="7633" w:type="dxa"/>
        <w:jc w:val="left"/>
        <w:tblInd w:w="0" w:type="dxa"/>
        <w:tblLayout w:type="fixed"/>
        <w:tblCellMar>
          <w:top w:w="28" w:type="dxa"/>
          <w:left w:w="28" w:type="dxa"/>
          <w:bottom w:w="28" w:type="dxa"/>
          <w:right w:w="28" w:type="dxa"/>
        </w:tblCellMar>
      </w:tblPr>
      <w:tblGrid>
        <w:gridCol w:w="698"/>
        <w:gridCol w:w="611"/>
        <w:gridCol w:w="625"/>
        <w:gridCol w:w="643"/>
        <w:gridCol w:w="643"/>
        <w:gridCol w:w="649"/>
        <w:gridCol w:w="509"/>
        <w:gridCol w:w="509"/>
        <w:gridCol w:w="511"/>
        <w:gridCol w:w="399"/>
        <w:gridCol w:w="399"/>
        <w:gridCol w:w="401"/>
        <w:gridCol w:w="303"/>
        <w:gridCol w:w="303"/>
        <w:gridCol w:w="430"/>
      </w:tblGrid>
      <w:tr>
        <w:trPr/>
        <w:tc>
          <w:tcPr>
            <w:tcW w:w="69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Alteryx</w:t>
            </w:r>
          </w:p>
        </w:tc>
        <w:tc>
          <w:tcPr>
            <w:tcW w:w="1935"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AppFolio</w:t>
            </w:r>
          </w:p>
        </w:tc>
        <w:tc>
          <w:tcPr>
            <w:tcW w:w="1529"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Bill.com Holdings</w:t>
            </w:r>
          </w:p>
        </w:tc>
        <w:tc>
          <w:tcPr>
            <w:tcW w:w="1199"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BlackLine</w:t>
            </w:r>
          </w:p>
        </w:tc>
        <w:tc>
          <w:tcPr>
            <w:tcW w:w="1036" w:type="dxa"/>
            <w:gridSpan w:val="3"/>
            <w:tcBorders>
              <w:top w:val="single" w:sz="4"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Braze</w:t>
            </w:r>
          </w:p>
        </w:tc>
      </w:tr>
      <w:tr>
        <w:trPr/>
        <w:tc>
          <w:tcPr>
            <w:tcW w:w="1934"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Confluent</w:t>
            </w:r>
          </w:p>
        </w:tc>
        <w:tc>
          <w:tcPr>
            <w:tcW w:w="1935"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DigitalOcean Holdings</w:t>
            </w:r>
          </w:p>
        </w:tc>
        <w:tc>
          <w:tcPr>
            <w:tcW w:w="1529"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Elastic N.V.</w:t>
            </w:r>
          </w:p>
        </w:tc>
        <w:tc>
          <w:tcPr>
            <w:tcW w:w="1199"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Fastly</w:t>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Five9</w:t>
            </w:r>
          </w:p>
        </w:tc>
      </w:tr>
      <w:tr>
        <w:trPr/>
        <w:tc>
          <w:tcPr>
            <w:tcW w:w="193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Freshworks*</w:t>
            </w:r>
          </w:p>
        </w:tc>
        <w:tc>
          <w:tcPr>
            <w:tcW w:w="193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GitLab</w:t>
            </w:r>
          </w:p>
        </w:tc>
        <w:tc>
          <w:tcPr>
            <w:tcW w:w="152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HashiCorp</w:t>
            </w:r>
          </w:p>
        </w:tc>
        <w:tc>
          <w:tcPr>
            <w:tcW w:w="119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nCino</w:t>
            </w:r>
          </w:p>
        </w:tc>
        <w:tc>
          <w:tcPr>
            <w:tcW w:w="1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PagerDuty</w:t>
            </w:r>
          </w:p>
        </w:tc>
      </w:tr>
      <w:tr>
        <w:trPr/>
        <w:tc>
          <w:tcPr>
            <w:tcW w:w="1934"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Procore Technologies</w:t>
            </w:r>
          </w:p>
        </w:tc>
        <w:tc>
          <w:tcPr>
            <w:tcW w:w="1935"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Qualys</w:t>
            </w:r>
          </w:p>
        </w:tc>
        <w:tc>
          <w:tcPr>
            <w:tcW w:w="1529"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Smartsheet</w:t>
            </w:r>
          </w:p>
        </w:tc>
        <w:tc>
          <w:tcPr>
            <w:tcW w:w="1199"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Sprout Social</w:t>
            </w:r>
          </w:p>
        </w:tc>
        <w:tc>
          <w:tcPr>
            <w:tcW w:w="1036" w:type="dxa"/>
            <w:gridSpan w:val="3"/>
            <w:tcBorders>
              <w:bottom w:val="single" w:sz="4" w:space="0" w:color="690031"/>
            </w:tcBorders>
            <w:tcMar>
              <w:top w:w="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Workiva</w:t>
            </w:r>
          </w:p>
        </w:tc>
      </w:tr>
    </w:tbl>
    <w:p>
      <w:pPr>
        <w:pStyle w:val="TextBody"/>
        <w:bidi w:val="0"/>
        <w:spacing w:lineRule="atLeast" w:line="220" w:before="0" w:after="360"/>
        <w:ind w:left="0" w:right="0" w:hanging="122"/>
        <w:jc w:val="left"/>
        <w:rPr>
          <w:rFonts w:ascii="Inter Light;sans-serif" w:hAnsi="Inter Light;sans-serif"/>
          <w:b w:val="false"/>
          <w:color w:val="636466"/>
          <w:sz w:val="16"/>
        </w:rPr>
      </w:pPr>
      <w:r>
        <w:rPr>
          <w:rFonts w:ascii="Inter Light;sans-serif" w:hAnsi="Inter Light;sans-serif"/>
          <w:b w:val="false"/>
          <w:color w:val="636466"/>
          <w:sz w:val="16"/>
        </w:rPr>
        <w:t>* Freshworks did not provide data to the Radford Global Technology executive compensation survey for the relevant period and therefore was not included in data collected from that survey for fiscal year 2025.</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Factors Used in Determining Executive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sets the compensation of our executive officers at levels it determines to be competitive and appropriate for each executive officer, relying on the professional experience and judgment of Compensation Committee members. Pay decisions are not made by use of a formulaic approach or benchmark; rather, our Compensation Committee believes executive pay decisions require consideration of a multitude of relevant factors which may vary from year to year. In making executive compensation decisions, our Compensation Committee generally takes into consideration the following factors: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company performance and existing business needs;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Asana's culture and values;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each named executive officer's individual performance, scope of job function and criticality of their skill set;</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the Compensation Committee's independent judgment;</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the need to attract new talent and retain existing talent in a highly competitive industry;</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each named executive officer's current outstanding equity holdings, equity ownership and total compensation;</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our CEO's recommendations (including his request to not personally receive compensation);</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aggregate compensation cost and impact on stockholder dilution;</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internal pay equity;</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market data provided by Compensia;</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survey data from Radford;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recommendations from Compensia, the Compensation Committee’s compensation consultant.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39140"/>
                <wp:effectExtent l="0" t="0" r="0" b="0"/>
                <wp:wrapNone/>
                <wp:docPr id="90"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uto" w:line="348" w:before="300" w:after="60"/>
        <w:jc w:val="left"/>
        <w:rPr>
          <w:rFonts w:ascii="Inter SemiBold;sans-serif" w:hAnsi="Inter SemiBold;sans-serif"/>
          <w:b w:val="false"/>
          <w:color w:val="FF584A"/>
          <w:sz w:val="24"/>
        </w:rPr>
      </w:pPr>
      <w:r>
        <w:rPr>
          <w:rFonts w:ascii="Inter SemiBold;sans-serif" w:hAnsi="Inter SemiBold;sans-serif"/>
          <w:b w:val="false"/>
          <w:color w:val="FF584A"/>
          <w:sz w:val="24"/>
        </w:rPr>
        <w:t>Fiscal Year 2025 Executive Compensation Program</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Base Salary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annual base salaries of our named executive officers for fiscal year 2025 are listed in the table below. Because of our focus on compensation that emphasizes long-term decision-making and our corresponding choice not to use short-term incentives, we reference competitive target total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cash compensation levels (the sum of base salary and short-term incentive opportunities) available at the companies in our compensation peer group when reviewing our base salary levels.</w:t>
      </w:r>
    </w:p>
    <w:tbl>
      <w:tblPr>
        <w:tblW w:w="10205" w:type="dxa"/>
        <w:jc w:val="left"/>
        <w:tblInd w:w="0" w:type="dxa"/>
        <w:tblLayout w:type="fixed"/>
        <w:tblCellMar>
          <w:top w:w="28" w:type="dxa"/>
          <w:left w:w="28" w:type="dxa"/>
          <w:bottom w:w="28" w:type="dxa"/>
          <w:right w:w="28" w:type="dxa"/>
        </w:tblCellMar>
      </w:tblPr>
      <w:tblGrid>
        <w:gridCol w:w="897"/>
        <w:gridCol w:w="777"/>
        <w:gridCol w:w="783"/>
        <w:gridCol w:w="504"/>
        <w:gridCol w:w="423"/>
        <w:gridCol w:w="376"/>
        <w:gridCol w:w="504"/>
        <w:gridCol w:w="423"/>
        <w:gridCol w:w="376"/>
        <w:gridCol w:w="109"/>
        <w:gridCol w:w="109"/>
        <w:gridCol w:w="109"/>
        <w:gridCol w:w="1369"/>
        <w:gridCol w:w="1369"/>
        <w:gridCol w:w="1373"/>
        <w:gridCol w:w="109"/>
        <w:gridCol w:w="109"/>
        <w:gridCol w:w="109"/>
        <w:gridCol w:w="109"/>
        <w:gridCol w:w="109"/>
        <w:gridCol w:w="159"/>
      </w:tblGrid>
      <w:tr>
        <w:trPr/>
        <w:tc>
          <w:tcPr>
            <w:tcW w:w="89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Named Executive Officer</w:t>
            </w:r>
          </w:p>
        </w:tc>
        <w:tc>
          <w:tcPr>
            <w:tcW w:w="1303"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Fiscal Year 2024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Base Salary</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303"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Fiscal Year 2025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Base Salary</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Percentage Increase in Base Salary from Fiscal Year 2024 to Fiscal Year 2025</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President &amp; Chief Executive Officer</w:t>
            </w:r>
          </w:p>
        </w:tc>
        <w:tc>
          <w:tcPr>
            <w:tcW w:w="927"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3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3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373"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Chief Financial Officer</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n/a</w:t>
            </w:r>
          </w:p>
        </w:tc>
        <w:tc>
          <w:tcPr>
            <w:tcW w:w="927"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(1)</w:t>
            </w:r>
          </w:p>
        </w:tc>
        <w:tc>
          <w:tcPr>
            <w:tcW w:w="4111"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(2)</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Tim Wan</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Former Chief Financial Officer</w:t>
            </w:r>
          </w:p>
        </w:tc>
        <w:tc>
          <w:tcPr>
            <w:tcW w:w="927"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710,000 </w:t>
            </w:r>
          </w:p>
        </w:tc>
        <w:tc>
          <w:tcPr>
            <w:tcW w:w="3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710,000 </w:t>
            </w:r>
          </w:p>
        </w:tc>
        <w:tc>
          <w:tcPr>
            <w:tcW w:w="3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(3)</w:t>
            </w:r>
          </w:p>
        </w:tc>
        <w:tc>
          <w:tcPr>
            <w:tcW w:w="2738"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1373"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Eleanor Lacey</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General Counsel and Corporate Secretary</w:t>
            </w:r>
          </w:p>
        </w:tc>
        <w:tc>
          <w:tcPr>
            <w:tcW w:w="927"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525,000 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660,000 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(4)</w:t>
            </w:r>
          </w:p>
        </w:tc>
        <w:tc>
          <w:tcPr>
            <w:tcW w:w="2738"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25.7 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Anne Raimondi</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Chief Operating Officer</w:t>
            </w:r>
          </w:p>
        </w:tc>
        <w:tc>
          <w:tcPr>
            <w:tcW w:w="927"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750,000 </w:t>
            </w:r>
          </w:p>
        </w:tc>
        <w:tc>
          <w:tcPr>
            <w:tcW w:w="37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750,000 </w:t>
            </w:r>
          </w:p>
        </w:tc>
        <w:tc>
          <w:tcPr>
            <w:tcW w:w="376"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2"/>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 </w:t>
            </w:r>
          </w:p>
        </w:tc>
        <w:tc>
          <w:tcPr>
            <w:tcW w:w="1373" w:type="dxa"/>
            <w:tcBorders>
              <w:bottom w:val="single" w:sz="4" w:space="0" w:color="690031"/>
            </w:tcBorders>
            <w:shd w:fill="FFEA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2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(1)Effective when Ms. Parekh commenced employment with us on September 11, 2024. </w:t>
      </w:r>
    </w:p>
    <w:p>
      <w:pPr>
        <w:pStyle w:val="TextBody"/>
        <w:bidi w:val="0"/>
        <w:spacing w:lineRule="atLeast" w:line="220" w:before="0" w:after="12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(2)Ms. Parekh was a new hire in fiscal year 2025.</w:t>
      </w:r>
    </w:p>
    <w:p>
      <w:pPr>
        <w:pStyle w:val="TextBody"/>
        <w:bidi w:val="0"/>
        <w:spacing w:lineRule="atLeast" w:line="220" w:before="0" w:after="12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(3)Mr. Wan served as our Chief Financial Officer until September 10, 2024.</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(4)Effective January 1, 2025, Ms. Lacey’s base salary increased from $525,000 to $660,000.</w:t>
      </w:r>
    </w:p>
    <w:p>
      <w:pPr>
        <w:pStyle w:val="TextBody"/>
        <w:bidi w:val="0"/>
        <w:spacing w:lineRule="atLeast" w:line="300" w:before="360" w:after="120"/>
        <w:jc w:val="left"/>
        <w:rPr>
          <w:rFonts w:ascii="Inter SemiBold;sans-serif" w:hAnsi="Inter SemiBold;sans-serif"/>
          <w:b/>
          <w:color w:val="690031"/>
          <w:sz w:val="22"/>
        </w:rPr>
      </w:pPr>
      <w:r>
        <w:rPr>
          <w:rFonts w:ascii="Inter SemiBold;sans-serif" w:hAnsi="Inter SemiBold;sans-serif"/>
          <w:b/>
          <w:color w:val="690031"/>
          <w:sz w:val="22"/>
        </w:rPr>
        <w:t>Equity Awards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Since our direct listing, we have granted equity compensation to our executive officers primarily in the form of RSU awards under our 2020 Equity Incentive Plan, and all equity awards granted to our named executive officers in fiscal year 2025 consisted of RSU awards. Our RSU awards are designed to encourage retention, promote long-term decision-making, minimize dilution to stockholders by utilizing fewer shares than equivalently valued stock options, and are designed to provide competitive market value for our equity awards.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equity awards granted to each of our tenured named executive officers during fiscal year 2025 are set forth in the table below. The shares subject to each annual RSU award granted to executive officers vest over four years in quarterly installments, with the first installment beginning on June 20, 2024, subject to the named executive officer’s continuous service through each applicable vesting date. As a new hire, Ms. Parekh’s initial RSU award has terms that differ from our other named executive officers, including a front-loaded vesting schedule.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59435"/>
                <wp:effectExtent l="0" t="0" r="0" b="0"/>
                <wp:wrapNone/>
                <wp:docPr id="91" name="Frame48"/>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43</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524"/>
        <w:gridCol w:w="461"/>
        <w:gridCol w:w="464"/>
        <w:gridCol w:w="220"/>
        <w:gridCol w:w="220"/>
        <w:gridCol w:w="222"/>
        <w:gridCol w:w="309"/>
        <w:gridCol w:w="309"/>
        <w:gridCol w:w="313"/>
        <w:gridCol w:w="109"/>
        <w:gridCol w:w="109"/>
        <w:gridCol w:w="109"/>
        <w:gridCol w:w="2069"/>
        <w:gridCol w:w="1994"/>
        <w:gridCol w:w="2773"/>
      </w:tblGrid>
      <w:tr>
        <w:trPr/>
        <w:tc>
          <w:tcPr>
            <w:tcW w:w="5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Named Executive Officer</w:t>
            </w:r>
          </w:p>
        </w:tc>
        <w:tc>
          <w:tcPr>
            <w:tcW w:w="66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Type of </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Grant</w:t>
            </w:r>
          </w:p>
        </w:tc>
        <w:tc>
          <w:tcPr>
            <w:tcW w:w="93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Shares</w:t>
              <w:b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Vesting Schedule</w:t>
            </w:r>
          </w:p>
        </w:tc>
      </w:tr>
      <w:tr>
        <w:trPr/>
        <w:tc>
          <w:tcPr>
            <w:tcW w:w="144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6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618"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313"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color w:val="0D0E10"/>
              </w:rPr>
            </w:pPr>
            <w:r>
              <w:rPr>
                <w:color w:val="0D0E10"/>
              </w:rPr>
              <w:t>—</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66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1,126,127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35% on the one-year anniversary of September 20, 2024, and front-loaded quarterly thereafter (7.5% quarterly for 4 quarters, 5% for 4 quarters thereafter and 3.75% for 4 quarters)</w:t>
            </w:r>
          </w:p>
        </w:tc>
      </w:tr>
      <w:tr>
        <w:trPr/>
        <w:tc>
          <w:tcPr>
            <w:tcW w:w="144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Tim Wan</w:t>
            </w:r>
          </w:p>
        </w:tc>
        <w:tc>
          <w:tcPr>
            <w:tcW w:w="66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93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325,252</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1/16 per quarter beginning June 20, 2024</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66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177,410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1/16 per quarter beginning June 20, 2024</w:t>
            </w:r>
          </w:p>
        </w:tc>
      </w:tr>
      <w:tr>
        <w:trPr/>
        <w:tc>
          <w:tcPr>
            <w:tcW w:w="1449"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662"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RSUs</w:t>
            </w:r>
          </w:p>
        </w:tc>
        <w:tc>
          <w:tcPr>
            <w:tcW w:w="931"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325,252</w:t>
            </w:r>
          </w:p>
        </w:tc>
        <w:tc>
          <w:tcPr>
            <w:tcW w:w="327"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Light;sans-serif" w:hAnsi="Inter Light;sans-serif"/>
                <w:b w:val="false"/>
                <w:color w:val="000000"/>
                <w:sz w:val="16"/>
              </w:rPr>
            </w:pPr>
            <w:r>
              <w:rPr>
                <w:rFonts w:ascii="Inter Light;sans-serif" w:hAnsi="Inter Light;sans-serif"/>
                <w:b w:val="false"/>
                <w:color w:val="000000"/>
                <w:sz w:val="16"/>
              </w:rPr>
              <w:t>1/16 per quarter beginning June 20, 2024</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number of shares issuable under each of the RSU awards in the table above was determined by dividing the target grant value of the award by the average closing price of our Class A common stock on the NYSE over a specific trading period prior to the grant date in order to reduce the impact of daily volatility on compensation outcomes. The grant date fair value of the RSU awards reported in the “Summary Compensation Table for Fiscal Year 2025” and the “Grants of Plan-Based Awards Table for Fiscal Year 2025” below is required to be reported calculated based on our stock price on the grant date, and as a result, such amount may be higher or lower than the target grant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Other Features of Our Executive Compensation Program</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Offer Letters and Employment Agreements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employee offer letters with our named executive officers. Each of these provides for at-will employment and sets forth the named executive officer’s annual base salary and equity entitlements at the time of our direct listing or their appointment. In addition, each of our named executive officers has executed our standard confidential information and invention assignment agreement.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These arrangements are further described under the subsection entitled “Employment, Severance, and Change in Control Arrangements—Offer Letters and Employment Agreements.”</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Severance and Change in Control Benefits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Each of our named executive officers participates in our Executive Severance and Change in Control Benefit Plan, or the Executive Severance Plan. The terms of the Executive Severance Plan are described under the subsection entitled “Employment, Severance, and Change in Control Arrangements—Executive Severance Plan.”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Given the nature of the technology industry and the range of strategic initiatives we may explore, our Compensation Committee believes the Executive Severance Plan is an essential element of our compensation program and assists us in recruiting, retaining and developing key management talent. Our Compensation Committee also believes the “double-trigger” severance payments and benefits are important from a retention perspective to provide assurance to our executive officers who might be terminated following a change in control of the Company and that the amounts are reasonable and maintain the competitiveness of our executive compensation program. Further, our Compensation Committee believes this structure serves to mitigate the distraction and loss of key executive officers that may occur in connection with a potential or actual change in control. Such payments protect the interests of our stockholders by enhancing executive focus during potential change in control activity, retaining executive officers despite the uncertainty that generally exists while a transaction is under consideration and encouraging the executive officers responsible for negotiating potential transactions to do so with independence and objectivity.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do not have any agreements with our named executive officers guaranteeing any tax gross-up payments on severance or change in control payments or benefits.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401(k) Plan, ESPP, Other Employee Benefits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We maintain a Section 401(k) retirement savings plan, or the 401(k) Plan, that provides eligible U.S. employees, including our named executive officers, with an opportunity to save for retirement on a tax-advantaged basis. Eligible employees are able to defer compensation up to certain limits provided in the Code and in IRS notices. In fiscal year 2025, we did not make matching contributions or discretionary contributions to the 401(k) Plan accounts of participating employees. The 401(k) Plan is intended to be qualified under Section 401(a) of the Code, with the related trust intended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39140"/>
                <wp:effectExtent l="0" t="0" r="0" b="0"/>
                <wp:wrapNone/>
                <wp:docPr id="92"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to be tax exempt under Section 501(a) of the Code. As a tax-qualified retirement plan, any contributions and earnings on those amounts are generally not taxable to a participating employee until withdrawn or distributed from the 401(k) Plan.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also offer our employees, including our named executive officers (other than Mr. Moskovitz who is not eligible due to his ownership in the Company), the opportunity to purchase shares of our common stock at a discount under our 2020 Employee Stock Purchase Plan, or ESPP. Pursuant to the ESPP, all eligible employees, including the eligible named executive officers, may allocate up to 15% of the participant’s earnings (as defined in the ESPP) for that year to purchase our Class A common stock at up to a 15% discount to the market price, subject to specified limits (including a maximum purchase of $25,000 per year as provided in the ESPP).</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addition, we provide other employee benefits to our named executive officers on the same basis as our other full-time employees in the U.S. These benefits include, but are not limited to, medical, dental, vision, life, disability, and accidental death and dismemberment insurance plans.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Perquisites and Other Personal Benefits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do not provide any material perquisites or other personal benefits to our executive officers, including our named executive officers.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Any practices and policies with respect to perquisites or other personal benefits to our executive officers are subject to review and approval by our Compensation Committee.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Pension Benefits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Other than with respect to our 401(k) Plan, our U.S. employees, including our named executive officers, do not participate in any plan that provides for retirement payments and benefits, or payments and benefits that will be provided primarily following retirement.</w:t>
      </w: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Tax and Accounting Implications</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Accounting for Stock-Based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Under Financial Accounting Standard Board ASC Topic 718, or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our Compensation Committee considers in determining the structure and size of our executive compensation programs.</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Deductibility of Executive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Under Section 162(m) of the Code, or Section 162(m), compensation paid to each of our “covered employees” that exceeds $1 million per taxable year is generally non-deductible. Although our Compensation Committee will continue to consider tax implications as one factor in determining executive compensation, our Compensation Committee also looks at other factors in making its decisions and retains the flexibility to provide compensation for our named executive officers in a manner consistent with the goals of our executive compensation program and the best interests of the Company and its stockholders, which may include providing for compensation that is not deductible by the Company due to the deduction limit under Section 162(m).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Other Compensation Policies and Practices</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Stock Ownership Policy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May 2023, to further align the interests of our management team with those of our stockholders, our Board of Directors adopted a stock ownership policy applicable to our executive officers and other senior employees. The policy requires that, by the later of February 28, 2029 or the fifth fiscal year of the covered individual's hiring or promotion into a covered role, the covered individual own at least a number of shares of common stock equal to:</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 xml:space="preserve">CEO: </w:t>
      </w:r>
      <w:r>
        <w:rPr>
          <w:rFonts w:ascii="Inter Light;sans-serif" w:hAnsi="Inter Light;sans-serif"/>
          <w:b w:val="false"/>
          <w:color w:val="0D0E10"/>
          <w:sz w:val="18"/>
        </w:rPr>
        <w:t>five times annual base salary;</w:t>
      </w:r>
    </w:p>
    <w:p>
      <w:pPr>
        <w:pStyle w:val="TextBody"/>
        <w:bidi w:val="0"/>
        <w:spacing w:lineRule="atLeast" w:line="260" w:before="0" w:after="120"/>
        <w:ind w:left="0" w:right="0" w:hanging="270"/>
        <w:jc w:val="left"/>
        <w:rPr/>
      </w:pPr>
      <w:r>
        <w:rPr>
          <w:color w:val="000000"/>
        </w:rPr>
        <w:t>•</w:t>
      </w:r>
      <w:r>
        <w:rPr>
          <w:rFonts w:ascii="Inter SemiBold;sans-serif" w:hAnsi="Inter SemiBold;sans-serif"/>
          <w:b/>
          <w:color w:val="000000"/>
          <w:sz w:val="18"/>
        </w:rPr>
        <w:t>Other executive officers:</w:t>
      </w:r>
      <w:r>
        <w:rPr>
          <w:color w:val="0D0E10"/>
        </w:rPr>
        <w:t xml:space="preserve"> </w:t>
      </w:r>
      <w:r>
        <w:rPr>
          <w:rFonts w:ascii="Inter Light;sans-serif" w:hAnsi="Inter Light;sans-serif"/>
          <w:b w:val="false"/>
          <w:color w:val="0D0E10"/>
          <w:sz w:val="18"/>
        </w:rPr>
        <w:t>three times annual base salary for Level 12 employees, including each of our named executive officers and all of our Section 16 officers (excluding our CEO); and</w:t>
      </w:r>
    </w:p>
    <w:p>
      <w:pPr>
        <w:pStyle w:val="TextBody"/>
        <w:bidi w:val="0"/>
        <w:spacing w:lineRule="atLeast" w:line="260" w:before="0" w:after="180"/>
        <w:ind w:left="0" w:right="0" w:hanging="270"/>
        <w:jc w:val="left"/>
        <w:rPr/>
      </w:pPr>
      <w:r>
        <w:rPr>
          <w:color w:val="000000"/>
        </w:rPr>
        <w:t>•</w:t>
      </w:r>
      <w:r>
        <w:rPr>
          <w:rFonts w:ascii="Inter SemiBold;sans-serif" w:hAnsi="Inter SemiBold;sans-serif"/>
          <w:b/>
          <w:color w:val="000000"/>
          <w:sz w:val="18"/>
        </w:rPr>
        <w:t xml:space="preserve">Other employees: </w:t>
      </w:r>
      <w:r>
        <w:rPr>
          <w:rFonts w:ascii="Inter Light;sans-serif" w:hAnsi="Inter Light;sans-serif"/>
          <w:b w:val="false"/>
          <w:color w:val="0D0E10"/>
          <w:sz w:val="18"/>
        </w:rPr>
        <w:t>two times annual base salary and one time annual base salary for Level 11 and Level 10 employees,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59435"/>
                <wp:effectExtent l="0" t="0" r="0" b="0"/>
                <wp:wrapNone/>
                <wp:docPr id="93" name="Frame50"/>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45</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Policy Prohibiting Hedging and Pledging of Our Equity Securities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insider trading policy prohibits our employees, including our executive officers and the non-employee members of our Board of Directors, from engaging in short sales, hedging of stock ownership positions, and transactions involving derivative securities relating to our common stock; pledging our securities as collateral for loans; and holding Company securities in margin accounts.</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Rule 10b5-1 Trading Plans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executive officers and directors may conduct purchase or sale transactions under a trading plan established pursuant to Rule 10b5-1 under the Exchange Act. Through a Rule 10b5-1 trading plan, the executive officer or director contracts with a broker to buy or sell shares of our common stock on a periodic basis pursuant to a set of pre-arranged instructions inclusive of a mandatory cooling off period. The broker then executes the trades pursuant to the terms of the plan.</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Clawback Policy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In May 2023, our Compensation Committee adopted a Clawback Policy applicable to all of our current and former executive officers as defined under Rule 16a-1(f) under Section 16 of the Exchange Act, including our named executive officers. Under this policy, our Compensation Committee is obligated to recover erroneously awarded incentive-based compensation, if any, in the event we are required to prepare an accounting restatement due to material noncompliance with any financial reporting requirement under the securities laws. This policy is intended to satisfy the requirements of Section 954 of the Dodd-Frank Wall Street Reform and Consumer Protection Act and any related rules or regulations promulgated by the SEC or the NYSE.</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Option Awards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We do not currently grant new awards of stock options, stock appreciation rights, or similar option-like instruments. Accordingly, Asana has no specific policy or practice on the timing of awards of such options in relation to the disclosure of material nonpublic information by the Company. In the event we determine to grant new awards of such options,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will evaluate the appropriate steps to take in relation to the foregoing.</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Compensation Risk Assessment</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reviews our compensation program, including compensation levels, designs, practices and policies, to understand if there are any areas that are likely to promote excessive risk-taking or create risks that could have a material adverse effect on the Company. Based on the review, we believe that, through a combination of risk-mitigating features and incentives guided by relevant market practices, our compensation programs, policies and practices do not create risks that are reasonably likely to have a material adverse effect on the Company. The following features are noted as strong mitigating features: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we provide a balance of fixed and performance-based compensation;</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our long-term incentive awards vest over time, generally over four years;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our executives, including our executive officers, are subject to meaningful stock ownership guidelines;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we have a prohibition on hedging and pledging of our common stock;</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we have an independent Compensation Committee; and</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our Compensation Committee engages an independent compensation consultant.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Stockholder Engagement and Advisory Vote on Executive Compensation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value the input of our stockholders on our compensation programs. We hold an advisory vote on executive compensation on an annual basis. We also regularly communicate with our stockholders to better understand their opinions on governance issues, including compensation. Specific to our 2024 Say on Pay results, 99% of the votes cast were voted “FOR” approval of our executive compensation proposal (excluding broker non-votes). Our Compensation Committee considered the result of this vote, believes that it affirms our stockholders’ support for our approach to executive compensation and concluded that no specific changes to our executive compensation policies were warranted as a result of the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39140"/>
                <wp:effectExtent l="0" t="0" r="0" b="0"/>
                <wp:wrapNone/>
                <wp:docPr id="94" name="Frame5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Summary Compensation Table for Fiscal Year 2025</w:t>
      </w:r>
    </w:p>
    <w:p>
      <w:pPr>
        <w:pStyle w:val="TextBody"/>
        <w:bidi w:val="0"/>
        <w:spacing w:lineRule="atLeast" w:line="260" w:before="0" w:after="0"/>
        <w:jc w:val="left"/>
        <w:rPr>
          <w:rFonts w:ascii="Inter Light;sans-serif" w:hAnsi="Inter Light;sans-serif"/>
          <w:b w:val="false"/>
          <w:color w:val="000000"/>
          <w:sz w:val="18"/>
        </w:rPr>
      </w:pPr>
      <w:r>
        <w:rPr>
          <w:rFonts w:ascii="Inter Light;sans-serif" w:hAnsi="Inter Light;sans-serif"/>
          <w:b w:val="false"/>
          <w:color w:val="000000"/>
          <w:sz w:val="18"/>
        </w:rPr>
        <w:t>The following table presents all of the compensation, rounded to the nearest whole dollar, awarded to or earned by or paid to our named executive officers during the fiscal years ended January 31, 2025, January 31, 2024, and January 31, 2023, with respect to each named executive officer’s service in their respective roles.</w:t>
      </w:r>
    </w:p>
    <w:tbl>
      <w:tblPr>
        <w:tblW w:w="8212" w:type="dxa"/>
        <w:jc w:val="left"/>
        <w:tblInd w:w="0" w:type="dxa"/>
        <w:tblLayout w:type="fixed"/>
        <w:tblCellMar>
          <w:top w:w="28" w:type="dxa"/>
          <w:left w:w="28" w:type="dxa"/>
          <w:bottom w:w="28" w:type="dxa"/>
          <w:right w:w="28" w:type="dxa"/>
        </w:tblCellMar>
      </w:tblPr>
      <w:tblGrid>
        <w:gridCol w:w="1252"/>
        <w:gridCol w:w="1104"/>
        <w:gridCol w:w="1108"/>
        <w:gridCol w:w="109"/>
        <w:gridCol w:w="109"/>
        <w:gridCol w:w="109"/>
        <w:gridCol w:w="175"/>
        <w:gridCol w:w="175"/>
        <w:gridCol w:w="176"/>
        <w:gridCol w:w="109"/>
        <w:gridCol w:w="109"/>
        <w:gridCol w:w="109"/>
        <w:gridCol w:w="259"/>
        <w:gridCol w:w="259"/>
        <w:gridCol w:w="263"/>
        <w:gridCol w:w="459"/>
        <w:gridCol w:w="459"/>
        <w:gridCol w:w="461"/>
        <w:gridCol w:w="344"/>
        <w:gridCol w:w="344"/>
        <w:gridCol w:w="348"/>
        <w:gridCol w:w="109"/>
        <w:gridCol w:w="109"/>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 and</w:t>
              <w:br/>
              <w:t>Principal Position</w:t>
            </w:r>
          </w:p>
        </w:tc>
        <w:tc>
          <w:tcPr>
            <w:tcW w:w="1180" w:type="dxa"/>
            <w:gridSpan w:val="9"/>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 xml:space="preserve">Fiscal </w:t>
              <w:br/>
              <w:t>Year</w:t>
            </w:r>
          </w:p>
        </w:tc>
        <w:tc>
          <w:tcPr>
            <w:tcW w:w="78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Salary</w:t>
              <w:br/>
              <w:t>($)</w:t>
            </w:r>
          </w:p>
        </w:tc>
        <w:tc>
          <w:tcPr>
            <w:tcW w:w="1379"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Stock Awards</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03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Total</w:t>
              <w:br/>
              <w:t>($)</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President &amp; Chief Executive Officer</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2024</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137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2023</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137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327"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0"/>
              </w:rPr>
            </w:pPr>
            <w:r>
              <w:rPr>
                <w:rFonts w:ascii="Inter Light;sans-serif" w:hAnsi="Inter Light;sans-serif"/>
                <w:b w:val="false"/>
                <w:color w:val="0D0E10"/>
                <w:sz w:val="10"/>
              </w:rPr>
              <w:t>(2)</w:t>
            </w:r>
          </w:p>
        </w:tc>
        <w:tc>
          <w:tcPr>
            <w:tcW w:w="781"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290,625</w:t>
            </w:r>
          </w:p>
        </w:tc>
        <w:tc>
          <w:tcPr>
            <w:tcW w:w="1379"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13,141,902</w:t>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13,432,527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Tim Wan</w:t>
            </w:r>
          </w:p>
          <w:p>
            <w:pPr>
              <w:pStyle w:val="TableContents"/>
              <w:bidi w:val="0"/>
              <w:spacing w:lineRule="atLeast" w:line="220" w:before="0" w:after="0"/>
              <w:jc w:val="left"/>
              <w:rPr/>
            </w:pPr>
            <w:r>
              <w:rPr>
                <w:rFonts w:ascii="Inter Light;sans-serif" w:hAnsi="Inter Light;sans-serif"/>
                <w:b w:val="false"/>
                <w:color w:val="0D0E10"/>
                <w:sz w:val="16"/>
              </w:rPr>
              <w:t>Former Chief Financial Officer</w:t>
            </w:r>
            <w:r>
              <w:rPr>
                <w:rFonts w:ascii="Inter Light;sans-serif" w:hAnsi="Inter Light;sans-serif"/>
                <w:b w:val="false"/>
                <w:color w:val="0D0E10"/>
                <w:sz w:val="10"/>
              </w:rPr>
              <w:t>(3)</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470,644</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4,794,214</w:t>
            </w:r>
          </w:p>
        </w:tc>
        <w:tc>
          <w:tcPr>
            <w:tcW w:w="1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5,264,858</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2024</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710,000</w:t>
            </w:r>
          </w:p>
        </w:tc>
        <w:tc>
          <w:tcPr>
            <w:tcW w:w="137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4,137,810</w:t>
            </w:r>
          </w:p>
        </w:tc>
        <w:tc>
          <w:tcPr>
            <w:tcW w:w="103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4,847,810</w:t>
            </w:r>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2023</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706,667</w:t>
            </w:r>
          </w:p>
        </w:tc>
        <w:tc>
          <w:tcPr>
            <w:tcW w:w="137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3,749,507</w:t>
            </w:r>
          </w:p>
        </w:tc>
        <w:tc>
          <w:tcPr>
            <w:tcW w:w="103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4,456,174</w:t>
            </w:r>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restart"/>
            <w:tcBorders/>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Eleanor Lacey</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General Counsel &amp;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536,250</w:t>
            </w:r>
          </w:p>
        </w:tc>
        <w:tc>
          <w:tcPr>
            <w:tcW w:w="1379"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2,615,023</w:t>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3,151,274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2024</w:t>
            </w:r>
          </w:p>
        </w:tc>
        <w:tc>
          <w:tcPr>
            <w:tcW w:w="327"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525,000</w:t>
            </w:r>
          </w:p>
        </w:tc>
        <w:tc>
          <w:tcPr>
            <w:tcW w:w="137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1,697,565</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2,222,565</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2023</w:t>
            </w:r>
          </w:p>
        </w:tc>
        <w:tc>
          <w:tcPr>
            <w:tcW w:w="327"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522,500</w:t>
            </w:r>
          </w:p>
        </w:tc>
        <w:tc>
          <w:tcPr>
            <w:tcW w:w="137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1,501,775</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2,024,275</w:t>
            </w:r>
          </w:p>
        </w:tc>
        <w:tc>
          <w:tcPr>
            <w:tcW w:w="372"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restart"/>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Anne Raimondi</w:t>
            </w:r>
          </w:p>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Chief Operating Officer</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w:t>
            </w:r>
          </w:p>
        </w:tc>
        <w:tc>
          <w:tcPr>
            <w:tcW w:w="137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4,794,214</w:t>
            </w:r>
          </w:p>
        </w:tc>
        <w:tc>
          <w:tcPr>
            <w:tcW w:w="103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5,544,214</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continue"/>
            <w:tcBorders>
              <w:bottom w:val="single" w:sz="4" w:space="0" w:color="690031"/>
            </w:tcBorders>
            <w:shd w:fill="FFEAEC" w:val="clear"/>
            <w:tcMar>
              <w:top w:w="0" w:type="dxa"/>
              <w:left w:w="0" w:type="dxa"/>
              <w:bottom w:w="30" w:type="dxa"/>
              <w:right w:w="0" w:type="dxa"/>
            </w:tcMar>
            <w:vAlign w:val="center"/>
          </w:tcPr>
          <w:p>
            <w:pPr>
              <w:pStyle w:val="Normal"/>
              <w:bidi w:val="0"/>
              <w:jc w:val="left"/>
              <w:rPr/>
            </w:pPr>
            <w:r>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2024</w:t>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w:t>
            </w:r>
          </w:p>
        </w:tc>
        <w:tc>
          <w:tcPr>
            <w:tcW w:w="137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4,137,810</w:t>
            </w:r>
          </w:p>
        </w:tc>
        <w:tc>
          <w:tcPr>
            <w:tcW w:w="103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4,887,810</w:t>
            </w:r>
          </w:p>
        </w:tc>
        <w:tc>
          <w:tcPr>
            <w:tcW w:w="372"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vMerge w:val="continue"/>
            <w:tcBorders>
              <w:bottom w:val="single" w:sz="4" w:space="0" w:color="690031"/>
            </w:tcBorders>
            <w:shd w:fill="FFEAEC" w:val="clear"/>
            <w:tcMar>
              <w:top w:w="0" w:type="dxa"/>
              <w:left w:w="0" w:type="dxa"/>
              <w:bottom w:w="30" w:type="dxa"/>
              <w:right w:w="0" w:type="dxa"/>
            </w:tcMar>
            <w:vAlign w:val="center"/>
          </w:tcPr>
          <w:p>
            <w:pPr>
              <w:pStyle w:val="Normal"/>
              <w:bidi w:val="0"/>
              <w:jc w:val="left"/>
              <w:rPr/>
            </w:pPr>
            <w:r>
              <w:rPr/>
            </w:r>
          </w:p>
        </w:tc>
        <w:tc>
          <w:tcPr>
            <w:tcW w:w="327"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2023</w:t>
            </w:r>
          </w:p>
        </w:tc>
        <w:tc>
          <w:tcPr>
            <w:tcW w:w="327"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745,833</w:t>
            </w:r>
          </w:p>
        </w:tc>
        <w:tc>
          <w:tcPr>
            <w:tcW w:w="1379"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3,280,199</w:t>
            </w:r>
          </w:p>
        </w:tc>
        <w:tc>
          <w:tcPr>
            <w:tcW w:w="1036"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4,026,032</w:t>
            </w:r>
          </w:p>
        </w:tc>
        <w:tc>
          <w:tcPr>
            <w:tcW w:w="372" w:type="dxa"/>
            <w:gridSpan w:val="3"/>
            <w:tcBorders>
              <w:top w:val="single" w:sz="2"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(1)Amounts reported represent the aggregate grant date fair value of restricted stock unit awards and stock options granted under our 2020 Equity Incentive Plan in each respective fiscal year as determined in accordance with ASC Topic 718. These awards represent the right to receive shares of our Class A common stock and the grant date fair value is calculated based on the number of shares granted subject to the awards, multiplied by the closing price per share of our Class A common stock on the grant date. The assumptions used to calculate the grant date value of these awards are set forth in the notes to our consolidated financial statements included in our Annual Report on Form 10-K for the fiscal year ended January 31, 2025. The number of shares issuable under initial RSU awards received by NEOs upon commencing employment with us is calculated by dividing the total value of the NEO’s applicable RSU award by the average closing price of our Class A Common Stock on each trading day for the month prior to the grant date. The number of shares issuable under refresh RSU awards received by each tenured NEO is calculated by dividing the total value of the NEO’s applicable RSU award by the closing price of our Class A Common Stock on each trading day for the two months prior to the grant date. These amounts do not reflect the actual economic value that may be realized by our named executive officers upon the vesting or settlement of the equity awards.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(2)Ms. Parekh commenced employment with us on September 11, 2024. The amount reported in the Stock Awards column for Ms. Parekh represents the grant date fair value of her initial $15,000,000 RSU award, after calculating the number of RSUs to be granted in accordance with the Company’s policy at the time of grant (as described in the preceding footnote).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(3)Mr. Wan resigned from his position as our Chief Financial Officer effective September 10, 2024 and served in an advisory role until September 27, 2024. The amount reported in the Salary column for Mr. Wan includes $435,145 earned or paid to Mr. Wan for his service as our Chief Financial Officer through September 10, 2024 and $35,499 earned or paid to Mr. Wan for his service as an advisor to the Chief Financial Officer from September 11, 2024 through September 27,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59435"/>
                <wp:effectExtent l="0" t="0" r="0" b="0"/>
                <wp:wrapNone/>
                <wp:docPr id="95" name="Frame52"/>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47</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Grants of Plan-Based Awards Table for Fiscal Year 2025</w:t>
      </w:r>
    </w:p>
    <w:tbl>
      <w:tblPr>
        <w:tblW w:w="10205" w:type="dxa"/>
        <w:jc w:val="left"/>
        <w:tblInd w:w="0" w:type="dxa"/>
        <w:tblLayout w:type="fixed"/>
        <w:tblCellMar>
          <w:top w:w="28" w:type="dxa"/>
          <w:left w:w="28" w:type="dxa"/>
          <w:bottom w:w="28" w:type="dxa"/>
          <w:right w:w="28" w:type="dxa"/>
        </w:tblCellMar>
      </w:tblPr>
      <w:tblGrid>
        <w:gridCol w:w="492"/>
        <w:gridCol w:w="432"/>
        <w:gridCol w:w="435"/>
        <w:gridCol w:w="285"/>
        <w:gridCol w:w="285"/>
        <w:gridCol w:w="287"/>
        <w:gridCol w:w="1327"/>
        <w:gridCol w:w="1290"/>
        <w:gridCol w:w="1295"/>
        <w:gridCol w:w="109"/>
        <w:gridCol w:w="109"/>
        <w:gridCol w:w="109"/>
        <w:gridCol w:w="1177"/>
        <w:gridCol w:w="1095"/>
        <w:gridCol w:w="1100"/>
        <w:gridCol w:w="109"/>
        <w:gridCol w:w="109"/>
        <w:gridCol w:w="160"/>
      </w:tblGrid>
      <w:tr>
        <w:trPr/>
        <w:tc>
          <w:tcPr>
            <w:tcW w:w="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857"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Grant </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Date</w:t>
            </w:r>
          </w:p>
        </w:tc>
        <w:tc>
          <w:tcPr>
            <w:tcW w:w="391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All Other Stock Awards: Number of Shares of Stock or Units</w:t>
              <w:b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Grant Date Fair Value of Stock and Option Awards</w:t>
            </w:r>
          </w:p>
          <w:p>
            <w:pPr>
              <w:pStyle w:val="TableContents"/>
              <w:bidi w:val="0"/>
              <w:spacing w:lineRule="atLeast" w:line="220" w:before="0" w:after="0"/>
              <w:jc w:val="right"/>
              <w:rPr/>
            </w:pPr>
            <w:r>
              <w:rPr>
                <w:rFonts w:ascii="Inter Medium;sans-serif" w:hAnsi="Inter Medium;sans-serif"/>
                <w:b w:val="false"/>
                <w:color w:val="FFEAEC"/>
                <w:sz w:val="16"/>
              </w:rPr>
              <w:t>($)</w:t>
            </w:r>
            <w:r>
              <w:rPr>
                <w:rFonts w:ascii="Inter Medium;sans-serif" w:hAnsi="Inter Medium;sans-serif"/>
                <w:b w:val="false"/>
                <w:color w:val="FFEAEC"/>
                <w:sz w:val="10"/>
              </w:rPr>
              <w:t>(1)</w:t>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85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391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85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9/11/2024</w:t>
            </w:r>
          </w:p>
        </w:tc>
        <w:tc>
          <w:tcPr>
            <w:tcW w:w="391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1,126,127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(2)</w:t>
            </w:r>
          </w:p>
        </w:tc>
        <w:tc>
          <w:tcPr>
            <w:tcW w:w="337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13,141,902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Tim Wan</w:t>
            </w:r>
          </w:p>
        </w:tc>
        <w:tc>
          <w:tcPr>
            <w:tcW w:w="85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5/23/2024</w:t>
            </w:r>
          </w:p>
        </w:tc>
        <w:tc>
          <w:tcPr>
            <w:tcW w:w="391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325,252</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(3)</w:t>
            </w:r>
          </w:p>
        </w:tc>
        <w:tc>
          <w:tcPr>
            <w:tcW w:w="337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4,794,214</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85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5/23/2024</w:t>
            </w:r>
          </w:p>
        </w:tc>
        <w:tc>
          <w:tcPr>
            <w:tcW w:w="391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177,410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(4)</w:t>
            </w:r>
          </w:p>
        </w:tc>
        <w:tc>
          <w:tcPr>
            <w:tcW w:w="337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2,615,023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9"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857"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5/23/2024</w:t>
            </w:r>
          </w:p>
        </w:tc>
        <w:tc>
          <w:tcPr>
            <w:tcW w:w="3912"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325,252</w:t>
            </w:r>
          </w:p>
        </w:tc>
        <w:tc>
          <w:tcPr>
            <w:tcW w:w="327"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(5)</w:t>
            </w:r>
          </w:p>
        </w:tc>
        <w:tc>
          <w:tcPr>
            <w:tcW w:w="3372"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4,794,214</w:t>
            </w:r>
          </w:p>
        </w:tc>
        <w:tc>
          <w:tcPr>
            <w:tcW w:w="378"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(1)The grant date fair value of each equity award is computed in accordance with FASB ASC 718. The amounts reported in this column reflect the accounting cost for these equity awards as of each respective grant date and do not correspond to the actual economic value that may be received by the NEOs upon the vesting or settlement of the equity awards.</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(2)Subject to Ms. Parekh’s continuous service with us through each applicable vesting date, 35% of the shares subject to the RSU award will vest on September 20, 2025, 7.5% of the shares subject to the RSU award will vest in four equal quarterly installments beginning on December 20, 2025, 5% of shares subject to the RSU award will vest in four equal quarterly installments beginning on December 20, 2026, and 3.75% of the shares subject to the RSU award will vest in four equal quarterly installments beginning on December 20, 2027.</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(3)The shares subject to the RSU award vest in 16 equal quarterly installments, with the first installment beginning on June 20, 2024, and until Mr. Wan's departure from Asana on September 27, 2024.</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(4)The shares subject to the RSU award vest in 16 equal quarterly installments, with the first installment beginning on June 20, 2024, subject to Ms. Lacey's continuous service through each applicable vesting date.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(5)The shares subject to the RSU award vest in 16 equal quarterly installments, with the first installment beginning on June 20, 2024, subject to Ms. Raimondi's continuous service through each applicable vesting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39140"/>
                <wp:effectExtent l="0" t="0" r="0" b="0"/>
                <wp:wrapNone/>
                <wp:docPr id="96" name="Frame5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48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Outstanding Equity Awards at Fiscal Year-End Table for Fiscal Year 2025</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provides information regarding the outstanding exercisable and unexercisable stock options and unvested restricted stock unit awards held by our named executive officers as of January 31, 2025. The market value of the stock awards was calculated by multiplying the number of shares of our Class A common stock subject to each award by $21.34, which was the closing market price per share of our Class A common stock on January 31, 2025, the last trading day of fiscal year 2025.</w:t>
      </w:r>
    </w:p>
    <w:tbl>
      <w:tblPr>
        <w:tblW w:w="10205" w:type="dxa"/>
        <w:jc w:val="left"/>
        <w:tblInd w:w="0" w:type="dxa"/>
        <w:tblLayout w:type="fixed"/>
        <w:tblCellMar>
          <w:top w:w="28" w:type="dxa"/>
          <w:left w:w="28" w:type="dxa"/>
          <w:bottom w:w="28" w:type="dxa"/>
          <w:right w:w="28" w:type="dxa"/>
        </w:tblCellMar>
      </w:tblPr>
      <w:tblGrid>
        <w:gridCol w:w="413"/>
        <w:gridCol w:w="363"/>
        <w:gridCol w:w="366"/>
        <w:gridCol w:w="274"/>
        <w:gridCol w:w="274"/>
        <w:gridCol w:w="275"/>
        <w:gridCol w:w="490"/>
        <w:gridCol w:w="430"/>
        <w:gridCol w:w="295"/>
        <w:gridCol w:w="490"/>
        <w:gridCol w:w="490"/>
        <w:gridCol w:w="386"/>
        <w:gridCol w:w="328"/>
        <w:gridCol w:w="328"/>
        <w:gridCol w:w="329"/>
        <w:gridCol w:w="320"/>
        <w:gridCol w:w="320"/>
        <w:gridCol w:w="321"/>
        <w:gridCol w:w="664"/>
        <w:gridCol w:w="567"/>
        <w:gridCol w:w="569"/>
        <w:gridCol w:w="634"/>
        <w:gridCol w:w="439"/>
        <w:gridCol w:w="457"/>
        <w:gridCol w:w="109"/>
        <w:gridCol w:w="109"/>
        <w:gridCol w:w="16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12"/>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Option Awards</w:t>
            </w:r>
          </w:p>
        </w:tc>
        <w:tc>
          <w:tcPr>
            <w:tcW w:w="3330" w:type="dxa"/>
            <w:gridSpan w:val="6"/>
            <w:tcBorders>
              <w:left w:val="single" w:sz="4" w:space="0" w:color="FFEAEC"/>
            </w:tcBorders>
            <w:shd w:fill="690031" w:val="clear"/>
            <w:tcMar>
              <w:top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Stock Awards</w:t>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6"/>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Number of Securities </w:t>
            </w:r>
          </w:p>
          <w:p>
            <w:pPr>
              <w:pStyle w:val="TableContents"/>
              <w:bidi w:val="0"/>
              <w:spacing w:lineRule="atLeast" w:line="220" w:before="0" w:after="0"/>
              <w:jc w:val="center"/>
              <w:rPr/>
            </w:pPr>
            <w:r>
              <w:rPr>
                <w:rFonts w:ascii="Inter Medium;sans-serif" w:hAnsi="Inter Medium;sans-serif"/>
                <w:b w:val="false"/>
                <w:color w:val="FFEAEC"/>
                <w:sz w:val="16"/>
              </w:rPr>
              <w:t>Underlying Unexercised Options</w:t>
            </w:r>
            <w:r>
              <w:rPr>
                <w:rFonts w:ascii="Inter Medium;sans-serif" w:hAnsi="Inter Medium;sans-serif"/>
                <w:b w:val="false"/>
                <w:color w:val="FFEAEC"/>
                <w:sz w:val="10"/>
              </w:rPr>
              <w:t>(2)</w:t>
            </w:r>
          </w:p>
        </w:tc>
        <w:tc>
          <w:tcPr>
            <w:tcW w:w="985"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Exercise Price</w:t>
              <w:br/>
              <w:t>($)</w:t>
            </w:r>
          </w:p>
        </w:tc>
        <w:tc>
          <w:tcPr>
            <w:tcW w:w="961"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Expiration</w:t>
              <w:br/>
              <w:t>Date</w:t>
            </w:r>
          </w:p>
        </w:tc>
        <w:tc>
          <w:tcPr>
            <w:tcW w:w="1800"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Number of Shares that Have Not Vested</w:t>
              <w:br/>
              <w:t>(#)</w:t>
            </w:r>
          </w:p>
        </w:tc>
        <w:tc>
          <w:tcPr>
            <w:tcW w:w="1530"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Market Value of Shares that </w:t>
            </w:r>
          </w:p>
          <w:p>
            <w:pPr>
              <w:pStyle w:val="TableContents"/>
              <w:bidi w:val="0"/>
              <w:spacing w:lineRule="atLeast" w:line="220" w:before="0" w:after="0"/>
              <w:jc w:val="right"/>
              <w:rPr/>
            </w:pPr>
            <w:r>
              <w:rPr>
                <w:rFonts w:ascii="Inter Medium;sans-serif" w:hAnsi="Inter Medium;sans-serif"/>
                <w:b w:val="false"/>
                <w:color w:val="FFEAEC"/>
                <w:sz w:val="16"/>
              </w:rPr>
              <w:t>Have Not Vested</w:t>
            </w:r>
            <w:r>
              <w:rPr>
                <w:rFonts w:ascii="Inter Medium;sans-serif" w:hAnsi="Inter Medium;sans-serif"/>
                <w:b w:val="false"/>
                <w:color w:val="FFEAEC"/>
                <w:sz w:val="10"/>
              </w:rPr>
              <w:t>(3)</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6"/>
            <w:tcBorders>
              <w:bottom w:val="single" w:sz="4" w:space="0" w:color="FFEAEC"/>
            </w:tcBorders>
            <w:shd w:fill="69003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80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53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6"/>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80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53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823"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pPr>
            <w:r>
              <w:rPr>
                <w:rFonts w:ascii="Inter Medium;sans-serif" w:hAnsi="Inter Medium;sans-serif"/>
                <w:b w:val="false"/>
                <w:color w:val="FFEAEC"/>
                <w:sz w:val="16"/>
              </w:rPr>
              <w:t>Grant Date</w:t>
            </w:r>
            <w:r>
              <w:rPr>
                <w:rFonts w:ascii="Inter Medium;sans-serif" w:hAnsi="Inter Medium;sans-serif"/>
                <w:b w:val="false"/>
                <w:color w:val="FFEAEC"/>
                <w:sz w:val="10"/>
              </w:rPr>
              <w:t>(1)</w:t>
            </w:r>
          </w:p>
        </w:tc>
        <w:tc>
          <w:tcPr>
            <w:tcW w:w="121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Exercisable</w:t>
            </w:r>
          </w:p>
        </w:tc>
        <w:tc>
          <w:tcPr>
            <w:tcW w:w="136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Unexercisable</w:t>
            </w:r>
          </w:p>
        </w:tc>
        <w:tc>
          <w:tcPr>
            <w:tcW w:w="985"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6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80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530"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EAEC" w:val="clear"/>
            <w:tcMar>
              <w:top w:w="0" w:type="dxa"/>
              <w:left w:w="0" w:type="dxa"/>
              <w:bottom w:w="0" w:type="dxa"/>
              <w:right w:w="0" w:type="dxa"/>
            </w:tcMar>
            <w:vAlign w:val="center"/>
          </w:tcPr>
          <w:p>
            <w:pPr>
              <w:pStyle w:val="TableContents"/>
              <w:bidi w:val="0"/>
              <w:spacing w:lineRule="atLeast" w:line="220" w:before="100" w:after="100"/>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82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21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3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tLeast" w:line="220" w:before="100" w:after="100"/>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823" w:type="dxa"/>
            <w:gridSpan w:val="3"/>
            <w:tcBorders/>
            <w:tcMar>
              <w:top w:w="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9/11/2024</w:t>
            </w:r>
            <w:r>
              <w:rPr>
                <w:rFonts w:ascii="Inter Light;sans-serif" w:hAnsi="Inter Light;sans-serif"/>
                <w:b w:val="false"/>
                <w:color w:val="0D0E10"/>
                <w:sz w:val="10"/>
              </w:rPr>
              <w:t>(4)</w:t>
            </w:r>
          </w:p>
        </w:tc>
        <w:tc>
          <w:tcPr>
            <w:tcW w:w="1215"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1,126,127</w:t>
            </w:r>
          </w:p>
        </w:tc>
        <w:tc>
          <w:tcPr>
            <w:tcW w:w="153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24,031,550</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EAEC" w:val="clear"/>
            <w:tcMar>
              <w:top w:w="0" w:type="dxa"/>
              <w:left w:w="0" w:type="dxa"/>
              <w:bottom w:w="0" w:type="dxa"/>
              <w:right w:w="0" w:type="dxa"/>
            </w:tcMar>
            <w:vAlign w:val="center"/>
          </w:tcPr>
          <w:p>
            <w:pPr>
              <w:pStyle w:val="TableContents"/>
              <w:bidi w:val="0"/>
              <w:spacing w:lineRule="atLeast" w:line="220" w:before="100" w:after="100"/>
              <w:jc w:val="left"/>
              <w:rPr>
                <w:rFonts w:ascii="Inter Medium;sans-serif" w:hAnsi="Inter Medium;sans-serif"/>
                <w:b w:val="false"/>
                <w:color w:val="000000"/>
                <w:sz w:val="16"/>
              </w:rPr>
            </w:pPr>
            <w:r>
              <w:rPr>
                <w:rFonts w:ascii="Inter Medium;sans-serif" w:hAnsi="Inter Medium;sans-serif"/>
                <w:b w:val="false"/>
                <w:color w:val="000000"/>
                <w:sz w:val="16"/>
              </w:rPr>
              <w:t>Tim Wan</w:t>
            </w:r>
          </w:p>
        </w:tc>
        <w:tc>
          <w:tcPr>
            <w:tcW w:w="82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4/29/2019</w:t>
            </w:r>
            <w:r>
              <w:rPr>
                <w:rFonts w:ascii="Inter Light;sans-serif" w:hAnsi="Inter Light;sans-serif"/>
                <w:b w:val="false"/>
                <w:color w:val="0D0E10"/>
                <w:sz w:val="10"/>
              </w:rPr>
              <w:t>(5)</w:t>
            </w:r>
          </w:p>
        </w:tc>
        <w:tc>
          <w:tcPr>
            <w:tcW w:w="121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140,000</w:t>
            </w:r>
          </w:p>
        </w:tc>
        <w:tc>
          <w:tcPr>
            <w:tcW w:w="136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3.70</w:t>
            </w:r>
          </w:p>
        </w:tc>
        <w:tc>
          <w:tcPr>
            <w:tcW w:w="96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4/28/2029</w:t>
            </w:r>
          </w:p>
        </w:tc>
        <w:tc>
          <w:tcPr>
            <w:tcW w:w="180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3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vMerge w:val="restart"/>
            <w:tcBorders/>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823" w:type="dxa"/>
            <w:gridSpan w:val="3"/>
            <w:tcBorders/>
            <w:tcMar>
              <w:top w:w="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7/30/2019</w:t>
            </w:r>
            <w:r>
              <w:rPr>
                <w:rFonts w:ascii="Inter Light;sans-serif" w:hAnsi="Inter Light;sans-serif"/>
                <w:b w:val="false"/>
                <w:color w:val="0D0E10"/>
                <w:sz w:val="10"/>
              </w:rPr>
              <w:t>(6)</w:t>
            </w:r>
          </w:p>
        </w:tc>
        <w:tc>
          <w:tcPr>
            <w:tcW w:w="121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 xml:space="preserve">125,000 </w:t>
            </w:r>
          </w:p>
        </w:tc>
        <w:tc>
          <w:tcPr>
            <w:tcW w:w="1366"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4.02</w:t>
            </w:r>
          </w:p>
        </w:tc>
        <w:tc>
          <w:tcPr>
            <w:tcW w:w="961" w:type="dxa"/>
            <w:gridSpan w:val="3"/>
            <w:tcBorders/>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7/29/2029</w:t>
            </w:r>
          </w:p>
        </w:tc>
        <w:tc>
          <w:tcPr>
            <w:tcW w:w="1800"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30"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82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3/2/2021</w:t>
            </w:r>
            <w:r>
              <w:rPr>
                <w:rFonts w:ascii="Inter Light;sans-serif" w:hAnsi="Inter Light;sans-serif"/>
                <w:b w:val="false"/>
                <w:color w:val="0D0E10"/>
                <w:sz w:val="10"/>
              </w:rPr>
              <w:t>(7)</w:t>
            </w:r>
          </w:p>
        </w:tc>
        <w:tc>
          <w:tcPr>
            <w:tcW w:w="121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2,563</w:t>
            </w:r>
          </w:p>
        </w:tc>
        <w:tc>
          <w:tcPr>
            <w:tcW w:w="15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54,694</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82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3/10/2022</w:t>
            </w:r>
            <w:r>
              <w:rPr>
                <w:rFonts w:ascii="Inter Light;sans-serif" w:hAnsi="Inter Light;sans-serif"/>
                <w:b w:val="false"/>
                <w:color w:val="0D0E10"/>
                <w:sz w:val="10"/>
              </w:rPr>
              <w:t>(8)</w:t>
            </w:r>
          </w:p>
        </w:tc>
        <w:tc>
          <w:tcPr>
            <w:tcW w:w="121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11,311</w:t>
            </w:r>
          </w:p>
        </w:tc>
        <w:tc>
          <w:tcPr>
            <w:tcW w:w="15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241,377</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82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5/23/2023</w:t>
            </w:r>
            <w:r>
              <w:rPr>
                <w:rFonts w:ascii="Inter Light;sans-serif" w:hAnsi="Inter Light;sans-serif"/>
                <w:b w:val="false"/>
                <w:color w:val="0D0E10"/>
                <w:sz w:val="10"/>
              </w:rPr>
              <w:t>(9)</w:t>
            </w:r>
          </w:p>
        </w:tc>
        <w:tc>
          <w:tcPr>
            <w:tcW w:w="121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45,732</w:t>
            </w:r>
          </w:p>
        </w:tc>
        <w:tc>
          <w:tcPr>
            <w:tcW w:w="15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975,921</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823"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5/23/2024</w:t>
            </w:r>
            <w:r>
              <w:rPr>
                <w:rFonts w:ascii="Inter Light;sans-serif" w:hAnsi="Inter Light;sans-serif"/>
                <w:b w:val="false"/>
                <w:color w:val="0D0E10"/>
                <w:sz w:val="10"/>
              </w:rPr>
              <w:t>(10)</w:t>
            </w:r>
          </w:p>
        </w:tc>
        <w:tc>
          <w:tcPr>
            <w:tcW w:w="121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144,146</w:t>
            </w:r>
          </w:p>
        </w:tc>
        <w:tc>
          <w:tcPr>
            <w:tcW w:w="15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3,076,076</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vMerge w:val="restart"/>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82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11/16/2021</w:t>
            </w:r>
            <w:r>
              <w:rPr>
                <w:rFonts w:ascii="Inter Light;sans-serif" w:hAnsi="Inter Light;sans-serif"/>
                <w:b w:val="false"/>
                <w:color w:val="0D0E10"/>
                <w:sz w:val="10"/>
              </w:rPr>
              <w:t>(11)</w:t>
            </w:r>
          </w:p>
        </w:tc>
        <w:tc>
          <w:tcPr>
            <w:tcW w:w="121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19,684</w:t>
            </w:r>
          </w:p>
        </w:tc>
        <w:tc>
          <w:tcPr>
            <w:tcW w:w="153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420,057</w:t>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vMerge w:val="continue"/>
            <w:tcBorders>
              <w:bottom w:val="single" w:sz="4" w:space="0" w:color="690031"/>
            </w:tcBorders>
            <w:shd w:fill="FFEAEC" w:val="clear"/>
            <w:tcMar>
              <w:top w:w="0" w:type="dxa"/>
              <w:left w:w="0" w:type="dxa"/>
              <w:bottom w:w="30" w:type="dxa"/>
              <w:right w:w="0" w:type="dxa"/>
            </w:tcMar>
            <w:vAlign w:val="center"/>
          </w:tcPr>
          <w:p>
            <w:pPr>
              <w:pStyle w:val="Normal"/>
              <w:bidi w:val="0"/>
              <w:jc w:val="left"/>
              <w:rPr/>
            </w:pPr>
            <w:r>
              <w:rPr/>
            </w:r>
          </w:p>
        </w:tc>
        <w:tc>
          <w:tcPr>
            <w:tcW w:w="82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3/10/2022</w:t>
            </w:r>
            <w:r>
              <w:rPr>
                <w:rFonts w:ascii="Inter Light;sans-serif" w:hAnsi="Inter Light;sans-serif"/>
                <w:b w:val="false"/>
                <w:color w:val="0D0E10"/>
                <w:sz w:val="10"/>
              </w:rPr>
              <w:t>(8)</w:t>
            </w:r>
          </w:p>
        </w:tc>
        <w:tc>
          <w:tcPr>
            <w:tcW w:w="121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14,916</w:t>
            </w:r>
          </w:p>
        </w:tc>
        <w:tc>
          <w:tcPr>
            <w:tcW w:w="153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318,307</w:t>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vMerge w:val="continue"/>
            <w:tcBorders>
              <w:bottom w:val="single" w:sz="4" w:space="0" w:color="690031"/>
            </w:tcBorders>
            <w:shd w:fill="FFEAEC" w:val="clear"/>
            <w:tcMar>
              <w:top w:w="0" w:type="dxa"/>
              <w:left w:w="0" w:type="dxa"/>
              <w:bottom w:w="30" w:type="dxa"/>
              <w:right w:w="0" w:type="dxa"/>
            </w:tcMar>
            <w:vAlign w:val="center"/>
          </w:tcPr>
          <w:p>
            <w:pPr>
              <w:pStyle w:val="Normal"/>
              <w:bidi w:val="0"/>
              <w:jc w:val="left"/>
              <w:rPr/>
            </w:pPr>
            <w:r>
              <w:rPr/>
            </w:r>
          </w:p>
        </w:tc>
        <w:tc>
          <w:tcPr>
            <w:tcW w:w="82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5/23/2023</w:t>
            </w:r>
            <w:r>
              <w:rPr>
                <w:rFonts w:ascii="Inter Light;sans-serif" w:hAnsi="Inter Light;sans-serif"/>
                <w:b w:val="false"/>
                <w:color w:val="0D0E10"/>
                <w:sz w:val="10"/>
              </w:rPr>
              <w:t>(9)</w:t>
            </w:r>
          </w:p>
        </w:tc>
        <w:tc>
          <w:tcPr>
            <w:tcW w:w="121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111,471</w:t>
            </w:r>
          </w:p>
        </w:tc>
        <w:tc>
          <w:tcPr>
            <w:tcW w:w="1530"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2,378,791</w:t>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vMerge w:val="continue"/>
            <w:tcBorders>
              <w:bottom w:val="single" w:sz="4" w:space="0" w:color="690031"/>
            </w:tcBorders>
            <w:shd w:fill="FFEAEC" w:val="clear"/>
            <w:tcMar>
              <w:top w:w="0" w:type="dxa"/>
              <w:left w:w="0" w:type="dxa"/>
              <w:bottom w:w="30" w:type="dxa"/>
              <w:right w:w="0" w:type="dxa"/>
            </w:tcMar>
            <w:vAlign w:val="center"/>
          </w:tcPr>
          <w:p>
            <w:pPr>
              <w:pStyle w:val="Normal"/>
              <w:bidi w:val="0"/>
              <w:jc w:val="left"/>
              <w:rPr/>
            </w:pPr>
            <w:r>
              <w:rPr/>
            </w:r>
          </w:p>
        </w:tc>
        <w:tc>
          <w:tcPr>
            <w:tcW w:w="823"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0"/>
              <w:jc w:val="center"/>
              <w:rPr/>
            </w:pPr>
            <w:r>
              <w:rPr>
                <w:rFonts w:ascii="Inter Light;sans-serif" w:hAnsi="Inter Light;sans-serif"/>
                <w:b w:val="false"/>
                <w:color w:val="0D0E10"/>
                <w:sz w:val="16"/>
              </w:rPr>
              <w:t>5/23/2024</w:t>
            </w:r>
            <w:r>
              <w:rPr>
                <w:rFonts w:ascii="Inter Light;sans-serif" w:hAnsi="Inter Light;sans-serif"/>
                <w:b w:val="false"/>
                <w:color w:val="0D0E10"/>
                <w:sz w:val="10"/>
              </w:rPr>
              <w:t>(10)</w:t>
            </w:r>
          </w:p>
        </w:tc>
        <w:tc>
          <w:tcPr>
            <w:tcW w:w="1215"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366"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985"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961"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center"/>
              <w:rPr>
                <w:color w:val="0D0E10"/>
              </w:rPr>
            </w:pPr>
            <w:r>
              <w:rPr>
                <w:color w:val="0D0E10"/>
              </w:rPr>
              <w:t>—</w:t>
            </w:r>
          </w:p>
        </w:tc>
        <w:tc>
          <w:tcPr>
            <w:tcW w:w="1800"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264,268</w:t>
            </w:r>
          </w:p>
        </w:tc>
        <w:tc>
          <w:tcPr>
            <w:tcW w:w="1530" w:type="dxa"/>
            <w:gridSpan w:val="3"/>
            <w:tcBorders>
              <w:top w:val="single" w:sz="2"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5,639,479</w:t>
            </w:r>
          </w:p>
        </w:tc>
        <w:tc>
          <w:tcPr>
            <w:tcW w:w="383"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(1)All option and RSU awards listed in this table were granted pursuant to either our Amended and Restated 2012 Stock Plan or our 2020 Equity Incentive Plan and are subject to acceleration of vesting as described in the "Employment, Severance and Change in Control Arrangements" section below.</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(2)All of the outstanding stock options were immediately exercisable as of the date of grant, with any unvested shares acquired on exercise subject to a right of repurchase in favor of us at the original exercise price and which lapses in accordance with the vesting schedule of the related option. Accordingly, the columns and footnotes below reflect the extent to which stock options held by our named executive officers were vested and exercisable as of January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(3)The amounts represent the number of unvested restricted stock units multiplied by $21.34, which was the closing market price of our Class A common stock on January 31, 2025, the last trading day of fiscal year 2025. These amounts do not reflect the actual economic value that may be realized by our named executive officers upon the vesting or settlement of the equity awards.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(4)Subject to Ms. Parekh’s continuous service with us through each applicable vesting date, 35% of the shares subject to the RSU award will vest on September 20, 2025, 7.5% of the shares subject to the RSU award will vest in four equal quarterly installments beginning on December 20, 2025, 5% of the shares subject to the RSU award will vest in four equal quarterly installments beginning on December 20, 2026, and 3.75% of the subject to the RSU award will vest in four equal quarterly installments beginning on December 20, 2027.</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(5)The shares subject to the option vest in 24 equal monthly installments measured from February 1, 2021, subject to Mr. Wan’s continuous service with us through each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59435"/>
                <wp:effectExtent l="0" t="0" r="0" b="0"/>
                <wp:wrapNone/>
                <wp:docPr id="97" name="Frame54"/>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49</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(6)One-fourth of the shares subject to the option vested on July 22, 2020 and the remaining shares subject to the option vest in 36 equal monthly installments measured from July 22, 2020, subject to Ms. Lacey's continuous service with us as of each such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(7)The shares subject to the RSU award vest in 16 equal quarterly installments, with the first installment beginning on June 20, 2021, subject to continuous service with us through each applicable vesting date. Shares are subject to a two-year holding period following the vesting date and will not be issued or delivered to the named executive officer until the earlier to occur of (a) the second anniversary of the applicable vesting date or (b) a “change in control event” within the meaning of Section 409A of the Code.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(8)The shares subject to the RSU award vest in 16 equal quarterly installments, with the first installment beginning on June 20, 2022, subject to continuous service with us through each applicable vesting date. Shares are subject to a two-year holding period following the vesting date and will not be issued or delivered to the named executive officer until the earlier to occur of (a) the second anniversary of the applicable vesting date or (b) a “change in control event” within the meaning of Section 409A of the Code.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(9)The shares subject to the RSU award vest in 16 equal quarterly installments, with the first installment beginning on June 20, 2023, subject to continuous service with us through each applicable vesting date.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(10)The shares subject to the RSU award vest in 16 equal quarterly installments, with the first installment beginning on June 20, 2024, subject to continuous service with us through each applicable vesting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(11)Subject to Ms. Raimondi’s continuous service with us, 35% of the shares subject to the RSU award will vest on September 20, 2022, 7.5% of the shares subject to the RSU award will vest in four equal quarterly installments, with the first installment beginning on December 20, 2022, 5% of the shares subject to the RSU award will vest in four equal quarterly installments, with the first installment beginning on December 20, 2023, and 3.75% of the subject to the RSU award will vest in four equal quarterly installments, with the first installment beginning on December 20, 2024. Vested shares subject to the RSU award will be settled as shares of our Class A common stock on the earlier to occur of (a) the first anniversary of the vesting date of such vested RSUs or (b) a “change in control event” within the meaning of Section 409A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39140"/>
                <wp:effectExtent l="0" t="0" r="0" b="0"/>
                <wp:wrapNone/>
                <wp:docPr id="98" name="Frame5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Option Exercises and Stock Vested Table for Fiscal Year 2025</w:t>
      </w:r>
    </w:p>
    <w:tbl>
      <w:tblPr>
        <w:tblW w:w="10205" w:type="dxa"/>
        <w:jc w:val="left"/>
        <w:tblInd w:w="0" w:type="dxa"/>
        <w:tblLayout w:type="fixed"/>
        <w:tblCellMar>
          <w:top w:w="28" w:type="dxa"/>
          <w:left w:w="28" w:type="dxa"/>
          <w:bottom w:w="28" w:type="dxa"/>
          <w:right w:w="28" w:type="dxa"/>
        </w:tblCellMar>
      </w:tblPr>
      <w:tblGrid>
        <w:gridCol w:w="440"/>
        <w:gridCol w:w="387"/>
        <w:gridCol w:w="389"/>
        <w:gridCol w:w="837"/>
        <w:gridCol w:w="837"/>
        <w:gridCol w:w="840"/>
        <w:gridCol w:w="670"/>
        <w:gridCol w:w="560"/>
        <w:gridCol w:w="562"/>
        <w:gridCol w:w="899"/>
        <w:gridCol w:w="899"/>
        <w:gridCol w:w="903"/>
        <w:gridCol w:w="460"/>
        <w:gridCol w:w="405"/>
        <w:gridCol w:w="407"/>
        <w:gridCol w:w="109"/>
        <w:gridCol w:w="109"/>
        <w:gridCol w:w="109"/>
        <w:gridCol w:w="109"/>
        <w:gridCol w:w="109"/>
        <w:gridCol w:w="165"/>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251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Number of Shares Acquired on Exercise of Options</w:t>
              <w:br/>
              <w:t>(#)</w:t>
            </w:r>
          </w:p>
        </w:tc>
        <w:tc>
          <w:tcPr>
            <w:tcW w:w="179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Value Realized on Exercise of </w:t>
            </w:r>
          </w:p>
          <w:p>
            <w:pPr>
              <w:pStyle w:val="TableContents"/>
              <w:bidi w:val="0"/>
              <w:spacing w:lineRule="atLeast" w:line="220" w:before="0" w:after="0"/>
              <w:jc w:val="right"/>
              <w:rPr/>
            </w:pPr>
            <w:r>
              <w:rPr>
                <w:rFonts w:ascii="Inter Medium;sans-serif" w:hAnsi="Inter Medium;sans-serif"/>
                <w:b w:val="false"/>
                <w:color w:val="FFEAEC"/>
                <w:sz w:val="16"/>
              </w:rPr>
              <w:t>Options</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270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Number of Shares Acquired on Vesting of Stock Awards</w:t>
              <w:br/>
              <w:t>(#)</w:t>
            </w:r>
          </w:p>
        </w:tc>
        <w:tc>
          <w:tcPr>
            <w:tcW w:w="1272"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Value Realized on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Vesting of </w:t>
            </w:r>
          </w:p>
          <w:p>
            <w:pPr>
              <w:pStyle w:val="TableContents"/>
              <w:bidi w:val="0"/>
              <w:spacing w:lineRule="atLeast" w:line="220" w:before="0" w:after="0"/>
              <w:jc w:val="right"/>
              <w:rPr/>
            </w:pPr>
            <w:r>
              <w:rPr>
                <w:rFonts w:ascii="Inter Medium;sans-serif" w:hAnsi="Inter Medium;sans-serif"/>
                <w:b w:val="false"/>
                <w:color w:val="FFEAEC"/>
                <w:sz w:val="16"/>
              </w:rPr>
              <w:t>Stock Awards</w:t>
            </w:r>
            <w:r>
              <w:rPr>
                <w:rFonts w:ascii="Inter Medium;sans-serif" w:hAnsi="Inter Medium;sans-serif"/>
                <w:b w:val="false"/>
                <w:color w:val="FFEAEC"/>
                <w:sz w:val="10"/>
              </w:rPr>
              <w:t>(2)</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251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79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70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272"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251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79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70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Tim Wan</w:t>
            </w:r>
          </w:p>
        </w:tc>
        <w:tc>
          <w:tcPr>
            <w:tcW w:w="2514"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763,532</w:t>
            </w:r>
          </w:p>
        </w:tc>
        <w:tc>
          <w:tcPr>
            <w:tcW w:w="179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14,917,735</w:t>
            </w:r>
          </w:p>
        </w:tc>
        <w:tc>
          <w:tcPr>
            <w:tcW w:w="2701"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127,256</w:t>
            </w:r>
          </w:p>
        </w:tc>
        <w:tc>
          <w:tcPr>
            <w:tcW w:w="1272"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1,687,686</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(3)</w:t>
            </w:r>
          </w:p>
        </w:tc>
        <w:tc>
          <w:tcPr>
            <w:tcW w:w="38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251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792"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701"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77,614</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1,214,011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(4)</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251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792"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2701"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165,155</w:t>
            </w:r>
          </w:p>
        </w:tc>
        <w:tc>
          <w:tcPr>
            <w:tcW w:w="1272"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2,569,225</w:t>
            </w:r>
          </w:p>
        </w:tc>
        <w:tc>
          <w:tcPr>
            <w:tcW w:w="327"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(5)</w:t>
            </w:r>
          </w:p>
        </w:tc>
        <w:tc>
          <w:tcPr>
            <w:tcW w:w="383"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(1)Amounts below represent the aggregate value realized on exercise of option grants by our NEOs in fiscal year 2025. The value realized on each exercise is based on the difference between the closing price of our Class A common stock on the date of exercise and the applicable exercise price of those options, and does not represent actual amounts received by the NEOs as a result of the option exercises. Amounts are rounded to the nearest whole dollar.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(2)Amounts below were calculated by: (a) multiplying the number of shares acquired on a given vesting date by the closing price of our Class A common stock on the day immediately prior to such vesting date (consistent with our RSU tax withholding policy, as adopted August 22, 2023), and (b) aggregating the value realized upon vesting for all shares or shares underlying RSUs that vested during fiscal year 2025 With respect to vesting of shares underlying RSUs, the value realized on vesting does not reflect the actual value received by each NEO because a portion of the shares will be withheld at settlement by us to satisfy the NEO’s tax withholding obligations. Amounts are rounded to the nearest whole dollar.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(3)Represents vesting of (a) 49,443 shares underlying RSUs, which are currently subject to a holding period and will not be issued or delivered to Mr. Wan (and are, therefore, not available for sale by Mr. Wan) until the earlier to occur of (i) the second anniversary of the applicable vesting date or (ii) a “change in control event” within the meaning of Section 409A of the Code and (b) 77,813 shares underlying RSUs that are not subject to a holding period. The aggregate value of such shares, calculated in accordance with footnote 2 above, is $1,687,686.</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(4)Represents vesting of (a) 24,025 shares underlying RSUs, which are currently subject to a holding period and will not be issued or delivered to Ms. Lacey (and are, therefore, not available for sale by Ms. Lacey) until the earlier to occur of (i) the second anniversary of the applicable vesting date or (ii) a “change in control event” within the meaning of Section 409A of the Code and (b) 53,589 shares underlying RSUs that are not subject to a holding period. The aggregate value of such shares, calculated in accordance with footnote 2 above, is $1,214,011.</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(5)Represents vesting of (a) 41,574 shares of our Class A common stock underlying RSUs, which are currently subject to a holding period and will not be issued or delivered to Ms. Raimondi (and are, therefore, not available for sale by Ms. Raimondi) until the earlier to occur of (i) the first anniversary of the applicable vesting date or (ii) a “change in control event” within the meaning of Section 409A of the Code, (b) 13,054 shares underlying RSUs, which are currently subject to a holding period and will not be issued or delivered to Ms. Raimondi (and are, therefore, not available for sale by Ms. Raimondi) until the earlier to occur of (i) the second anniversary of the applicable vesting date or (ii) a “change in control event” within the meaning of Section 409A of the Code, and (c) 110,527 shares underlying RSUs that are not subject to a holding period. The aggregate value of such shares, calculated in accordance with footnote 2 above, is $2,569,225.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59435"/>
                <wp:effectExtent l="0" t="0" r="0" b="0"/>
                <wp:wrapNone/>
                <wp:docPr id="99" name="Frame56"/>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51</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Nonqualified Deferred Compensation Table for Fiscal Year 2025</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While we do not maintain a traditional nonqualified deferred compensation plan for our named executive officers, certain RSU awards granted prior to May 24, 2023 represent nonqualified deferred compensation because they are subject to either a one-year or two-year mandatory holding period (as applicable) following each vesting date and the underlying shares will not be issued or delivered to the named executive officers until the earlier to occur of (1) the first or second anniversary (as applicable) of the applicable vesting date or (2) a “change in control event” within the meaning of Section 409A of the Code. The following table provides information regarding the nonqualified deferred compensation of our named executive officers during the fiscal year ended January 31, 2025.</w:t>
      </w:r>
    </w:p>
    <w:tbl>
      <w:tblPr>
        <w:tblW w:w="10205" w:type="dxa"/>
        <w:jc w:val="left"/>
        <w:tblInd w:w="0" w:type="dxa"/>
        <w:tblLayout w:type="fixed"/>
        <w:tblCellMar>
          <w:top w:w="28" w:type="dxa"/>
          <w:left w:w="28" w:type="dxa"/>
          <w:bottom w:w="28" w:type="dxa"/>
          <w:right w:w="28" w:type="dxa"/>
        </w:tblCellMar>
      </w:tblPr>
      <w:tblGrid>
        <w:gridCol w:w="408"/>
        <w:gridCol w:w="359"/>
        <w:gridCol w:w="362"/>
        <w:gridCol w:w="691"/>
        <w:gridCol w:w="691"/>
        <w:gridCol w:w="693"/>
        <w:gridCol w:w="672"/>
        <w:gridCol w:w="672"/>
        <w:gridCol w:w="673"/>
        <w:gridCol w:w="501"/>
        <w:gridCol w:w="501"/>
        <w:gridCol w:w="503"/>
        <w:gridCol w:w="634"/>
        <w:gridCol w:w="634"/>
        <w:gridCol w:w="636"/>
        <w:gridCol w:w="397"/>
        <w:gridCol w:w="397"/>
        <w:gridCol w:w="399"/>
        <w:gridCol w:w="109"/>
        <w:gridCol w:w="109"/>
        <w:gridCol w:w="164"/>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2075"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Executive Contributions in Last Fiscal Year</w:t>
            </w:r>
            <w:r>
              <w:rPr>
                <w:rFonts w:ascii="Inter Medium;sans-serif" w:hAnsi="Inter Medium;sans-serif"/>
                <w:b w:val="false"/>
                <w:color w:val="FFEAEC"/>
                <w:sz w:val="10"/>
              </w:rPr>
              <w:t>(1)</w:t>
            </w:r>
            <w:r>
              <w:rPr>
                <w:color w:val="FFEAEC"/>
              </w:rPr>
              <w:t xml:space="preserve">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2017"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Company Contributions in Last Fiscal Year </w:t>
              <w:br/>
              <w:t>($)</w:t>
            </w:r>
          </w:p>
        </w:tc>
        <w:tc>
          <w:tcPr>
            <w:tcW w:w="1505"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Aggregate </w:t>
            </w:r>
          </w:p>
          <w:p>
            <w:pPr>
              <w:pStyle w:val="TableContents"/>
              <w:bidi w:val="0"/>
              <w:spacing w:lineRule="atLeast" w:line="220" w:before="0" w:after="0"/>
              <w:jc w:val="right"/>
              <w:rPr/>
            </w:pPr>
            <w:r>
              <w:rPr>
                <w:rFonts w:ascii="Inter Medium;sans-serif" w:hAnsi="Inter Medium;sans-serif"/>
                <w:b w:val="false"/>
                <w:color w:val="FFEAEC"/>
                <w:sz w:val="16"/>
              </w:rPr>
              <w:t>Earnings in Last Fiscal Year</w:t>
            </w:r>
            <w:r>
              <w:rPr>
                <w:rFonts w:ascii="Inter Medium;sans-serif" w:hAnsi="Inter Medium;sans-serif"/>
                <w:b w:val="false"/>
                <w:color w:val="FFEAEC"/>
                <w:sz w:val="10"/>
              </w:rPr>
              <w:t>(2)</w:t>
            </w:r>
            <w:r>
              <w:rPr>
                <w:color w:val="FFEAEC"/>
              </w:rPr>
              <w:t xml:space="preserve">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904"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 xml:space="preserve">Aggregate Withdrawals/Distributions </w:t>
            </w:r>
            <w:r>
              <w:rPr>
                <w:rFonts w:ascii="Inter Medium;sans-serif" w:hAnsi="Inter Medium;sans-serif"/>
                <w:b w:val="false"/>
                <w:color w:val="FFEAEC"/>
                <w:sz w:val="10"/>
              </w:rPr>
              <w:t>(3)</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193"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Aggregate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Balance at Last</w:t>
            </w:r>
          </w:p>
          <w:p>
            <w:pPr>
              <w:pStyle w:val="TableContents"/>
              <w:bidi w:val="0"/>
              <w:spacing w:lineRule="atLeast" w:line="220" w:before="0" w:after="0"/>
              <w:jc w:val="right"/>
              <w:rPr/>
            </w:pPr>
            <w:r>
              <w:rPr>
                <w:color w:val="FFEAEC"/>
              </w:rPr>
              <w:t> </w:t>
            </w:r>
            <w:r>
              <w:rPr>
                <w:rFonts w:ascii="Inter Medium;sans-serif" w:hAnsi="Inter Medium;sans-serif"/>
                <w:b w:val="false"/>
                <w:color w:val="FFEAEC"/>
                <w:sz w:val="16"/>
              </w:rPr>
              <w:t xml:space="preserve">Fiscal Year End </w:t>
            </w:r>
            <w:r>
              <w:rPr>
                <w:rFonts w:ascii="Inter Medium;sans-serif" w:hAnsi="Inter Medium;sans-serif"/>
                <w:b w:val="false"/>
                <w:color w:val="FFEAEC"/>
                <w:sz w:val="10"/>
              </w:rPr>
              <w:t>(4)</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207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01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0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19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207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201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Tim Wan</w:t>
            </w:r>
          </w:p>
        </w:tc>
        <w:tc>
          <w:tcPr>
            <w:tcW w:w="207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692,835</w:t>
            </w:r>
          </w:p>
        </w:tc>
        <w:tc>
          <w:tcPr>
            <w:tcW w:w="2017"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0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362,279</w:t>
            </w:r>
          </w:p>
        </w:tc>
        <w:tc>
          <w:tcPr>
            <w:tcW w:w="190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193"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1,055,114</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207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377,078</w:t>
            </w:r>
          </w:p>
        </w:tc>
        <w:tc>
          <w:tcPr>
            <w:tcW w:w="2017"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50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135,615</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512,694</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2075"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842,562</w:t>
            </w:r>
          </w:p>
        </w:tc>
        <w:tc>
          <w:tcPr>
            <w:tcW w:w="2017"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505"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323,200</w:t>
            </w:r>
          </w:p>
        </w:tc>
        <w:tc>
          <w:tcPr>
            <w:tcW w:w="190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color w:val="0D0E10"/>
              </w:rPr>
            </w:pPr>
            <w:r>
              <w:rPr>
                <w:color w:val="0D0E10"/>
              </w:rPr>
              <w:t>—</w:t>
            </w:r>
          </w:p>
        </w:tc>
        <w:tc>
          <w:tcPr>
            <w:tcW w:w="1193"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1,165,762</w:t>
            </w:r>
          </w:p>
        </w:tc>
        <w:tc>
          <w:tcPr>
            <w:tcW w:w="382" w:type="dxa"/>
            <w:gridSpan w:val="3"/>
            <w:tcBorders>
              <w:bottom w:val="single" w:sz="4" w:space="0" w:color="690031"/>
            </w:tcBorders>
            <w:shd w:fill="FFEA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(1)Amounts below represent the aggregate value of RSUs that vested in fiscal year 2025 (rounded to the nearest whole dollar) calculated using the product of the number of RSUs vested on a given day and the closing price of one share of our Class A common stock on the vesting date (or the next open trading day as applicable) (such amount, the "Aggregate Vesting Day Value"). The amounts reported in this column are not considered compensation reportable in the Summary Compensation Table.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(2)With respect to RSUs that vested in fiscal year 2025, amounts below represent the difference between (a) the aggregate value of RSUs that vested in fiscal year 2025 (rounded to the nearest whole dollar) as of the last date of fiscal year 2025 (January 31, 2025) calculated as the product of (i) the number of RSUs vested in fiscal year 2025 and (ii) the closing price of one share of our Class A common stock on January 31, 2025 ($21.34) (such amount, the "Aggregate FY End Value") and (b) the Aggregate Vesting Day Value. The amounts reported in this column are not considered compensation reportable in the Summary Compensation Table.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(3)The amounts reported in this column represent the value of vested RSUs that settled in fiscal year 2025 upon the expiration of the holding period applicable to such vested RSUs, based on the closing price of our Class A common stock on the applicable settlement date.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(4)The amounts reported in this column represent the aggregate fiscal year end value with respect to all vested RSUs outstanding as of January 31, 2025, based on the difference between the applicable vesting day value and the closing price of our Class A common stock on January 31, 2025 ($21.34). These amounts were initially reported in the “Stock Awards” column of the Summary Compensation Table in previous years (excluding the aggregate appreciation accumulated with respect to such Stock Awards) in the amount of $1,530,959, $770,334, and $5,075,004 to Mr. Wan, Ms. Lacey and Ms. Raimondi,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39140"/>
                <wp:effectExtent l="0" t="0" r="0" b="0"/>
                <wp:wrapNone/>
                <wp:docPr id="100" name="Frame5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Employment, Severance, and Change in Control Arrangements </w:t>
      </w:r>
    </w:p>
    <w:p>
      <w:pPr>
        <w:pStyle w:val="TextBody"/>
        <w:bidi w:val="0"/>
        <w:spacing w:lineRule="atLeast" w:line="300" w:before="0" w:after="120"/>
        <w:jc w:val="left"/>
        <w:rPr>
          <w:rFonts w:ascii="Inter SemiBold;sans-serif" w:hAnsi="Inter SemiBold;sans-serif"/>
          <w:b/>
          <w:color w:val="690031"/>
          <w:sz w:val="22"/>
        </w:rPr>
      </w:pPr>
      <w:r>
        <w:rPr>
          <w:rFonts w:ascii="Inter SemiBold;sans-serif" w:hAnsi="Inter SemiBold;sans-serif"/>
          <w:b/>
          <w:color w:val="690031"/>
          <w:sz w:val="22"/>
        </w:rPr>
        <w:t>Offer Letters and Employment Agreements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connection with our direct listing in September 2020, we entered into confirmatory offer letters with Mr. Moskovitz, Ms. Lacey, and Mr. Wan. We entered into an offer letter with Ms. Raimondi in August 2021 in connection with her appointment as our Chief Operating Officer. We entered into an offer letter with Ms. Parekh in September 2024 in connection with her appointment as our Chief Financial Officer and Head of Finance. Each of these arrangements provide for at-will employment and generally includes the named executive officer’s base salary and equity entitlements at the time of our direct listing or their appointment. In addition, each of our named executive officers has executed our standard confidential information and invention assignment agreement. </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Executive Severance Plan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Our named executive officers and certain other executives and key employees participate in our Executive Severance and Change in Control Benefit Plan, or the Executive Severance Plan. Our Executive Severance Plan provides that upon termination of an eligible participant’s employment with us that is effected by us without “cause,” as defined in the Executive Severance Plan, outside of the change in control period (i.e., the period beginning three months prior to the date on which a “change in control,” as defined in the Executive Severance Plan, becomes effective and ending eighteen months following the effective date of such change in control), an eligible participant will be entitled to receive, subject to, among other things, the execution and delivery of an effective release of claims in our favor, (i) a lump sum cash payment equal to one-third of the sum of the eligible participant’s (a) annual base salary and (b) target annual bonus (if applicable) for the year in which the termination date occurs, (ii) a lump sum cash payment equal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to four months of our contribution towards health insurance premiums, and (iii) accelerated vesting of certain outstanding and unvested time-based vesting equity awards held by such participant that are subject to a time-based cliff vesting period of one year or more, such that a prorated portion of the shares subject to cliff vesting will accelerate (with such proration calculated based on the number of completed months of employment during the applicable cliff vesting period prior to the covered termination divided by the total number of months during the applicable cliff vesting period).</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Executive Severance Plan also provides that if upon (i) a termination of an eligible participant’s employment with us that is effected by us without “cause,” as defined in the Executive Severance Plan or (ii) a resignation by an eligible participant for “good reason,” as defined in the Executive Severance Plan, in either case a “covered termination,” within the change in control period, the eligible participant will be entitled to receive, in lieu of the payments and benefits above and subject to, among other things, the execution and delivery of an effective release of claims in our favor, (i) a lump sum cash payment equal to the sum of the eligible participant’s (a) annual base salary plus (b) target annual bonus (if applicable), (ii) a lump sum cash payment equal to the eligible participant’s prorated target annual bonus for the year of termination (if applicable), (iii) a lump sum cash payment equal to 12 months of our contribution towards health insurance premiums, and (iv) accelerated vesting of certain outstanding and unvested equity awards held by such participant as to the applicable percentage set forth in the table below for each unvested tranche of shares subject to the equity award, with such accelerated vesting based on the number of years between the date of the covered termination and the date such tranche would have otherwise vested; provided, that any unvested and outstanding equity awards subject to performance conditions will be deemed satisfied at target levels specified in the applicable award agreements. </w:t>
      </w:r>
    </w:p>
    <w:tbl>
      <w:tblPr>
        <w:tblW w:w="6838" w:type="dxa"/>
        <w:jc w:val="left"/>
        <w:tblInd w:w="0" w:type="dxa"/>
        <w:tblLayout w:type="fixed"/>
        <w:tblCellMar>
          <w:top w:w="28" w:type="dxa"/>
          <w:left w:w="28" w:type="dxa"/>
          <w:bottom w:w="28" w:type="dxa"/>
          <w:right w:w="28" w:type="dxa"/>
        </w:tblCellMar>
      </w:tblPr>
      <w:tblGrid>
        <w:gridCol w:w="1395"/>
        <w:gridCol w:w="1226"/>
        <w:gridCol w:w="1233"/>
        <w:gridCol w:w="873"/>
        <w:gridCol w:w="873"/>
        <w:gridCol w:w="1238"/>
      </w:tblGrid>
      <w:tr>
        <w:trPr/>
        <w:tc>
          <w:tcPr>
            <w:tcW w:w="13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 xml:space="preserve">Number of Years from Covered Termination </w:t>
              <w:br/>
              <w:t>Date until the Tranche’s Vesting Date</w:t>
            </w:r>
          </w:p>
        </w:tc>
        <w:tc>
          <w:tcPr>
            <w:tcW w:w="298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 xml:space="preserve">Tranche’s Vesting Percentage for </w:t>
              <w:br/>
              <w:t>Named Executive Officers</w:t>
            </w:r>
          </w:p>
        </w:tc>
      </w:tr>
      <w:tr>
        <w:trPr/>
        <w:tc>
          <w:tcPr>
            <w:tcW w:w="385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Fewer than 4 years</w:t>
            </w:r>
          </w:p>
        </w:tc>
        <w:tc>
          <w:tcPr>
            <w:tcW w:w="2984"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100%</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4-6 years</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50%</w:t>
            </w:r>
          </w:p>
        </w:tc>
      </w:tr>
      <w:tr>
        <w:trPr/>
        <w:tc>
          <w:tcPr>
            <w:tcW w:w="385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Greater than 6 years</w:t>
            </w:r>
          </w:p>
        </w:tc>
        <w:tc>
          <w:tcPr>
            <w:tcW w:w="2984" w:type="dxa"/>
            <w:gridSpan w:val="3"/>
            <w:tcBorders>
              <w:bottom w:val="single" w:sz="4" w:space="0" w:color="690031"/>
            </w:tcBorders>
            <w:shd w:fill="FFEAEC"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59435"/>
                <wp:effectExtent l="0" t="0" r="0" b="0"/>
                <wp:wrapNone/>
                <wp:docPr id="101" name="Frame58"/>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53</w:t>
                            </w:r>
                          </w:p>
                        </w:tc>
                      </w:tr>
                    </w:tbl>
                    <w:p>
                      <w:pPr>
                        <w:pStyle w:val="TextBody"/>
                        <w:bidi w:val="0"/>
                        <w:spacing w:before="0" w:after="283"/>
                        <w:jc w:val="left"/>
                        <w:rPr/>
                      </w:pPr>
                      <w:r>
                        <w:rPr/>
                      </w:r>
                    </w:p>
                  </w:txbxContent>
                </v:textbox>
                <w10:wrap type="none"/>
              </v:rect>
            </w:pict>
          </mc:Fallback>
        </mc:AlternateContent>
      </w:r>
    </w:p>
    <w:tbl>
      <w:tblPr>
        <w:tblW w:w="4033" w:type="dxa"/>
        <w:jc w:val="left"/>
        <w:tblInd w:w="0" w:type="dxa"/>
        <w:tblLayout w:type="fixed"/>
        <w:tblCellMar>
          <w:top w:w="28" w:type="dxa"/>
          <w:left w:w="28" w:type="dxa"/>
          <w:bottom w:w="28" w:type="dxa"/>
          <w:right w:w="28" w:type="dxa"/>
        </w:tblCellMar>
      </w:tblPr>
      <w:tblGrid>
        <w:gridCol w:w="874"/>
        <w:gridCol w:w="769"/>
        <w:gridCol w:w="771"/>
        <w:gridCol w:w="474"/>
        <w:gridCol w:w="474"/>
        <w:gridCol w:w="67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SemiBold;sans-serif" w:hAnsi="Inter SemiBold;sans-serif"/>
                <w:b/>
                <w:color w:val="690031"/>
                <w:sz w:val="16"/>
              </w:rPr>
            </w:pPr>
            <w:r>
              <w:rPr>
                <w:rFonts w:ascii="Inter SemiBold;sans-serif" w:hAnsi="Inter SemiBold;sans-serif"/>
                <w:b/>
                <w:color w:val="690031"/>
                <w:sz w:val="16"/>
              </w:rPr>
              <w:t>Executive Compensation</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Awards Granted Under 2020 Equity Incentive Plan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In the event of a “corporate transaction,” as defined in our 2020 Equity Incentive Plan, in which the surviving corporation assumes or continues any or all awards outstanding under the 2020 Equity Incentive Plan, or substitutes similar awards for outstanding awards, such awards will continue to vest in accordance with their terms and any applicable employment agreement or severance plan. In the event of a corporate transaction in which the surviving corporation does not assume or continue the outstanding awards or substitute similar awards for such outstanding awards, the vesting schedule of all awards held by our named executive officers that are still employed upon the corporate transaction will be accelerated in full as of a date prior to the effective date of the transaction as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determined by the Board. This accelerated vesting structure in the event awards are not assumed or substituted by the surviving company is designed to encourage our executives to remain employed with us through the date of the corporate transaction and to ensure that the equity incentives awarded to our executives are not eliminated by the surviving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Potential Payments upon Termination or Change in Control</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Each of our named executive officers participates in our Executive Severance Plan as described above. The following table summarizes the estimated payment and benefits that would be provided to our named executive officers in connection with (i) a corporate transaction in which the surviving corporation does not assume or continue the outstanding awards or substitute similar awards for such outstanding awards, (ii) a termination outside of a change in control period, or (iii) a termination within termination both outside and within a change in control period, assuming , in each case, that the applicable triggering event took place on January 31, 2025. Mr. Wan did not receive any severance payments or benefits when he resigned as our Chief Financial Officer effective September 10, 2025, and was no longer eligible for any severance or change in control benefits under our Executive Severance Plan following such resignation.</w:t>
      </w:r>
    </w:p>
    <w:tbl>
      <w:tblPr>
        <w:tblW w:w="10205" w:type="dxa"/>
        <w:jc w:val="left"/>
        <w:tblInd w:w="0" w:type="dxa"/>
        <w:tblLayout w:type="fixed"/>
        <w:tblCellMar>
          <w:top w:w="28" w:type="dxa"/>
          <w:left w:w="28" w:type="dxa"/>
          <w:bottom w:w="28" w:type="dxa"/>
          <w:right w:w="28" w:type="dxa"/>
        </w:tblCellMar>
      </w:tblPr>
      <w:tblGrid>
        <w:gridCol w:w="1172"/>
        <w:gridCol w:w="972"/>
        <w:gridCol w:w="977"/>
        <w:gridCol w:w="658"/>
        <w:gridCol w:w="658"/>
        <w:gridCol w:w="660"/>
        <w:gridCol w:w="109"/>
        <w:gridCol w:w="109"/>
        <w:gridCol w:w="109"/>
        <w:gridCol w:w="870"/>
        <w:gridCol w:w="783"/>
        <w:gridCol w:w="786"/>
        <w:gridCol w:w="672"/>
        <w:gridCol w:w="645"/>
        <w:gridCol w:w="647"/>
        <w:gridCol w:w="109"/>
        <w:gridCol w:w="109"/>
        <w:gridCol w:w="160"/>
      </w:tblGrid>
      <w:tr>
        <w:trPr/>
        <w:tc>
          <w:tcPr>
            <w:tcW w:w="11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w:t>
            </w:r>
          </w:p>
        </w:tc>
        <w:tc>
          <w:tcPr>
            <w:tcW w:w="197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 xml:space="preserve">Accelerated Equity Awards </w:t>
              <w:br/>
              <w:t>($)</w:t>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Base Salary + Target Annual Bonus</w:t>
              <w:br/>
              <w:t>($)</w:t>
            </w:r>
          </w:p>
        </w:tc>
        <w:tc>
          <w:tcPr>
            <w:tcW w:w="1964"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Health Insurance Premiums</w:t>
              <w:br/>
              <w:t>($)</w:t>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19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31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6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78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47"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316" w:type="dxa"/>
            <w:gridSpan w:val="2"/>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60" w:type="dxa"/>
            <w:tcBorders>
              <w:top w:val="single" w:sz="2" w:space="0" w:color="690031"/>
            </w:tcBorders>
            <w:shd w:fill="FFEA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786" w:type="dxa"/>
            <w:tcBorders>
              <w:top w:val="single" w:sz="2" w:space="0" w:color="690031"/>
            </w:tcBorders>
            <w:shd w:fill="FFEA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13,303 </w:t>
            </w:r>
          </w:p>
        </w:tc>
        <w:tc>
          <w:tcPr>
            <w:tcW w:w="647" w:type="dxa"/>
            <w:tcBorders>
              <w:top w:val="single" w:sz="2" w:space="0" w:color="690031"/>
            </w:tcBorders>
            <w:shd w:fill="FFEA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316" w:type="dxa"/>
            <w:gridSpan w:val="2"/>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60" w:type="dxa"/>
            <w:tcBorders>
              <w:top w:val="single" w:sz="2" w:space="0" w:color="690031"/>
            </w:tcBorders>
            <w:shd w:fill="FFEA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w:t>
            </w:r>
          </w:p>
        </w:tc>
        <w:tc>
          <w:tcPr>
            <w:tcW w:w="1317" w:type="dxa"/>
            <w:gridSpan w:val="2"/>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39,910 </w:t>
            </w:r>
          </w:p>
        </w:tc>
        <w:tc>
          <w:tcPr>
            <w:tcW w:w="647" w:type="dxa"/>
            <w:tcBorders>
              <w:top w:val="single" w:sz="2" w:space="0" w:color="690031"/>
            </w:tcBorders>
            <w:shd w:fill="FFEA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97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24,031,550</w:t>
            </w:r>
          </w:p>
        </w:tc>
        <w:tc>
          <w:tcPr>
            <w:tcW w:w="327" w:type="dxa"/>
            <w:gridSpan w:val="3"/>
            <w:tcBorders/>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(4)</w:t>
            </w:r>
          </w:p>
        </w:tc>
        <w:tc>
          <w:tcPr>
            <w:tcW w:w="1653" w:type="dxa"/>
            <w:gridSpan w:val="2"/>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0</w:t>
            </w:r>
          </w:p>
        </w:tc>
        <w:tc>
          <w:tcPr>
            <w:tcW w:w="327"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250,000</w:t>
            </w:r>
          </w:p>
        </w:tc>
        <w:tc>
          <w:tcPr>
            <w:tcW w:w="196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13,303</w:t>
            </w:r>
          </w:p>
        </w:tc>
        <w:tc>
          <w:tcPr>
            <w:tcW w:w="378"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9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24,031,550</w:t>
            </w:r>
          </w:p>
        </w:tc>
        <w:tc>
          <w:tcPr>
            <w:tcW w:w="32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(4)</w:t>
            </w:r>
          </w:p>
        </w:tc>
        <w:tc>
          <w:tcPr>
            <w:tcW w:w="2439"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w:t>
            </w:r>
          </w:p>
        </w:tc>
        <w:tc>
          <w:tcPr>
            <w:tcW w:w="1964"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39,910</w:t>
            </w:r>
          </w:p>
        </w:tc>
        <w:tc>
          <w:tcPr>
            <w:tcW w:w="378" w:type="dxa"/>
            <w:gridSpan w:val="3"/>
            <w:tcBorders>
              <w:top w:val="single" w:sz="2" w:space="0" w:color="69003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Eleanor Lacey</w:t>
            </w:r>
          </w:p>
        </w:tc>
        <w:tc>
          <w:tcPr>
            <w:tcW w:w="19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97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4,348,068</w:t>
            </w:r>
          </w:p>
        </w:tc>
        <w:tc>
          <w:tcPr>
            <w:tcW w:w="32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(5)</w:t>
            </w:r>
          </w:p>
        </w:tc>
        <w:tc>
          <w:tcPr>
            <w:tcW w:w="1653"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78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47"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316" w:type="dxa"/>
            <w:gridSpan w:val="2"/>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60" w:type="dxa"/>
            <w:tcBorders>
              <w:top w:val="single" w:sz="2" w:space="0" w:color="690031"/>
            </w:tcBorders>
            <w:shd w:fill="FFEA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220,000 </w:t>
            </w:r>
          </w:p>
        </w:tc>
        <w:tc>
          <w:tcPr>
            <w:tcW w:w="786" w:type="dxa"/>
            <w:tcBorders>
              <w:top w:val="single" w:sz="2" w:space="0" w:color="690031"/>
            </w:tcBorders>
            <w:shd w:fill="FFEA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13,303 </w:t>
            </w:r>
          </w:p>
        </w:tc>
        <w:tc>
          <w:tcPr>
            <w:tcW w:w="647" w:type="dxa"/>
            <w:tcBorders>
              <w:top w:val="single" w:sz="2" w:space="0" w:color="690031"/>
            </w:tcBorders>
            <w:shd w:fill="FFEA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976"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4,348,068</w:t>
            </w:r>
          </w:p>
        </w:tc>
        <w:tc>
          <w:tcPr>
            <w:tcW w:w="32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(5)</w:t>
            </w:r>
          </w:p>
        </w:tc>
        <w:tc>
          <w:tcPr>
            <w:tcW w:w="1653" w:type="dxa"/>
            <w:gridSpan w:val="2"/>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660,000 </w:t>
            </w:r>
          </w:p>
        </w:tc>
        <w:tc>
          <w:tcPr>
            <w:tcW w:w="786" w:type="dxa"/>
            <w:tcBorders>
              <w:top w:val="single" w:sz="2" w:space="0" w:color="690031"/>
            </w:tcBorders>
            <w:shd w:fill="FFEA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39,910</w:t>
            </w:r>
          </w:p>
        </w:tc>
        <w:tc>
          <w:tcPr>
            <w:tcW w:w="37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Anne Raimondi</w:t>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Corporate Transaction</w:t>
            </w:r>
            <w:r>
              <w:rPr>
                <w:rFonts w:ascii="Inter Light;sans-serif" w:hAnsi="Inter Light;sans-serif"/>
                <w:b w:val="false"/>
                <w:color w:val="0D0E10"/>
                <w:sz w:val="10"/>
              </w:rPr>
              <w:t>(1)</w:t>
            </w:r>
          </w:p>
        </w:tc>
        <w:tc>
          <w:tcPr>
            <w:tcW w:w="197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8,756,634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(6)</w:t>
            </w:r>
          </w:p>
        </w:tc>
        <w:tc>
          <w:tcPr>
            <w:tcW w:w="1653"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outside Change in Control Period</w:t>
            </w:r>
            <w:r>
              <w:rPr>
                <w:rFonts w:ascii="Inter Light;sans-serif" w:hAnsi="Inter Light;sans-serif"/>
                <w:b w:val="false"/>
                <w:color w:val="0D0E10"/>
                <w:sz w:val="10"/>
              </w:rPr>
              <w:t>(2)</w:t>
            </w:r>
          </w:p>
        </w:tc>
        <w:tc>
          <w:tcPr>
            <w:tcW w:w="1316" w:type="dxa"/>
            <w:gridSpan w:val="2"/>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p>
        </w:tc>
        <w:tc>
          <w:tcPr>
            <w:tcW w:w="660" w:type="dxa"/>
            <w:tcBorders>
              <w:top w:val="single" w:sz="2" w:space="0" w:color="69003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2"/>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250,000 </w:t>
            </w:r>
          </w:p>
        </w:tc>
        <w:tc>
          <w:tcPr>
            <w:tcW w:w="786" w:type="dxa"/>
            <w:tcBorders>
              <w:top w:val="single" w:sz="2" w:space="0" w:color="69003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2" w:space="0" w:color="690031"/>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13,303 </w:t>
            </w:r>
          </w:p>
        </w:tc>
        <w:tc>
          <w:tcPr>
            <w:tcW w:w="647" w:type="dxa"/>
            <w:tcBorders>
              <w:top w:val="single" w:sz="2" w:space="0" w:color="69003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90031"/>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Termination within Change in Control Period</w:t>
            </w:r>
            <w:r>
              <w:rPr>
                <w:rFonts w:ascii="Inter Light;sans-serif" w:hAnsi="Inter Light;sans-serif"/>
                <w:b w:val="false"/>
                <w:color w:val="0D0E10"/>
                <w:sz w:val="10"/>
              </w:rPr>
              <w:t>(3)</w:t>
            </w:r>
          </w:p>
        </w:tc>
        <w:tc>
          <w:tcPr>
            <w:tcW w:w="1976"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8,756,634</w:t>
            </w:r>
          </w:p>
        </w:tc>
        <w:tc>
          <w:tcPr>
            <w:tcW w:w="327" w:type="dxa"/>
            <w:gridSpan w:val="3"/>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0"/>
              </w:rPr>
            </w:pPr>
            <w:r>
              <w:rPr>
                <w:rFonts w:ascii="Inter Light;sans-serif" w:hAnsi="Inter Light;sans-serif"/>
                <w:b w:val="false"/>
                <w:color w:val="0D0E10"/>
                <w:sz w:val="10"/>
              </w:rPr>
              <w:t>(6)</w:t>
            </w:r>
          </w:p>
        </w:tc>
        <w:tc>
          <w:tcPr>
            <w:tcW w:w="1653" w:type="dxa"/>
            <w:gridSpan w:val="2"/>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750,000 </w:t>
            </w:r>
          </w:p>
        </w:tc>
        <w:tc>
          <w:tcPr>
            <w:tcW w:w="786" w:type="dxa"/>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39,910 </w:t>
            </w:r>
          </w:p>
        </w:tc>
        <w:tc>
          <w:tcPr>
            <w:tcW w:w="647" w:type="dxa"/>
            <w:tcBorders>
              <w:top w:val="single" w:sz="2"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90031"/>
              <w:bottom w:val="single" w:sz="4"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39140"/>
                <wp:effectExtent l="0" t="0" r="0" b="0"/>
                <wp:wrapNone/>
                <wp:docPr id="102" name="Frame5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34" w:type="dxa"/>
        <w:jc w:val="left"/>
        <w:tblInd w:w="0" w:type="dxa"/>
        <w:tblLayout w:type="fixed"/>
        <w:tblCellMar>
          <w:top w:w="28" w:type="dxa"/>
          <w:left w:w="28" w:type="dxa"/>
          <w:bottom w:w="28" w:type="dxa"/>
          <w:right w:w="28" w:type="dxa"/>
        </w:tblCellMar>
      </w:tblPr>
      <w:tblGrid>
        <w:gridCol w:w="575"/>
        <w:gridCol w:w="505"/>
        <w:gridCol w:w="509"/>
        <w:gridCol w:w="716"/>
        <w:gridCol w:w="716"/>
        <w:gridCol w:w="10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45"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Executive Compensation</w:t>
            </w:r>
          </w:p>
        </w:tc>
      </w:tr>
    </w:tbl>
    <w:p>
      <w:pPr>
        <w:pStyle w:val="TextBody"/>
        <w:bidi w:val="0"/>
        <w:spacing w:lineRule="atLeast" w:line="220" w:before="0" w:after="160"/>
        <w:jc w:val="left"/>
        <w:rPr>
          <w:rFonts w:ascii="Inter Light;sans-serif" w:hAnsi="Inter Light;sans-serif"/>
          <w:b w:val="false"/>
          <w:color w:val="636466"/>
          <w:sz w:val="16"/>
        </w:rPr>
      </w:pPr>
      <w:r>
        <w:rPr>
          <w:rFonts w:ascii="Inter Light;sans-serif" w:hAnsi="Inter Light;sans-serif"/>
          <w:b w:val="false"/>
          <w:color w:val="636466"/>
          <w:sz w:val="16"/>
        </w:rPr>
        <w:t>Assumes full acceleration of the NEO’s unvested equity awards granted under our 2020 Equity Incentive Plan, as of January 31, 2025 and as a result of a “corporate transaction,” as defined in our 2020 Equity Incentive Plan, in which the surviving corporation does not assume or continue the outstanding awards or substitute similar awards for such outstanding awards. The value realized on vesting does not reflect the actual value received by each NEO because a portion of the shares will be withheld at settlement by us to satisfy the NEO’s tax withholding obligations. Amounts are rounded to the nearest whole dollar. Amounts do not include the value of shares of our Class A common stock underlying RSUs that vested prior to January 31, 2025, but remained subject to a holding period. For the value of such shares, please see the section entitled “Nonqualified Deferred Compensation Table for Fiscal Year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(1)Represents the amounts the NEO would have received pursuant to the Executive Severance Plan in the event of a "Covered Termination" (as defined in the Executive Severance Plan) on January 31, 2025 assuming that such Covered Termination took place outside of a "Change in Control Period" (as defined in the Executive Severance Plan). With respect to vesting of shares underlying RSUs, the value realized on vesting does not reflect the actual value received by each NEO because a portion of the shares will be withheld at settlement by us to satisfy the NEO’s tax withholding obligations. Amounts are rounded to the nearest whole dollar.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(2)Represents the amounts the NEO would have received pursuant to the Executive Severance Plan in the event of a "Covered Termination" (as defined in the Executive Severance Plan) on January 31, 2025 assuming that such Covered Termination took place during a "Change in Control Period" (as defined in the Executive Severance Plan). With respect to vesting of shares underlying RSUs, the value realized on vesting does not reflect the actual value received by each NEO because a portion of the shares will be withheld at settlement by us to satisfy the NEO’s tax withholding obligations. Amounts are rounded to the nearest whole dollar.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(3)Assumes full acceleration of Ms. Parekh’s unvested equity awards as of January 31, 2025. Represents the dollar value of 1,126,127 shares of our Class A common stock underlying RSUs. The amount reported was calculated using the closing price of one share of our Class A common stock on January 31, 2025 ($21.34).</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(4)Assumes full acceleration of Ms. Lacey's unvested equity awards as of January 31, 2025. Represents the dollar value of 203,752 shares of our Class A common stock underlying RSUs. The amount reported was calculated using the closing price of one share of our Class A common stock on January 31, 2025 ($21.34). The amount reported does not include the value of shares of our Class A common stock underlying Ms. Lacey’s RSUs that vested prior to January 31, 2025, but remained subject to a holding period. For the value of such shares, please see the section entitled “Nonqualified Deferred Compensation Table for Fiscal Year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(5)Assumes full acceleration of Ms. Raimondi's unvested equity awards as of January 31, 2025. Represents the dollar value of 410,339 shares of our Class A common stock underlying RSUs that had not vested as of January 31, 2025. The amount reported was calculated using the closing price of one share of our Class A common stock on January 31, 2025 ($21.34). The amount reported does not include the value of shares of our Class A common stock underlying Ms. Raimondi’s RSUs that vested prior to January 31, 2025, but remained subject to a holding period. For the value of such shares, please see the section entitled “Nonqualified Deferred Compensation Table for Fiscal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59435"/>
                <wp:effectExtent l="0" t="0" r="0" b="0"/>
                <wp:wrapNone/>
                <wp:docPr id="103" name="Frame60"/>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55</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Report of the Compensation Committee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Our Compensation Committee has reviewed and discussed the Compensation Discussion and Analysis required by Item 402(b) of Regulation S-K and contained within this proxy statement with management and, based on such review and discussions, our Compensation Committee recommended to our Board that the Compensation Discussion and Analysis be included in this proxy statement and incorporated into our Annual Report on Form 10-K for the fiscal year ended January 31, 2025.</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Submitted by the Compensation Committee of the Board of Directors*:</w:t>
      </w:r>
    </w:p>
    <w:p>
      <w:pPr>
        <w:pStyle w:val="TextBody"/>
        <w:bidi w:val="0"/>
        <w:spacing w:lineRule="atLeast" w:line="260" w:before="0" w:after="60"/>
        <w:ind w:left="0" w:right="0" w:hanging="270"/>
        <w:jc w:val="left"/>
        <w:rPr/>
      </w:pPr>
      <w:r>
        <w:rPr>
          <w:color w:val="000000"/>
        </w:rPr>
        <w:t>•</w:t>
      </w:r>
      <w:r>
        <w:rPr>
          <w:rFonts w:ascii="Inter Medium;sans-serif" w:hAnsi="Inter Medium;sans-serif"/>
          <w:b/>
          <w:color w:val="000000"/>
          <w:sz w:val="18"/>
        </w:rPr>
        <w:t>Krista Anderson-Copperman</w:t>
      </w:r>
      <w:r>
        <w:rPr>
          <w:color w:val="0D0E10"/>
        </w:rPr>
        <w:t xml:space="preserve"> </w:t>
      </w:r>
      <w:r>
        <w:rPr>
          <w:rFonts w:ascii="Inter Light;sans-serif" w:hAnsi="Inter Light;sans-serif"/>
          <w:b w:val="false"/>
          <w:color w:val="0D0E10"/>
          <w:sz w:val="18"/>
        </w:rPr>
        <w:t>(Chair)</w:t>
      </w:r>
    </w:p>
    <w:p>
      <w:pPr>
        <w:pStyle w:val="TextBody"/>
        <w:bidi w:val="0"/>
        <w:spacing w:lineRule="atLeast" w:line="260" w:before="0" w:after="240"/>
        <w:ind w:left="0" w:right="0" w:hanging="270"/>
        <w:jc w:val="left"/>
        <w:rPr/>
      </w:pPr>
      <w:r>
        <w:rPr>
          <w:color w:val="000000"/>
        </w:rPr>
        <w:t>•</w:t>
      </w:r>
      <w:r>
        <w:rPr>
          <w:rFonts w:ascii="Inter Medium;sans-serif" w:hAnsi="Inter Medium;sans-serif"/>
          <w:b/>
          <w:color w:val="000000"/>
          <w:sz w:val="18"/>
        </w:rPr>
        <w:t>Sydney Carey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*Marc Boroditsky currently serves on the Compensation Committee. However, he was appointed to the Compensation Committee effective April 16, 2025 and did not participate in the review, discussions and recommendations referenced in this report and therefore is not a signatory to this report.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lineRule="atLeast" w:line="260" w:before="0" w:after="0"/>
              <w:jc w:val="both"/>
              <w:rPr>
                <w:rFonts w:ascii="Inter Light;sans-serif" w:hAnsi="Inter Light;sans-serif"/>
                <w:b w:val="false"/>
                <w:color w:val="690031"/>
                <w:sz w:val="18"/>
              </w:rPr>
            </w:pPr>
            <w:r>
              <w:rPr>
                <w:rFonts w:ascii="Inter Light;sans-serif" w:hAnsi="Inter Light;sans-serif"/>
                <w:b w:val="false"/>
                <w:color w:val="690031"/>
                <w:sz w:val="18"/>
              </w:rPr>
              <w:t>The Compensation Committee Report does not constitute soliciting material, and shall not be deemed to be filed or incorporated by reference into any Company filing under the Securities Act of 1933, as amended, or the Exchange Act except to the extent that the Company specifically incorporates the Compensation Committee Report by reference therein.</w:t>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39140"/>
                <wp:effectExtent l="0" t="0" r="0" b="0"/>
                <wp:wrapNone/>
                <wp:docPr id="104" name="Frame6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8"/>
        <w:gridCol w:w="2871"/>
        <w:gridCol w:w="4066"/>
      </w:tblGrid>
      <w:tr>
        <w:trPr/>
        <w:tc>
          <w:tcPr>
            <w:tcW w:w="326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360" w:before="0" w:after="600"/>
              <w:jc w:val="left"/>
              <w:rPr>
                <w:rFonts w:ascii="Inter Medium;sans-serif" w:hAnsi="Inter Medium;sans-serif"/>
                <w:b w:val="false"/>
                <w:color w:val="0D0E10"/>
                <w:sz w:val="56"/>
              </w:rPr>
            </w:pPr>
            <w:r>
              <w:rPr>
                <w:rFonts w:ascii="Inter Medium;sans-serif" w:hAnsi="Inter Medium;sans-serif"/>
                <w:b w:val="false"/>
                <w:color w:val="0D0E10"/>
                <w:sz w:val="56"/>
              </w:rPr>
              <w:t>Equity Compensation Plan Information</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summarizes our equity compensation plan information as of January 31, 2025. Information is included for equity compensation plans approved by our stockholders. We do not have any equity compensation plans not approved by our stockholders.</w:t>
      </w:r>
    </w:p>
    <w:tbl>
      <w:tblPr>
        <w:tblW w:w="10205" w:type="dxa"/>
        <w:jc w:val="left"/>
        <w:tblInd w:w="0" w:type="dxa"/>
        <w:tblLayout w:type="fixed"/>
        <w:tblCellMar>
          <w:top w:w="28" w:type="dxa"/>
          <w:left w:w="28" w:type="dxa"/>
          <w:bottom w:w="28" w:type="dxa"/>
          <w:right w:w="28" w:type="dxa"/>
        </w:tblCellMar>
      </w:tblPr>
      <w:tblGrid>
        <w:gridCol w:w="690"/>
        <w:gridCol w:w="608"/>
        <w:gridCol w:w="611"/>
        <w:gridCol w:w="352"/>
        <w:gridCol w:w="352"/>
        <w:gridCol w:w="353"/>
        <w:gridCol w:w="727"/>
        <w:gridCol w:w="727"/>
        <w:gridCol w:w="729"/>
        <w:gridCol w:w="669"/>
        <w:gridCol w:w="669"/>
        <w:gridCol w:w="671"/>
        <w:gridCol w:w="889"/>
        <w:gridCol w:w="889"/>
        <w:gridCol w:w="891"/>
        <w:gridCol w:w="109"/>
        <w:gridCol w:w="109"/>
        <w:gridCol w:w="160"/>
      </w:tblGrid>
      <w:tr>
        <w:trPr/>
        <w:tc>
          <w:tcPr>
            <w:tcW w:w="69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Plan Category</w:t>
            </w:r>
          </w:p>
        </w:tc>
        <w:tc>
          <w:tcPr>
            <w:tcW w:w="1057"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FFEAEC"/>
                <w:sz w:val="16"/>
              </w:rPr>
            </w:pPr>
            <w:r>
              <w:rPr>
                <w:rFonts w:ascii="Inter Medium;sans-serif" w:hAnsi="Inter Medium;sans-serif"/>
                <w:b w:val="false"/>
                <w:color w:val="FFEAEC"/>
                <w:sz w:val="16"/>
              </w:rPr>
              <w:t>Class of Common Stock</w:t>
            </w:r>
          </w:p>
        </w:tc>
        <w:tc>
          <w:tcPr>
            <w:tcW w:w="2183"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(a)</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Number of Securities to be Issued Upon Exercise of Outstanding Options, Warrants and Rights</w:t>
            </w:r>
          </w:p>
        </w:tc>
        <w:tc>
          <w:tcPr>
            <w:tcW w:w="2009"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(b)</w:t>
            </w:r>
          </w:p>
          <w:p>
            <w:pPr>
              <w:pStyle w:val="TableContents"/>
              <w:bidi w:val="0"/>
              <w:spacing w:lineRule="atLeast" w:line="220" w:before="0" w:after="0"/>
              <w:jc w:val="center"/>
              <w:rPr/>
            </w:pPr>
            <w:r>
              <w:rPr>
                <w:rFonts w:ascii="Inter Medium;sans-serif" w:hAnsi="Inter Medium;sans-serif"/>
                <w:b w:val="false"/>
                <w:color w:val="FFEAEC"/>
                <w:sz w:val="16"/>
              </w:rPr>
              <w:t>Weighted Average Exercise Price of Outstanding Options, Warrants and Rights</w:t>
            </w:r>
            <w:r>
              <w:rPr>
                <w:rFonts w:ascii="Inter Medium;sans-serif" w:hAnsi="Inter Medium;sans-serif"/>
                <w:b w:val="false"/>
                <w:color w:val="FFEAEC"/>
                <w:sz w:val="10"/>
              </w:rPr>
              <w:t>(1)</w:t>
            </w:r>
          </w:p>
        </w:tc>
        <w:tc>
          <w:tcPr>
            <w:tcW w:w="2669"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Number of Securities Remaining Available for Future Issuance Under Equity Compensation Plans (Excluding Securities </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Reflected in Column (a))</w:t>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vMerge w:val="restart"/>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Equity compensation plans approved by security holders</w:t>
            </w:r>
          </w:p>
        </w:tc>
        <w:tc>
          <w:tcPr>
            <w:tcW w:w="1057"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pPr>
            <w:r>
              <w:rPr>
                <w:rFonts w:ascii="Inter Light;sans-serif" w:hAnsi="Inter Light;sans-serif"/>
                <w:b w:val="false"/>
                <w:color w:val="0D0E10"/>
                <w:sz w:val="16"/>
              </w:rPr>
              <w:t>Class A</w:t>
            </w:r>
            <w:r>
              <w:rPr>
                <w:rFonts w:ascii="Inter Light;sans-serif" w:hAnsi="Inter Light;sans-serif"/>
                <w:b w:val="false"/>
                <w:color w:val="0D0E10"/>
                <w:sz w:val="10"/>
              </w:rPr>
              <w:t>(2)</w:t>
            </w:r>
          </w:p>
        </w:tc>
        <w:tc>
          <w:tcPr>
            <w:tcW w:w="218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28,206,935</w:t>
            </w:r>
          </w:p>
        </w:tc>
        <w:tc>
          <w:tcPr>
            <w:tcW w:w="2009"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$3.48</w:t>
            </w:r>
          </w:p>
        </w:tc>
        <w:tc>
          <w:tcPr>
            <w:tcW w:w="2669"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28,672,436</w:t>
            </w:r>
          </w:p>
        </w:tc>
        <w:tc>
          <w:tcPr>
            <w:tcW w:w="378"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vMerge w:val="continue"/>
            <w:tcBorders/>
            <w:shd w:fill="FFEAEC" w:val="clear"/>
            <w:tcMar>
              <w:top w:w="0" w:type="dxa"/>
              <w:left w:w="0" w:type="dxa"/>
              <w:bottom w:w="0" w:type="dxa"/>
              <w:right w:w="0" w:type="dxa"/>
            </w:tcMar>
            <w:vAlign w:val="center"/>
          </w:tcPr>
          <w:p>
            <w:pPr>
              <w:pStyle w:val="Normal"/>
              <w:bidi w:val="0"/>
              <w:jc w:val="left"/>
              <w:rPr/>
            </w:pPr>
            <w:r>
              <w:rPr/>
            </w:r>
          </w:p>
        </w:tc>
        <w:tc>
          <w:tcPr>
            <w:tcW w:w="1057"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Class B</w:t>
            </w:r>
          </w:p>
        </w:tc>
        <w:tc>
          <w:tcPr>
            <w:tcW w:w="2183"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00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669" w:type="dxa"/>
            <w:gridSpan w:val="3"/>
            <w:tcBorders>
              <w:top w:val="single" w:sz="2" w:space="0" w:color="690031"/>
            </w:tcBorders>
            <w:shd w:fill="FFEAEC" w:val="clear"/>
            <w:tcMar>
              <w:top w:w="3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378" w:type="dxa"/>
            <w:gridSpan w:val="3"/>
            <w:tcBorders>
              <w:top w:val="single" w:sz="2" w:space="0" w:color="690031"/>
            </w:tcBorders>
            <w:shd w:fill="FFEA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Inter Light;sans-serif" w:hAnsi="Inter Light;sans-serif"/>
                <w:b w:val="false"/>
                <w:color w:val="0D0E10"/>
                <w:sz w:val="16"/>
              </w:rPr>
            </w:pPr>
            <w:r>
              <w:rPr>
                <w:rFonts w:ascii="Inter Light;sans-serif" w:hAnsi="Inter Light;sans-serif"/>
                <w:b w:val="false"/>
                <w:color w:val="0D0E10"/>
                <w:sz w:val="16"/>
              </w:rPr>
              <w:t>Equity compensation plans not approved by security holders</w:t>
            </w:r>
          </w:p>
        </w:tc>
        <w:tc>
          <w:tcPr>
            <w:tcW w:w="1057" w:type="dxa"/>
            <w:gridSpan w:val="3"/>
            <w:tcBorders/>
            <w:tcMar>
              <w:top w:w="0" w:type="dxa"/>
              <w:left w:w="0" w:type="dxa"/>
              <w:bottom w:w="0" w:type="dxa"/>
              <w:right w:w="0" w:type="dxa"/>
            </w:tcMar>
            <w:vAlign w:val="center"/>
          </w:tcPr>
          <w:p>
            <w:pPr>
              <w:pStyle w:val="TableContents"/>
              <w:bidi w:val="0"/>
              <w:spacing w:lineRule="atLeast" w:line="220" w:before="0" w:after="283"/>
              <w:jc w:val="left"/>
              <w:rPr>
                <w:color w:val="0D0E10"/>
              </w:rPr>
            </w:pPr>
            <w:r>
              <w:rPr>
                <w:color w:val="0D0E10"/>
              </w:rPr>
              <w:t>—</w:t>
            </w:r>
          </w:p>
        </w:tc>
        <w:tc>
          <w:tcPr>
            <w:tcW w:w="2183"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009"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2669" w:type="dxa"/>
            <w:gridSpan w:val="3"/>
            <w:tcBorders/>
            <w:tcMar>
              <w:top w:w="0" w:type="dxa"/>
              <w:left w:w="0" w:type="dxa"/>
              <w:bottom w:w="0" w:type="dxa"/>
              <w:right w:w="0" w:type="dxa"/>
            </w:tcMar>
            <w:vAlign w:val="center"/>
          </w:tcPr>
          <w:p>
            <w:pPr>
              <w:pStyle w:val="TableContents"/>
              <w:bidi w:val="0"/>
              <w:spacing w:lineRule="atLeast" w:line="220" w:before="0" w:after="283"/>
              <w:jc w:val="center"/>
              <w:rPr>
                <w:color w:val="0D0E10"/>
              </w:rPr>
            </w:pPr>
            <w:r>
              <w:rPr>
                <w:color w:val="0D0E1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op w:val="single" w:sz="4"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0"/>
              <w:jc w:val="left"/>
              <w:rPr>
                <w:rFonts w:ascii="Inter Medium;sans-serif" w:hAnsi="Inter Medium;sans-serif"/>
                <w:b w:val="false"/>
                <w:color w:val="690031"/>
                <w:sz w:val="16"/>
              </w:rPr>
            </w:pPr>
            <w:r>
              <w:rPr>
                <w:rFonts w:ascii="Inter Medium;sans-serif" w:hAnsi="Inter Medium;sans-serif"/>
                <w:b w:val="false"/>
                <w:color w:val="690031"/>
                <w:sz w:val="16"/>
              </w:rPr>
              <w:t>Total</w:t>
            </w:r>
          </w:p>
        </w:tc>
        <w:tc>
          <w:tcPr>
            <w:tcW w:w="1057" w:type="dxa"/>
            <w:gridSpan w:val="3"/>
            <w:tcBorders>
              <w:top w:val="single" w:sz="4"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690031"/>
                <w:sz w:val="16"/>
              </w:rPr>
            </w:pPr>
            <w:r>
              <w:rPr>
                <w:rFonts w:ascii="Inter Medium;sans-serif" w:hAnsi="Inter Medium;sans-serif"/>
                <w:b w:val="false"/>
                <w:color w:val="690031"/>
                <w:sz w:val="16"/>
              </w:rPr>
              <w:t>Class A and Class B</w:t>
            </w:r>
          </w:p>
        </w:tc>
        <w:tc>
          <w:tcPr>
            <w:tcW w:w="2183" w:type="dxa"/>
            <w:gridSpan w:val="3"/>
            <w:tcBorders>
              <w:top w:val="single" w:sz="4"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0"/>
              <w:jc w:val="center"/>
              <w:rPr>
                <w:rFonts w:ascii="Inter Medium;sans-serif" w:hAnsi="Inter Medium;sans-serif"/>
                <w:b w:val="false"/>
                <w:color w:val="690031"/>
                <w:sz w:val="16"/>
              </w:rPr>
            </w:pPr>
            <w:r>
              <w:rPr>
                <w:rFonts w:ascii="Inter Medium;sans-serif" w:hAnsi="Inter Medium;sans-serif"/>
                <w:b w:val="false"/>
                <w:color w:val="690031"/>
                <w:sz w:val="16"/>
              </w:rPr>
              <w:t>28,206,935</w:t>
            </w:r>
          </w:p>
        </w:tc>
        <w:tc>
          <w:tcPr>
            <w:tcW w:w="2009" w:type="dxa"/>
            <w:gridSpan w:val="3"/>
            <w:tcBorders>
              <w:top w:val="single" w:sz="4"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0"/>
              <w:jc w:val="center"/>
              <w:rPr>
                <w:rFonts w:ascii="Inter Medium;sans-serif" w:hAnsi="Inter Medium;sans-serif"/>
                <w:b w:val="false"/>
                <w:color w:val="690031"/>
                <w:sz w:val="16"/>
              </w:rPr>
            </w:pPr>
            <w:r>
              <w:rPr>
                <w:rFonts w:ascii="Inter Medium;sans-serif" w:hAnsi="Inter Medium;sans-serif"/>
                <w:b w:val="false"/>
                <w:color w:val="690031"/>
                <w:sz w:val="16"/>
              </w:rPr>
              <w:t>$3.48</w:t>
            </w:r>
          </w:p>
        </w:tc>
        <w:tc>
          <w:tcPr>
            <w:tcW w:w="2669" w:type="dxa"/>
            <w:gridSpan w:val="3"/>
            <w:tcBorders>
              <w:top w:val="single" w:sz="4" w:space="0" w:color="690031"/>
              <w:bottom w:val="single" w:sz="4" w:space="0" w:color="690031"/>
            </w:tcBorders>
            <w:shd w:fill="FFEAEC" w:val="clear"/>
            <w:tcMar>
              <w:top w:w="30" w:type="dxa"/>
              <w:left w:w="0" w:type="dxa"/>
              <w:bottom w:w="30" w:type="dxa"/>
              <w:right w:w="0" w:type="dxa"/>
            </w:tcMar>
            <w:vAlign w:val="center"/>
          </w:tcPr>
          <w:p>
            <w:pPr>
              <w:pStyle w:val="TableContents"/>
              <w:bidi w:val="0"/>
              <w:spacing w:lineRule="atLeast" w:line="220" w:before="0" w:after="283"/>
              <w:jc w:val="center"/>
              <w:rPr>
                <w:rFonts w:ascii="Inter Medium;sans-serif" w:hAnsi="Inter Medium;sans-serif"/>
                <w:b w:val="false"/>
                <w:color w:val="690031"/>
                <w:sz w:val="16"/>
              </w:rPr>
            </w:pPr>
            <w:r>
              <w:rPr>
                <w:rFonts w:ascii="Inter Medium;sans-serif" w:hAnsi="Inter Medium;sans-serif"/>
                <w:b w:val="false"/>
                <w:color w:val="690031"/>
                <w:sz w:val="16"/>
              </w:rPr>
              <w:t>28,672,436</w:t>
            </w:r>
          </w:p>
        </w:tc>
        <w:tc>
          <w:tcPr>
            <w:tcW w:w="378" w:type="dxa"/>
            <w:gridSpan w:val="3"/>
            <w:tcBorders>
              <w:top w:val="single" w:sz="4" w:space="0" w:color="690031"/>
              <w:bottom w:val="single" w:sz="4" w:space="0" w:color="690031"/>
            </w:tcBorders>
            <w:shd w:fill="FFEAE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(1)The weighted-average exercise price is calculated based solely on outstanding stock options. It does not take into account the shares of our common stock underlying restricted stock units, which have no exercise price.</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(2)Includes the following plans: The 2020 Equity Incentive Plan, the Amended and Restated 2012 Stock Plan, and the ESPP. The shares of our Class A common stock underlying any awards that are forfeited, canceled, held back upon exercise or settlement of an award to satisfy the exercise price or tax withholding, reacquired by us prior to vesting, satisfied without the issuance of stock, expire or are otherwise terminated, other than by exercise, under the 2020 Equity Incentive Plan and the Amended and Restated 2012 Stock Plan, will be added back to the shares of our Class A common stock available for issuance under the 2020 Equity Incentive Plan. The Amended and Restated 2012 Stock Plan has been terminated and no further grants will be made under the Amended and Restated 2012 Stock Plan. Our 2020 Equity Incentive Plan provides that on February 1 of each calendar year, starting on February 1, 2021 through February 1, 2030, the number of shares of our Class A common stock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prior to the applicable February 1. Our ESPP provides that on February 1 of each calendar year, starting on February 1, 2021 through February 1, 2030, the number of shares of our Class A common stock reserved for issuance thereunder is automatically increased by a number equal to the lesser of (i) 1% of the total number of shares of our common stock (both Class A and Class B) outstanding on January 31 of the fiscal year before the date of such automatic increase, and (ii) 3,000,000 shares; provided that before the date of any such increase, our Board may determine that such increase will be less than the amount set forth in clauses (i) and (ii) or that there will be no increase at all. On February 1, 2025, the number of shares of our Class A common stock available for issuance under our 2020 Equity Incentive Plan and our ESPP increased by 11,644,404 shares and 2,328,880 shares, respectively, pursuant to these provisions. These increases are not reflected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59435"/>
                <wp:effectExtent l="0" t="0" r="0" b="0"/>
                <wp:wrapNone/>
                <wp:docPr id="105" name="Frame62"/>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57</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283"/>
              <w:jc w:val="left"/>
              <w:rPr>
                <w:rFonts w:ascii="Inter Medium;sans-serif" w:hAnsi="Inter Medium;sans-serif"/>
                <w:b w:val="false"/>
                <w:color w:val="0D0E10"/>
                <w:sz w:val="56"/>
              </w:rPr>
            </w:pPr>
            <w:r>
              <w:rPr>
                <w:rFonts w:ascii="Inter Medium;sans-serif" w:hAnsi="Inter Medium;sans-serif"/>
                <w:b w:val="false"/>
                <w:color w:val="0D0E10"/>
                <w:sz w:val="56"/>
              </w:rPr>
              <w:t>Security Ownership of Certain Beneficial Owners and Management and Related Stockholder Matters</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sets forth information with respect to the beneficial ownership of our capital stock as of March 31, 2025, for:</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each of our named executive officers;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each of our directors;</w:t>
      </w:r>
    </w:p>
    <w:p>
      <w:pPr>
        <w:pStyle w:val="TextBody"/>
        <w:bidi w:val="0"/>
        <w:spacing w:lineRule="atLeast" w:line="260" w:before="0" w:after="120"/>
        <w:ind w:left="0" w:right="0" w:hanging="270"/>
        <w:jc w:val="left"/>
        <w:rPr/>
      </w:pPr>
      <w:r>
        <w:rPr>
          <w:color w:val="0D0E10"/>
        </w:rPr>
        <w:t>•</w:t>
      </w:r>
      <w:r>
        <w:rPr>
          <w:rFonts w:ascii="Inter Light;sans-serif" w:hAnsi="Inter Light;sans-serif"/>
          <w:b w:val="false"/>
          <w:color w:val="0D0E10"/>
          <w:sz w:val="18"/>
        </w:rPr>
        <w:t>all of our executive officers and directors as a group; and</w:t>
      </w:r>
    </w:p>
    <w:p>
      <w:pPr>
        <w:pStyle w:val="TextBody"/>
        <w:bidi w:val="0"/>
        <w:spacing w:lineRule="atLeast" w:line="260" w:before="0" w:after="180"/>
        <w:ind w:left="0" w:right="0" w:hanging="270"/>
        <w:jc w:val="left"/>
        <w:rPr/>
      </w:pPr>
      <w:r>
        <w:rPr>
          <w:color w:val="0D0E10"/>
        </w:rPr>
        <w:t>•</w:t>
      </w:r>
      <w:r>
        <w:rPr>
          <w:rFonts w:ascii="Inter Light;sans-serif" w:hAnsi="Inter Light;sans-serif"/>
          <w:b w:val="false"/>
          <w:color w:val="0D0E10"/>
          <w:sz w:val="18"/>
        </w:rPr>
        <w:t>each person or group of affiliated persons known by us to beneficially own more than 5% of our Class A or Class B common stock.</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based percentage ownership of our capital stock on 150,358,232 shares of our Class A common stock and 85,411,680 shares of our Class B common stock outstanding on March 31, 2025. We have deemed shares of our common stock subject to options that are currently exercisable or exercisable within 60 days of March 31, 2025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Unless otherwise indicated, the address of each beneficial owner listed below is:</w:t>
      </w:r>
    </w:p>
    <w:tbl>
      <w:tblPr>
        <w:tblW w:w="3684" w:type="dxa"/>
        <w:jc w:val="left"/>
        <w:tblInd w:w="0" w:type="dxa"/>
        <w:tblLayout w:type="fixed"/>
        <w:tblCellMar>
          <w:top w:w="28" w:type="dxa"/>
          <w:left w:w="28" w:type="dxa"/>
          <w:bottom w:w="28" w:type="dxa"/>
          <w:right w:w="28" w:type="dxa"/>
        </w:tblCellMar>
      </w:tblPr>
      <w:tblGrid>
        <w:gridCol w:w="124"/>
        <w:gridCol w:w="109"/>
        <w:gridCol w:w="109"/>
        <w:gridCol w:w="989"/>
        <w:gridCol w:w="989"/>
        <w:gridCol w:w="9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lineRule="atLeast" w:line="260" w:before="0" w:after="0"/>
              <w:jc w:val="center"/>
              <w:rPr/>
            </w:pPr>
            <w:r>
              <w:rPr>
                <w:rFonts w:ascii="Inter Medium;sans-serif" w:hAnsi="Inter Medium;sans-serif"/>
                <w:b w:val="false"/>
                <w:color w:val="690031"/>
                <w:sz w:val="18"/>
              </w:rPr>
              <w:t>c/o Asana, Inc.</w:t>
            </w:r>
            <w:r>
              <w:rPr>
                <w:rFonts w:ascii="Inter Light;sans-serif" w:hAnsi="Inter Light;sans-serif"/>
                <w:b w:val="false"/>
                <w:color w:val="690031"/>
                <w:sz w:val="18"/>
              </w:rPr>
              <w:br/>
              <w:t>633 Folsom Street, Suite 100</w:t>
              <w:br/>
              <w:t>San Francisco, California 94107</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39140"/>
                <wp:effectExtent l="0" t="0" r="0" b="0"/>
                <wp:wrapNone/>
                <wp:docPr id="106" name="Frame6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58</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1"/>
        <w:gridCol w:w="484"/>
        <w:gridCol w:w="488"/>
        <w:gridCol w:w="2540"/>
        <w:gridCol w:w="2540"/>
        <w:gridCol w:w="3602"/>
      </w:tblGrid>
      <w:tr>
        <w:trPr/>
        <w:tc>
          <w:tcPr>
            <w:tcW w:w="5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868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Security Ownership of Certain Beneficial Owners and Management and Related Stockholder Matters</w:t>
            </w:r>
          </w:p>
        </w:tc>
      </w:tr>
    </w:tbl>
    <w:tbl>
      <w:tblPr>
        <w:tblW w:w="10205" w:type="dxa"/>
        <w:jc w:val="left"/>
        <w:tblInd w:w="0" w:type="dxa"/>
        <w:tblLayout w:type="fixed"/>
        <w:tblCellMar>
          <w:top w:w="28" w:type="dxa"/>
          <w:left w:w="28" w:type="dxa"/>
          <w:bottom w:w="28" w:type="dxa"/>
          <w:right w:w="28" w:type="dxa"/>
        </w:tblCellMar>
      </w:tblPr>
      <w:tblGrid>
        <w:gridCol w:w="1718"/>
        <w:gridCol w:w="1390"/>
        <w:gridCol w:w="1368"/>
        <w:gridCol w:w="373"/>
        <w:gridCol w:w="373"/>
        <w:gridCol w:w="384"/>
        <w:gridCol w:w="217"/>
        <w:gridCol w:w="211"/>
        <w:gridCol w:w="212"/>
        <w:gridCol w:w="344"/>
        <w:gridCol w:w="344"/>
        <w:gridCol w:w="348"/>
        <w:gridCol w:w="217"/>
        <w:gridCol w:w="211"/>
        <w:gridCol w:w="212"/>
        <w:gridCol w:w="635"/>
        <w:gridCol w:w="635"/>
        <w:gridCol w:w="637"/>
        <w:gridCol w:w="109"/>
        <w:gridCol w:w="109"/>
        <w:gridCol w:w="158"/>
      </w:tblGrid>
      <w:tr>
        <w:trPr/>
        <w:tc>
          <w:tcPr>
            <w:tcW w:w="171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6"/>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 xml:space="preserve">Class A </w:t>
            </w:r>
          </w:p>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Common Stock</w:t>
            </w:r>
          </w:p>
        </w:tc>
        <w:tc>
          <w:tcPr>
            <w:tcW w:w="1676" w:type="dxa"/>
            <w:gridSpan w:val="6"/>
            <w:tcBorders>
              <w:left w:val="single" w:sz="4" w:space="0" w:color="FFEAEC"/>
            </w:tcBorders>
            <w:shd w:fill="690031" w:val="clear"/>
            <w:tcMar>
              <w:top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 xml:space="preserve">Class B </w:t>
              <w:br/>
              <w:t>Common Stock</w:t>
            </w:r>
          </w:p>
        </w:tc>
        <w:tc>
          <w:tcPr>
            <w:tcW w:w="1907"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 of Total Voting Power</w:t>
            </w:r>
            <w:r>
              <w:rPr>
                <w:color w:val="FFEAEC"/>
              </w:rPr>
              <w:t>†</w:t>
            </w:r>
          </w:p>
        </w:tc>
        <w:tc>
          <w:tcPr>
            <w:tcW w:w="3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6"/>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Name of Beneficial Owner</w:t>
            </w:r>
          </w:p>
        </w:tc>
        <w:tc>
          <w:tcPr>
            <w:tcW w:w="113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Shares</w:t>
            </w:r>
          </w:p>
        </w:tc>
        <w:tc>
          <w:tcPr>
            <w:tcW w:w="64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036"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Shares</w:t>
            </w:r>
          </w:p>
        </w:tc>
        <w:tc>
          <w:tcPr>
            <w:tcW w:w="64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90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690031"/>
                <w:sz w:val="16"/>
              </w:rPr>
            </w:pPr>
            <w:r>
              <w:rPr>
                <w:rFonts w:ascii="Inter Medium;sans-serif" w:hAnsi="Inter Medium;sans-serif"/>
                <w:b w:val="false"/>
                <w:color w:val="690031"/>
                <w:sz w:val="16"/>
              </w:rPr>
              <w:t>5% Stockholders</w:t>
            </w:r>
          </w:p>
        </w:tc>
        <w:tc>
          <w:tcPr>
            <w:tcW w:w="113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The Vanguard Group</w:t>
            </w:r>
            <w:r>
              <w:rPr>
                <w:rFonts w:ascii="Inter Medium;sans-serif" w:hAnsi="Inter Medium;sans-serif"/>
                <w:b w:val="false"/>
                <w:color w:val="000000"/>
                <w:sz w:val="10"/>
              </w:rPr>
              <w:t>(1)</w:t>
            </w:r>
          </w:p>
        </w:tc>
        <w:tc>
          <w:tcPr>
            <w:tcW w:w="113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8,835,322</w:t>
            </w:r>
          </w:p>
        </w:tc>
        <w:tc>
          <w:tcPr>
            <w:tcW w:w="640"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5.9%</w:t>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Voya Financial, Inc.</w:t>
            </w:r>
            <w:r>
              <w:rPr>
                <w:rFonts w:ascii="Inter Medium;sans-serif" w:hAnsi="Inter Medium;sans-serif"/>
                <w:b w:val="false"/>
                <w:color w:val="000000"/>
                <w:sz w:val="10"/>
              </w:rPr>
              <w:t>(2)</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10,697,066</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7.1%</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690031"/>
                <w:sz w:val="16"/>
              </w:rPr>
            </w:pPr>
            <w:r>
              <w:rPr>
                <w:rFonts w:ascii="Inter Medium;sans-serif" w:hAnsi="Inter Medium;sans-serif"/>
                <w:b w:val="false"/>
                <w:color w:val="690031"/>
                <w:sz w:val="16"/>
              </w:rPr>
              <w:t>Directors and Named Executive Officers</w:t>
            </w:r>
          </w:p>
        </w:tc>
        <w:tc>
          <w:tcPr>
            <w:tcW w:w="113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Dustin Moskovitz</w:t>
            </w:r>
            <w:r>
              <w:rPr>
                <w:rFonts w:ascii="Inter Medium;sans-serif" w:hAnsi="Inter Medium;sans-serif"/>
                <w:b w:val="false"/>
                <w:color w:val="000000"/>
                <w:sz w:val="10"/>
              </w:rPr>
              <w:t>(3)(4)</w:t>
            </w:r>
          </w:p>
        </w:tc>
        <w:tc>
          <w:tcPr>
            <w:tcW w:w="1130" w:type="dxa"/>
            <w:gridSpan w:val="3"/>
            <w:tcBorders/>
            <w:tcMar>
              <w:top w:w="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56,015,905 </w:t>
            </w:r>
          </w:p>
        </w:tc>
        <w:tc>
          <w:tcPr>
            <w:tcW w:w="640"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37.3%</w:t>
            </w:r>
          </w:p>
        </w:tc>
        <w:tc>
          <w:tcPr>
            <w:tcW w:w="1036"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67,030,474</w:t>
            </w:r>
          </w:p>
        </w:tc>
        <w:tc>
          <w:tcPr>
            <w:tcW w:w="640"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78.5%</w:t>
            </w:r>
          </w:p>
        </w:tc>
        <w:tc>
          <w:tcPr>
            <w:tcW w:w="1907"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69.3%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Eleanor Lacey</w:t>
            </w:r>
            <w:r>
              <w:rPr>
                <w:rFonts w:ascii="Inter Medium;sans-serif" w:hAnsi="Inter Medium;sans-serif"/>
                <w:b w:val="false"/>
                <w:color w:val="000000"/>
                <w:sz w:val="10"/>
              </w:rPr>
              <w:t>(5)</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225,738 </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Anne Raimondi</w:t>
            </w:r>
            <w:r>
              <w:rPr>
                <w:rFonts w:ascii="Inter Medium;sans-serif" w:hAnsi="Inter Medium;sans-serif"/>
                <w:b w:val="false"/>
                <w:color w:val="000000"/>
                <w:sz w:val="10"/>
              </w:rPr>
              <w:t>(6)</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289,532 </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Tim Wan</w:t>
            </w:r>
            <w:r>
              <w:rPr>
                <w:rFonts w:ascii="Inter Medium;sans-serif" w:hAnsi="Inter Medium;sans-serif"/>
                <w:b w:val="false"/>
                <w:color w:val="000000"/>
                <w:sz w:val="10"/>
              </w:rPr>
              <w:t>(7)</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708,542 </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Krista Anderson-Copperman</w:t>
            </w:r>
            <w:r>
              <w:rPr>
                <w:rFonts w:ascii="Inter Medium;sans-serif" w:hAnsi="Inter Medium;sans-serif"/>
                <w:b w:val="false"/>
                <w:color w:val="000000"/>
                <w:sz w:val="10"/>
              </w:rPr>
              <w:t>(8)</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21,125</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Marc Boroditsky</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Sydney Carey</w:t>
            </w:r>
            <w:r>
              <w:rPr>
                <w:rFonts w:ascii="Inter Medium;sans-serif" w:hAnsi="Inter Medium;sans-serif"/>
                <w:b w:val="false"/>
                <w:color w:val="000000"/>
                <w:sz w:val="10"/>
              </w:rPr>
              <w:t>(9)</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83,749 </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Matthew Cohler</w:t>
            </w:r>
            <w:r>
              <w:rPr>
                <w:rFonts w:ascii="Inter Medium;sans-serif" w:hAnsi="Inter Medium;sans-serif"/>
                <w:b w:val="false"/>
                <w:color w:val="000000"/>
                <w:sz w:val="10"/>
              </w:rPr>
              <w:t>(10)</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549,984 </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Adam D’Angelo</w:t>
            </w:r>
            <w:r>
              <w:rPr>
                <w:rFonts w:ascii="Inter Medium;sans-serif" w:hAnsi="Inter Medium;sans-serif"/>
                <w:b w:val="false"/>
                <w:color w:val="000000"/>
                <w:sz w:val="10"/>
              </w:rPr>
              <w:t>(11)</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1,096,145 </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48,410</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Andrew Lindsay</w:t>
            </w:r>
            <w:r>
              <w:rPr>
                <w:rFonts w:ascii="Inter Medium;sans-serif" w:hAnsi="Inter Medium;sans-serif"/>
                <w:b w:val="false"/>
                <w:color w:val="000000"/>
                <w:sz w:val="10"/>
              </w:rPr>
              <w:t>(12)</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11,267 </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Lorrie Norrington</w:t>
            </w:r>
            <w:r>
              <w:rPr>
                <w:rFonts w:ascii="Inter Medium;sans-serif" w:hAnsi="Inter Medium;sans-serif"/>
                <w:b w:val="false"/>
                <w:color w:val="000000"/>
                <w:sz w:val="10"/>
              </w:rPr>
              <w:t>(13)</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91,239 </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left"/>
              <w:rPr/>
            </w:pPr>
            <w:r>
              <w:rPr>
                <w:rFonts w:ascii="Inter Medium;sans-serif" w:hAnsi="Inter Medium;sans-serif"/>
                <w:b w:val="false"/>
                <w:color w:val="000000"/>
                <w:sz w:val="16"/>
              </w:rPr>
              <w:t>Justin Rosenstein</w:t>
            </w:r>
            <w:r>
              <w:rPr>
                <w:rFonts w:ascii="Inter Medium;sans-serif" w:hAnsi="Inter Medium;sans-serif"/>
                <w:b w:val="false"/>
                <w:color w:val="000000"/>
                <w:sz w:val="10"/>
              </w:rPr>
              <w:t>(14)</w:t>
            </w:r>
          </w:p>
        </w:tc>
        <w:tc>
          <w:tcPr>
            <w:tcW w:w="113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color w:val="0D0E10"/>
              </w:rPr>
            </w:pPr>
            <w:r>
              <w:rPr>
                <w:color w:val="0D0E10"/>
              </w:rPr>
              <w:t> </w:t>
            </w:r>
            <w:r>
              <w:rPr>
                <w:rFonts w:ascii="Inter Light;sans-serif" w:hAnsi="Inter Light;sans-serif"/>
                <w:b w:val="false"/>
                <w:color w:val="0D0E10"/>
                <w:sz w:val="16"/>
              </w:rPr>
              <w:t xml:space="preserve">1,399,026 </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w:t>
            </w:r>
          </w:p>
        </w:tc>
        <w:tc>
          <w:tcPr>
            <w:tcW w:w="1036"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16,913,990</w:t>
            </w:r>
          </w:p>
        </w:tc>
        <w:tc>
          <w:tcPr>
            <w:tcW w:w="640"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19.8%</w:t>
            </w:r>
          </w:p>
        </w:tc>
        <w:tc>
          <w:tcPr>
            <w:tcW w:w="1907" w:type="dxa"/>
            <w:gridSpan w:val="3"/>
            <w:tcBorders>
              <w:top w:val="single" w:sz="2" w:space="0" w:color="690031"/>
            </w:tcBorders>
            <w:tcMar>
              <w:top w:w="30" w:type="dxa"/>
              <w:left w:w="0" w:type="dxa"/>
              <w:bottom w:w="0" w:type="dxa"/>
              <w:right w:w="0" w:type="dxa"/>
            </w:tcMar>
            <w:vAlign w:val="center"/>
          </w:tcPr>
          <w:p>
            <w:pPr>
              <w:pStyle w:val="TableContents"/>
              <w:bidi w:val="0"/>
              <w:spacing w:lineRule="atLeast" w:line="220" w:before="0" w:after="0"/>
              <w:jc w:val="right"/>
              <w:rPr>
                <w:rFonts w:ascii="Inter Light;sans-serif" w:hAnsi="Inter Light;sans-serif"/>
                <w:b w:val="false"/>
                <w:color w:val="0D0E10"/>
                <w:sz w:val="16"/>
              </w:rPr>
            </w:pPr>
            <w:r>
              <w:rPr>
                <w:rFonts w:ascii="Inter Light;sans-serif" w:hAnsi="Inter Light;sans-serif"/>
                <w:b w:val="false"/>
                <w:color w:val="0D0E10"/>
                <w:sz w:val="16"/>
              </w:rPr>
              <w:t>17.0%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0"/>
              <w:jc w:val="left"/>
              <w:rPr>
                <w:rFonts w:ascii="Inter Medium;sans-serif" w:hAnsi="Inter Medium;sans-serif"/>
                <w:b w:val="false"/>
                <w:color w:val="000000"/>
                <w:sz w:val="16"/>
              </w:rPr>
            </w:pPr>
            <w:r>
              <w:rPr>
                <w:rFonts w:ascii="Inter Medium;sans-serif" w:hAnsi="Inter Medium;sans-serif"/>
                <w:b w:val="false"/>
                <w:color w:val="000000"/>
                <w:sz w:val="16"/>
              </w:rPr>
              <w:t>All directors and executive officers as a group (13 persons)</w:t>
            </w:r>
          </w:p>
        </w:tc>
        <w:tc>
          <w:tcPr>
            <w:tcW w:w="1130"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60,492,252</w:t>
            </w:r>
          </w:p>
        </w:tc>
        <w:tc>
          <w:tcPr>
            <w:tcW w:w="640"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40.0%</w:t>
            </w:r>
          </w:p>
        </w:tc>
        <w:tc>
          <w:tcPr>
            <w:tcW w:w="1036"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83,992,874</w:t>
            </w:r>
          </w:p>
        </w:tc>
        <w:tc>
          <w:tcPr>
            <w:tcW w:w="640"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98.3%</w:t>
            </w:r>
          </w:p>
        </w:tc>
        <w:tc>
          <w:tcPr>
            <w:tcW w:w="1907" w:type="dxa"/>
            <w:gridSpan w:val="3"/>
            <w:tcBorders>
              <w:top w:val="single" w:sz="2" w:space="0" w:color="690031"/>
              <w:bottom w:val="single" w:sz="4" w:space="0" w:color="690031"/>
            </w:tcBorders>
            <w:tcMar>
              <w:top w:w="3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86.6%</w:t>
            </w:r>
          </w:p>
        </w:tc>
        <w:tc>
          <w:tcPr>
            <w:tcW w:w="376" w:type="dxa"/>
            <w:gridSpan w:val="3"/>
            <w:tcBorders>
              <w:bottom w:val="single" w:sz="4" w:space="0" w:color="69003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Represents beneficial ownership or voting power of less than 1%.</w:t>
      </w:r>
    </w:p>
    <w:p>
      <w:pPr>
        <w:pStyle w:val="TextBody"/>
        <w:bidi w:val="0"/>
        <w:spacing w:lineRule="atLeast" w:line="220" w:before="0" w:after="160"/>
        <w:ind w:left="0" w:right="0" w:hanging="360"/>
        <w:jc w:val="left"/>
        <w:rPr>
          <w:color w:val="636466"/>
        </w:rPr>
      </w:pPr>
      <w:r>
        <w:rPr>
          <w:color w:val="636466"/>
        </w:rPr>
        <w:t>†    </w:t>
      </w:r>
      <w:r>
        <w:rPr>
          <w:rFonts w:ascii="Inter Light;sans-serif" w:hAnsi="Inter Light;sans-serif"/>
          <w:b w:val="false"/>
          <w:color w:val="636466"/>
          <w:sz w:val="16"/>
        </w:rPr>
        <w:t>Represents the voting power with respect to all shares of our Class A common stock and Class B common stock, voting together as a single class. Each share of our Class A common stock is entitled to one vote per share, and each share of our Class B common stock is entitled to 10 votes per share. Our Class A common stock and Class B common stock vote together on all matters (including the election of directors) submitted to a vote of stockholders, except under limited circumstances.</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(1)Based on information contained in a Schedule 13G (the “Vanguard 13G”) filed with the SEC by The Vanguard Group (“Vanguard”) on February 13, 2024. According to the Schedule 13G, as of December 29, 2023, Vanguard has shared power to vote or direct the vote of 149,307 shares of our Class A common stock, shared power to dispose or direct the disposition of 232,618 shares of our Class A common stock, and sole power to dispose or direct the disposition of 8,602,704 shares of our Class A common stock. According to the Schedule 13G, as of December 29, 2023, Vanguard beneficially owned 8,835,322 shares of our Class A common stock in the aggregate. The address of Vanguard’s principal business office is 100 Vanguard Blvd., Malvern, PA 19355. The Vanguard 13G provides information only as of December 29, 2023 and, consequently, the beneficial ownership of the above-mentioned entity may have changed between December 29, 2023 and March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(2)Based on information contained in a Schedule 13G (the “Voya Financial 13G”) filed with the SEC by Voya Financial, Inc. as the ultimate corporate parent of its direct and indirect subsidiaries (“Voya Financial”) on February 14, 2024. According to the Schedule 13G, as of December 29, 2023, Voya Financial has sole power to vote or direct the vote of 4,174,061 shares of our Class A common stock and sole power to dispose or direct the disposition of 10,697,066 shares of our Class A common stock. According to the Schedule 13G, as of December 29, 2023, Voya Financial beneficially owned 10,697,066 shares of our Class A common stock in the aggregate. The address of Voya Financial’s principal business office is 230 Park Avenue New York, NY 10169. The Voya Financial 13G provides information only as of December 29, 2023 and, consequently, the beneficial ownership of the above-mentioned entity may have changed between December 29, 2023 and March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(3)Consists of (a) 50,147,943 shares of our Class A common stock and 21,395,830 shares of our Class B common stock held directly by Mr. Moskovitz, (b) 4,147,046 shares of our Class A common stock and 42,030,755 shares of our Class B common stock held of record by the Dustin A. Moskovitz TTEE Dustin A. Moskovitz Trust DTD 12/27/05 (the “Dustin Moskovitz Trust”), (c) 2,604,170 shares of our Class B common stock held of record by the Dustin Moskovitz Roth IRA, (d) 460,000 shares of our Class B common stock held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59435"/>
                <wp:effectExtent l="0" t="0" r="0" b="0"/>
                <wp:wrapNone/>
                <wp:docPr id="107" name="Frame64"/>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59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32"/>
        <w:gridCol w:w="2755"/>
        <w:gridCol w:w="2761"/>
        <w:gridCol w:w="455"/>
        <w:gridCol w:w="455"/>
        <w:gridCol w:w="647"/>
      </w:tblGrid>
      <w:tr>
        <w:trPr/>
        <w:tc>
          <w:tcPr>
            <w:tcW w:w="3132"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8648"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Security Ownership of Certain Beneficial Owners and Management and Related Stockholder Matters</w:t>
            </w:r>
          </w:p>
        </w:tc>
        <w:tc>
          <w:tcPr>
            <w:tcW w:w="1557"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20" w:before="0" w:after="160"/>
        <w:jc w:val="left"/>
        <w:rPr>
          <w:rFonts w:ascii="Inter Light;sans-serif" w:hAnsi="Inter Light;sans-serif"/>
          <w:b w:val="false"/>
          <w:color w:val="636466"/>
          <w:sz w:val="16"/>
        </w:rPr>
      </w:pPr>
      <w:r>
        <w:rPr>
          <w:rFonts w:ascii="Inter Light;sans-serif" w:hAnsi="Inter Light;sans-serif"/>
          <w:b w:val="false"/>
          <w:color w:val="636466"/>
          <w:sz w:val="16"/>
        </w:rPr>
        <w:t xml:space="preserve">record by the Justin Rosenstein Trust, (e) 539,719 shares of our Class B common stock held of record by the Justin Rosenstein Non-Exempt Trust, and (f) 1,720,916 shares of Class A Common Stock held of record by Good Ventures Foundation. Mr. Moskovitz is the trustee of the Dustin Moskovitz Trust and may be deemed to have voting power and dispositive power over the shares held by the Dustin Moskovitz Trust. Mr. Moskovitz may be deemed to have voting power and dispositive power over the shares held by the Dustin Moskovitz Roth IRA. Mr. Moskovitz is the trustee of the Justin Rosenstein Trust and the Justin Rosenstein Non-Exempt Trust and may be deemed to have voting power and dispositive power over the shares held by these trusts. Mr. Moskovitz and his spouse serve as directors on the board of Good Ventures Foundation and may be deemed to have shared voting and dispositive power with respect to the shares held by the Good Ventures Foundation.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(4)Of the Class A common stock directly held by Mr. Moskovitz, 19,273,127 shares of our Class A common stock (the “Private Placement Shares”) were acquired on September 7, 2022 via a private placement offering (the “Private Placement”). In connection with the Private Placement, Mr. Moskovitz granted Asana, Inc. an irrevocable proxy over the Private Placement Shares and any additional shares of our capital stock Mr. Moskovitz or affiliates controlled by Mr. Moskovitz may acquire subsequent to the Private Placement (collectively, the “Voting Neutralization Shares”) to vote all of the Voting Neutralization Shares in a manner that will reflect the voting results of all other shares of Class A common stock over which neither Mr. Moskovitz nor his affiliates have sole or shared voting power. As such, Mr. Moskovitz does not retain voting power with respect to the Voting Neutralization Shares. As of March 31, 2025, the Voting Neutralization Shares consisted of 30,308,267 shares of Class A Common Stock held directly by Mr. Moskovitz.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(5)Consists of (a) 100,738 shares of our Class A common stock held directly by Ms. Lacey, and (b) 125,000 shares of our Class A common stock issuable upon the exercise of stock options that are exercisable within 60 days of March 31, 2025, all of which are vested as of such date. Does not include 57,498 shares issuable upon the settlement of vested RSUs, as these RSUs remain subject to a holding period that elapses more than 60 days after March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(6)Consists of 289,532 shares of our Class A common stock held directly by Ms. Raimondi. Does not include 58,967 shares issuable upon the settlement of vested RSUs, as these RSUs remain subject to a holding period that elapses more than 60 days after March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(7)Consists of (a) 408,913 shares of our Class A common stock held directly by Mr. Wan, (b) 125,430 shares of our Class A common stock held of record by The 2019 Tim Ming Wan Grantor Retained Annuity Trust Dated July 22, 2019 (the “Wan GRAT”), (c) 124,199 shares of our Class A common stock issuable upon the exercise of stock options that are exercisable within 60 days of March 31, 2025, all of which are vested as of such date, and (d) 50,000 shares of our Class A common stock held of record by Mr. Wan’s spouse. Mr. Wan is the trustee of the Wan GRAT and may be deemed to have voting and dispositive power over the shares held by the Wan GRAT. Does not include 123,005 shares issuable upon the settlement of vested RSUs, as these RSUs remain subject to a holding period that elapses more than 60 days after March 31, 2025.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(8)Consists of 21,125 shares of our Class A common stock held directly by Ms. Anderson-Copperman. Does not include 6,553 shares issuable upon the settlement of vested RSUs, as these RSUs remain subject to a holding period that elapses more than 60 days after March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 xml:space="preserve">(9)Consists of 83,749 shares of our Class A common stock held directly by Ms. Carey. Does not include 9,684 shares issuable upon the settlement of vested RSUs, as these RSUs remain subject to a holding period that elapses more than 60 days after March 31, 2025. </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(10)Consists of (a) 29,055 shares of our Class A common stock held directly by Mr. Cohler, (b) 284,008 shares of our Class A common stock held of record by Mr. Cohler’s irrevocable trust, and (c) 236,921 shares of our Class A common stock held of record by Mr. Cohler’s second irrevocable trust. Does not include 9,684 shares issuable upon the settlement of vested RSUs, as these RSUs remain subject to a holding period that elapses more than 60 days after March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(11)Consists of (a) 17,975 shares of our Class A common stock held directly by Mr. D’Angelo and (b) 1,078,170 shares of our Class A common stock and 48,410 shares of our Class B common stock held of record by the Adam D’Angelo Revocable Trust Dtd 3/13/08. Does not include 9,684 shares issuable upon the settlement of vested RSUs, as these RSUs remain subject to a holding period that elapses more than 60 days after March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(12)Consists of 11,267 shares of our Class A common stock held directly by Mr. Lindsay. Does not include 11,441 shares issuable upon the settlement of vested RSUs, as these RSUs remain subject to a holding period that elapses more than 60 days after March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(13)Consists of (a) 88,944 shares of our Class A common stock held directly by Ms. Norrington and (b) 2,295 shares of our Class A common stock held of record by Norrington Advisory Services, LLC. Does not include 9,684 shares issuable upon the settlement of vested RSUs, as these RSUs remain subject to a holding period that elapses more than 60 days after March 31, 2025.</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(14)Consists of (a) 823,042 shares of our Class A common stock and 16,066,532 shares of our Class B common stock held directly by Mr. Rosenstein, (b) 847,458 shares of our Class B common stock held by the Justin Rosenstein 2024 Grantor Retained Annuity Trust, and (c) 575,984 shares of our Class A common stock issuable upon the exercise of stock options that are exercisable within 60 days of March 31, 2025, 449,984 of which are vested as of such date. Does not include 9,684 shares issuable upon the settlement of vested RSUs, as these RSUs remain subject to a holding period that elapses more than 60 days after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39140"/>
                <wp:effectExtent l="0" t="0" r="0" b="0"/>
                <wp:wrapNone/>
                <wp:docPr id="108" name="Frame6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60</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55" w:type="dxa"/>
        <w:jc w:val="left"/>
        <w:tblInd w:w="0" w:type="dxa"/>
        <w:tblLayout w:type="fixed"/>
        <w:tblCellMar>
          <w:top w:w="28" w:type="dxa"/>
          <w:left w:w="28" w:type="dxa"/>
          <w:bottom w:w="28" w:type="dxa"/>
          <w:right w:w="28" w:type="dxa"/>
        </w:tblCellMar>
      </w:tblPr>
      <w:tblGrid>
        <w:gridCol w:w="1330"/>
        <w:gridCol w:w="1169"/>
        <w:gridCol w:w="1656"/>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CEO Pay Ratio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CEO Pay Ratio Results for Fiscal Year 2025</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 required by Section 953(b) of the Dodd-Frank Act, we are providing the following information about the relationship between the annual total compensation of our median employee and the annual total compensation of our CEO.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 of January 31, 2025, our employee population consisted of 1,822 individuals globally, including full-time employees, interns and apprentices. We excluded 60 non-U.S. individuals from our determination of the median employee, as permitted by the SEC rules, who accounted for less than 5% of our total workforce in the following countries: Iceland (20), France (16), Singapore (15), Sweden (4), Switzerland (4), and the Netherlands (1). We identified our median employee from the remaining 1,762 employees who were located in the following countries: the United States, Ireland, Canada, Australia, United Kingdom, Japan, Poland, and Germany.</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To identify the median employee, we combined the actual salary, bonus, commissions and other taxable benefits (other than related to equity awards and our ESPP) as reflected in our payroll records for fiscal year 2025, as well as the aggregate grant date fair value of equity awards granted to employees in fiscal year 2025. We identified our median employee using this compensation measure, which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was consistently applied to all our employees included in the calculation. We did not make any cost-of-living adjustments in identifying the median employee. Compensation paid in foreign currencies was converted to U.S. dollars based on exchange rates in effect on January 31, 2025.</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 of January 31, 2025, the final day of our last completed fiscal year, the median annual total compensation of our employees (determined as described above) was $240,067 and the annual total compensation of our CEO, as reported in the Summary Compensation Table included elsewhere in this proxy statement, was $1. Based on this information, for fiscal year 2025, the ratio of the annual total compensation of our CEO to our median compensated employee was 1:240,067 or 0.000004.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pay ratio described above is a reasonable estimate calculated in a manner consistent with Item 402(u) of Regulations S-K. SEC rules for identifying the median employee permit companies to use a wide range of methodologies, assumptions and exclusions. As a result, it may not necessarily be meaningful to compare pay ratios reported by other companies. This information is being provided for compliance purposes. Neither the Compensation Committee nor management of the company used the foregoing pay ratio measure in making compensation decisions.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59435"/>
                <wp:effectExtent l="0" t="0" r="0" b="0"/>
                <wp:wrapNone/>
                <wp:docPr id="109" name="Frame66"/>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61</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124"/>
        <w:gridCol w:w="109"/>
        <w:gridCol w:w="109"/>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tbl>
      <w:tblPr>
        <w:tblW w:w="6929" w:type="dxa"/>
        <w:jc w:val="left"/>
        <w:tblInd w:w="0" w:type="dxa"/>
        <w:tblLayout w:type="fixed"/>
        <w:tblCellMar>
          <w:top w:w="28" w:type="dxa"/>
          <w:left w:w="28" w:type="dxa"/>
          <w:bottom w:w="28" w:type="dxa"/>
          <w:right w:w="28" w:type="dxa"/>
        </w:tblCellMar>
      </w:tblPr>
      <w:tblGrid>
        <w:gridCol w:w="2219"/>
        <w:gridCol w:w="1950"/>
        <w:gridCol w:w="2760"/>
      </w:tblGrid>
      <w:tr>
        <w:trPr/>
        <w:tc>
          <w:tcPr>
            <w:tcW w:w="221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Pay Versus Performance</w:t>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information in the table below reflects the alignment of Asana’s executive compensation programs with long-term stockholder interests. As discussed in our CD&amp;A, the variable portion of our executive compensation program is tied to long-term stockholder returns through equity awards, and changes in the value of awards during a particular fiscal year are driven by stockholder returns in that fiscal year. We do not consider other financial or non-financial performance measures in determining the compensation actually paid to our CEO and other NEOs. As a result, we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have not included any company selected performance measures in our disclosure below.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compensation information presented in the table and disclosure below is intended to be provided in accordance with SEC rules, and may be different from the compensation information presented in the CD&amp;A. Our Compensation Committee did not consider the pay versus performance disclosure below in making its pay decisions for any of the fiscal years shown.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Pay Versus Performance Table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following table sets forth information concerning the compensation of our CEO and other NEOs for each of the fiscal years ending January 31, 2022, 2023, 2024, and 2025, and our financial performance of each such fiscal year:</w:t>
      </w:r>
    </w:p>
    <w:tbl>
      <w:tblPr>
        <w:tblW w:w="10784" w:type="dxa"/>
        <w:jc w:val="left"/>
        <w:tblInd w:w="0" w:type="dxa"/>
        <w:tblLayout w:type="fixed"/>
        <w:tblCellMar>
          <w:top w:w="28" w:type="dxa"/>
          <w:left w:w="28" w:type="dxa"/>
          <w:bottom w:w="28" w:type="dxa"/>
          <w:right w:w="28" w:type="dxa"/>
        </w:tblCellMar>
      </w:tblPr>
      <w:tblGrid>
        <w:gridCol w:w="233"/>
        <w:gridCol w:w="204"/>
        <w:gridCol w:w="209"/>
        <w:gridCol w:w="440"/>
        <w:gridCol w:w="440"/>
        <w:gridCol w:w="441"/>
        <w:gridCol w:w="440"/>
        <w:gridCol w:w="440"/>
        <w:gridCol w:w="441"/>
        <w:gridCol w:w="536"/>
        <w:gridCol w:w="440"/>
        <w:gridCol w:w="441"/>
        <w:gridCol w:w="551"/>
        <w:gridCol w:w="440"/>
        <w:gridCol w:w="441"/>
        <w:gridCol w:w="677"/>
        <w:gridCol w:w="244"/>
        <w:gridCol w:w="175"/>
        <w:gridCol w:w="677"/>
        <w:gridCol w:w="243"/>
        <w:gridCol w:w="176"/>
        <w:gridCol w:w="429"/>
        <w:gridCol w:w="412"/>
        <w:gridCol w:w="326"/>
        <w:gridCol w:w="305"/>
        <w:gridCol w:w="305"/>
        <w:gridCol w:w="306"/>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Year</w:t>
            </w:r>
          </w:p>
        </w:tc>
        <w:tc>
          <w:tcPr>
            <w:tcW w:w="1321"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Summary Compensation Table Total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for CEO</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321"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Compensation Actually Paid </w:t>
            </w:r>
          </w:p>
          <w:p>
            <w:pPr>
              <w:pStyle w:val="TableContents"/>
              <w:bidi w:val="0"/>
              <w:spacing w:lineRule="atLeast" w:line="220" w:before="0" w:after="0"/>
              <w:jc w:val="right"/>
              <w:rPr/>
            </w:pPr>
            <w:r>
              <w:rPr>
                <w:rFonts w:ascii="Inter Medium;sans-serif" w:hAnsi="Inter Medium;sans-serif"/>
                <w:b w:val="false"/>
                <w:color w:val="FFEAEC"/>
                <w:sz w:val="16"/>
              </w:rPr>
              <w:t>to CEO</w:t>
            </w:r>
            <w:r>
              <w:rPr>
                <w:rFonts w:ascii="Inter Medium;sans-serif" w:hAnsi="Inter Medium;sans-serif"/>
                <w:b w:val="false"/>
                <w:color w:val="FFEAEC"/>
                <w:sz w:val="10"/>
              </w:rPr>
              <w:t>(1)</w:t>
            </w:r>
          </w:p>
          <w:p>
            <w:pPr>
              <w:pStyle w:val="TableContents"/>
              <w:bidi w:val="0"/>
              <w:spacing w:lineRule="atLeast" w:line="220" w:before="0" w:after="0"/>
              <w:jc w:val="right"/>
              <w:rPr>
                <w:color w:val="FFEAEC"/>
              </w:rPr>
            </w:pPr>
            <w:r>
              <w:rPr>
                <w:color w:val="FFEAEC"/>
              </w:rPr>
              <w:t> </w:t>
            </w:r>
            <w:r>
              <w:rPr>
                <w:rFonts w:ascii="Inter Medium;sans-serif" w:hAnsi="Inter Medium;sans-serif"/>
                <w:b w:val="false"/>
                <w:color w:val="FFEAEC"/>
                <w:sz w:val="16"/>
              </w:rPr>
              <w:t>($)</w:t>
            </w:r>
          </w:p>
        </w:tc>
        <w:tc>
          <w:tcPr>
            <w:tcW w:w="1417"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Average Summary Compensation Table Total for non-CEO NEOs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432"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Average Compensation Actually Paid to non-CEO NEOs</w:t>
            </w:r>
            <w:r>
              <w:rPr>
                <w:rFonts w:ascii="Inter Medium;sans-serif" w:hAnsi="Inter Medium;sans-serif"/>
                <w:b w:val="false"/>
                <w:color w:val="FFEAEC"/>
                <w:sz w:val="10"/>
              </w:rPr>
              <w:t>(1)</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2192" w:type="dxa"/>
            <w:gridSpan w:val="6"/>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Value of Initial Fixed $100 Investment Based on</w:t>
            </w:r>
          </w:p>
        </w:tc>
        <w:tc>
          <w:tcPr>
            <w:tcW w:w="1167"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Net Income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(in thousands)</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 xml:space="preserve">($) </w:t>
            </w:r>
          </w:p>
        </w:tc>
        <w:tc>
          <w:tcPr>
            <w:tcW w:w="916" w:type="dxa"/>
            <w:gridSpan w:val="3"/>
            <w:vMerge w:val="restart"/>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Company Selected Measure</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32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32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41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43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2192" w:type="dxa"/>
            <w:gridSpan w:val="6"/>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32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32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41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43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96"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32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321"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41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432"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1096"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Total Stockholder Return</w:t>
            </w:r>
            <w:r>
              <w:rPr>
                <w:rFonts w:ascii="Inter Medium;sans-serif" w:hAnsi="Inter Medium;sans-serif"/>
                <w:b w:val="false"/>
                <w:color w:val="FFEAEC"/>
                <w:sz w:val="10"/>
              </w:rPr>
              <w:t>(2)</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096"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pPr>
            <w:r>
              <w:rPr>
                <w:rFonts w:ascii="Inter Medium;sans-serif" w:hAnsi="Inter Medium;sans-serif"/>
                <w:b w:val="false"/>
                <w:color w:val="FFEAEC"/>
                <w:sz w:val="16"/>
              </w:rPr>
              <w:t>Peer Group Total Stockholder Return</w:t>
            </w:r>
            <w:r>
              <w:rPr>
                <w:rFonts w:ascii="Inter Medium;sans-serif" w:hAnsi="Inter Medium;sans-serif"/>
                <w:b w:val="false"/>
                <w:color w:val="FFEAEC"/>
                <w:sz w:val="10"/>
              </w:rPr>
              <w:t>(3)</w:t>
            </w:r>
            <w:r>
              <w:rPr>
                <w:color w:val="FFEAEC"/>
              </w:rPr>
              <w:t xml:space="preserve"> </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167"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690031" w:val="clear"/>
            <w:tcMar>
              <w:top w:w="0" w:type="dxa"/>
              <w:left w:w="0" w:type="dxa"/>
              <w:bottom w:w="0" w:type="dxa"/>
              <w:right w:w="0" w:type="dxa"/>
            </w:tcMar>
            <w:vAlign w:val="center"/>
          </w:tcPr>
          <w:p>
            <w:pPr>
              <w:pStyle w:val="Normal"/>
              <w:bidi w:val="0"/>
              <w:jc w:val="left"/>
              <w:rPr/>
            </w:pPr>
            <w:r>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000000"/>
                <w:sz w:val="16"/>
              </w:rPr>
            </w:pPr>
            <w:r>
              <w:rPr>
                <w:rFonts w:ascii="Inter Medium;sans-serif" w:hAnsi="Inter Medium;sans-serif"/>
                <w:b w:val="false"/>
                <w:color w:val="000000"/>
                <w:sz w:val="16"/>
              </w:rPr>
              <w:t xml:space="preserve">Year 1 </w:t>
            </w:r>
          </w:p>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(Fiscal 2022)</w:t>
            </w:r>
          </w:p>
        </w:tc>
        <w:tc>
          <w:tcPr>
            <w:tcW w:w="88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4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4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8,823,880 </w:t>
            </w:r>
          </w:p>
        </w:tc>
        <w:tc>
          <w:tcPr>
            <w:tcW w:w="4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8,499,266 </w:t>
            </w:r>
          </w:p>
        </w:tc>
        <w:tc>
          <w:tcPr>
            <w:tcW w:w="4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148 </w:t>
            </w:r>
          </w:p>
        </w:tc>
        <w:tc>
          <w:tcPr>
            <w:tcW w:w="175"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122 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(288,342)</w:t>
            </w:r>
          </w:p>
        </w:tc>
        <w:tc>
          <w:tcPr>
            <w:tcW w:w="32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n/a</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000000"/>
                <w:sz w:val="16"/>
              </w:rPr>
            </w:pPr>
            <w:r>
              <w:rPr>
                <w:rFonts w:ascii="Inter Medium;sans-serif" w:hAnsi="Inter Medium;sans-serif"/>
                <w:b w:val="false"/>
                <w:color w:val="000000"/>
                <w:sz w:val="16"/>
              </w:rPr>
              <w:t xml:space="preserve">Year 2 </w:t>
            </w:r>
          </w:p>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(Fiscal 2023)</w:t>
            </w:r>
          </w:p>
        </w:tc>
        <w:tc>
          <w:tcPr>
            <w:tcW w:w="880"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3,502,160 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(5,158,293)</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(407,768)</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n/a</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000000"/>
                <w:sz w:val="16"/>
              </w:rPr>
            </w:pPr>
            <w:r>
              <w:rPr>
                <w:rFonts w:ascii="Inter Medium;sans-serif" w:hAnsi="Inter Medium;sans-serif"/>
                <w:b w:val="false"/>
                <w:color w:val="000000"/>
                <w:sz w:val="16"/>
              </w:rPr>
              <w:t>Year 3</w:t>
            </w:r>
          </w:p>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(Fiscal 2024)</w:t>
            </w:r>
          </w:p>
        </w:tc>
        <w:tc>
          <w:tcPr>
            <w:tcW w:w="88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4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4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3,986,062 </w:t>
            </w:r>
          </w:p>
        </w:tc>
        <w:tc>
          <w:tcPr>
            <w:tcW w:w="4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2,304,899 </w:t>
            </w:r>
          </w:p>
        </w:tc>
        <w:tc>
          <w:tcPr>
            <w:tcW w:w="441"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49 </w:t>
            </w:r>
          </w:p>
        </w:tc>
        <w:tc>
          <w:tcPr>
            <w:tcW w:w="175"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156 </w:t>
            </w:r>
          </w:p>
        </w:tc>
        <w:tc>
          <w:tcPr>
            <w:tcW w:w="17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(257,030)</w:t>
            </w:r>
          </w:p>
        </w:tc>
        <w:tc>
          <w:tcPr>
            <w:tcW w:w="326"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n/a</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0"/>
              <w:jc w:val="center"/>
              <w:rPr>
                <w:rFonts w:ascii="Inter Medium;sans-serif" w:hAnsi="Inter Medium;sans-serif"/>
                <w:b w:val="false"/>
                <w:color w:val="000000"/>
                <w:sz w:val="16"/>
              </w:rPr>
            </w:pPr>
            <w:r>
              <w:rPr>
                <w:rFonts w:ascii="Inter Medium;sans-serif" w:hAnsi="Inter Medium;sans-serif"/>
                <w:b w:val="false"/>
                <w:color w:val="000000"/>
                <w:sz w:val="16"/>
              </w:rPr>
              <w:t>Year 4</w:t>
            </w:r>
          </w:p>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(Fiscal 2025)</w:t>
            </w:r>
          </w:p>
        </w:tc>
        <w:tc>
          <w:tcPr>
            <w:tcW w:w="880"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441"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1 </w:t>
            </w:r>
          </w:p>
        </w:tc>
        <w:tc>
          <w:tcPr>
            <w:tcW w:w="441"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6,848,218 </w:t>
            </w:r>
          </w:p>
        </w:tc>
        <w:tc>
          <w:tcPr>
            <w:tcW w:w="441"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7,940,944 </w:t>
            </w:r>
          </w:p>
        </w:tc>
        <w:tc>
          <w:tcPr>
            <w:tcW w:w="441"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60 </w:t>
            </w:r>
          </w:p>
        </w:tc>
        <w:tc>
          <w:tcPr>
            <w:tcW w:w="175"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197 </w:t>
            </w:r>
          </w:p>
        </w:tc>
        <w:tc>
          <w:tcPr>
            <w:tcW w:w="176"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(255,536)</w:t>
            </w:r>
          </w:p>
        </w:tc>
        <w:tc>
          <w:tcPr>
            <w:tcW w:w="326" w:type="dxa"/>
            <w:tcBorders>
              <w:bottom w:val="single" w:sz="4" w:space="0" w:color="690031"/>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n/a</w:t>
            </w:r>
          </w:p>
        </w:tc>
        <w:tc>
          <w:tcPr>
            <w:tcW w:w="372"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(1)Amounts represent compensation actually paid to our CEO and the average compensation actually paid to our remaining NEOs for the relevant fiscal year, as determined under SEC rules (and described below), which includes the individuals indicated in the table below for each fiscal year.</w:t>
      </w:r>
    </w:p>
    <w:p>
      <w:pPr>
        <w:pStyle w:val="TextBody"/>
        <w:bidi w:val="0"/>
        <w:spacing w:lineRule="atLeast" w:line="220" w:before="0" w:after="16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(2)Represents the company’s TSR based on a fixed investment of $100 over the Fiscal Year starting from the market close on the last trading day of Fiscal Year 2021 through the end of each applicable Fiscal Year in the table.</w:t>
      </w:r>
    </w:p>
    <w:p>
      <w:pPr>
        <w:pStyle w:val="TextBody"/>
        <w:bidi w:val="0"/>
        <w:spacing w:lineRule="atLeast" w:line="220" w:before="0" w:after="120"/>
        <w:ind w:left="0" w:right="0" w:hanging="360"/>
        <w:jc w:val="left"/>
        <w:rPr>
          <w:rFonts w:ascii="Inter Light;sans-serif" w:hAnsi="Inter Light;sans-serif"/>
          <w:b w:val="false"/>
          <w:color w:val="636466"/>
          <w:sz w:val="16"/>
        </w:rPr>
      </w:pPr>
      <w:r>
        <w:rPr>
          <w:rFonts w:ascii="Inter Light;sans-serif" w:hAnsi="Inter Light;sans-serif"/>
          <w:b w:val="false"/>
          <w:color w:val="636466"/>
          <w:sz w:val="16"/>
        </w:rPr>
        <w:t>(3)Represents the cumulative TSR of the Standard &amp; Poor’s (S&amp;P) Information Technology Index, on a fixed investment of $100 over the Fiscal Year starting from the market close on the last trading day of Fiscal Year 2021 through the end of each applicable Fiscal Year in the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39140"/>
                <wp:effectExtent l="0" t="0" r="0" b="0"/>
                <wp:wrapNone/>
                <wp:docPr id="110" name="Frame6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62</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4003" w:type="dxa"/>
        <w:jc w:val="left"/>
        <w:tblInd w:w="0" w:type="dxa"/>
        <w:tblLayout w:type="fixed"/>
        <w:tblCellMar>
          <w:top w:w="28" w:type="dxa"/>
          <w:left w:w="28" w:type="dxa"/>
          <w:bottom w:w="28" w:type="dxa"/>
          <w:right w:w="28" w:type="dxa"/>
        </w:tblCellMar>
      </w:tblPr>
      <w:tblGrid>
        <w:gridCol w:w="575"/>
        <w:gridCol w:w="505"/>
        <w:gridCol w:w="509"/>
        <w:gridCol w:w="707"/>
        <w:gridCol w:w="707"/>
        <w:gridCol w:w="1000"/>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2414"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SemiBold;sans-serif" w:hAnsi="Inter SemiBold;sans-serif"/>
                <w:b/>
                <w:color w:val="690031"/>
                <w:sz w:val="16"/>
              </w:rPr>
            </w:pPr>
            <w:r>
              <w:rPr>
                <w:rFonts w:ascii="Inter SemiBold;sans-serif" w:hAnsi="Inter SemiBold;sans-serif"/>
                <w:b/>
                <w:color w:val="690031"/>
                <w:sz w:val="16"/>
              </w:rPr>
              <w:t>Pay Versus Performance</w:t>
            </w:r>
          </w:p>
        </w:tc>
      </w:tr>
    </w:tbl>
    <w:tbl>
      <w:tblPr>
        <w:tblW w:w="8607" w:type="dxa"/>
        <w:jc w:val="left"/>
        <w:tblInd w:w="0" w:type="dxa"/>
        <w:tblLayout w:type="fixed"/>
        <w:tblCellMar>
          <w:top w:w="28" w:type="dxa"/>
          <w:left w:w="28" w:type="dxa"/>
          <w:bottom w:w="28" w:type="dxa"/>
          <w:right w:w="28" w:type="dxa"/>
        </w:tblCellMar>
      </w:tblPr>
      <w:tblGrid>
        <w:gridCol w:w="369"/>
        <w:gridCol w:w="324"/>
        <w:gridCol w:w="327"/>
        <w:gridCol w:w="498"/>
        <w:gridCol w:w="498"/>
        <w:gridCol w:w="504"/>
        <w:gridCol w:w="1902"/>
        <w:gridCol w:w="1902"/>
        <w:gridCol w:w="1911"/>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Fiscal Year</w:t>
            </w:r>
          </w:p>
        </w:tc>
        <w:tc>
          <w:tcPr>
            <w:tcW w:w="1500"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CEO</w:t>
            </w:r>
          </w:p>
        </w:tc>
        <w:tc>
          <w:tcPr>
            <w:tcW w:w="5715" w:type="dxa"/>
            <w:gridSpan w:val="3"/>
            <w:tcBorders/>
            <w:shd w:fill="690031"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FFEAEC"/>
                <w:sz w:val="16"/>
              </w:rPr>
            </w:pPr>
            <w:r>
              <w:rPr>
                <w:rFonts w:ascii="Inter Medium;sans-serif" w:hAnsi="Inter Medium;sans-serif"/>
                <w:b w:val="false"/>
                <w:color w:val="FFEAEC"/>
                <w:sz w:val="16"/>
              </w:rPr>
              <w:t>Non-CEO NEOs</w:t>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2025</w:t>
            </w:r>
          </w:p>
        </w:tc>
        <w:tc>
          <w:tcPr>
            <w:tcW w:w="150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571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Sonalee Parekh, Tim Wan, Eleanor Lacey and Anne Raimondi</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center"/>
              <w:rPr>
                <w:rFonts w:ascii="Inter Light;sans-serif" w:hAnsi="Inter Light;sans-serif"/>
                <w:b w:val="false"/>
                <w:color w:val="0D0E10"/>
                <w:sz w:val="16"/>
              </w:rPr>
            </w:pPr>
            <w:r>
              <w:rPr>
                <w:rFonts w:ascii="Inter Light;sans-serif" w:hAnsi="Inter Light;sans-serif"/>
                <w:b w:val="false"/>
                <w:color w:val="0D0E10"/>
                <w:sz w:val="16"/>
              </w:rPr>
              <w:t>2024</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5715"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Tim Wan, Eleanor Lacey and Anne Raimondi</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2023</w:t>
            </w:r>
          </w:p>
        </w:tc>
        <w:tc>
          <w:tcPr>
            <w:tcW w:w="1500"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5715" w:type="dxa"/>
            <w:gridSpan w:val="3"/>
            <w:tcBorders/>
            <w:shd w:fill="FFEAEC" w:val="clear"/>
            <w:tcMar>
              <w:top w:w="0" w:type="dxa"/>
              <w:left w:w="0" w:type="dxa"/>
              <w:bottom w:w="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Tim Wan, Eleanor Lacey and Anne Raimondi</w:t>
            </w:r>
          </w:p>
        </w:tc>
        <w:tc>
          <w:tcPr>
            <w:tcW w:w="37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center"/>
              <w:rPr>
                <w:rFonts w:ascii="Inter Light;sans-serif" w:hAnsi="Inter Light;sans-serif"/>
                <w:b w:val="false"/>
                <w:color w:val="0D0E10"/>
                <w:sz w:val="16"/>
              </w:rPr>
            </w:pPr>
            <w:r>
              <w:rPr>
                <w:rFonts w:ascii="Inter Light;sans-serif" w:hAnsi="Inter Light;sans-serif"/>
                <w:b w:val="false"/>
                <w:color w:val="0D0E10"/>
                <w:sz w:val="16"/>
              </w:rPr>
              <w:t>2022</w:t>
            </w:r>
          </w:p>
        </w:tc>
        <w:tc>
          <w:tcPr>
            <w:tcW w:w="1500"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Dustin Moskovitz</w:t>
            </w:r>
          </w:p>
        </w:tc>
        <w:tc>
          <w:tcPr>
            <w:tcW w:w="5715" w:type="dxa"/>
            <w:gridSpan w:val="3"/>
            <w:tcBorders>
              <w:bottom w:val="single" w:sz="4" w:space="0" w:color="690031"/>
            </w:tcBorders>
            <w:shd w:fill="FFFFFF" w:val="clear"/>
            <w:tcMar>
              <w:top w:w="0" w:type="dxa"/>
              <w:left w:w="0" w:type="dxa"/>
              <w:bottom w:w="30" w:type="dxa"/>
              <w:right w:w="0" w:type="dxa"/>
            </w:tcMar>
            <w:vAlign w:val="center"/>
          </w:tcPr>
          <w:p>
            <w:pPr>
              <w:pStyle w:val="TableContents"/>
              <w:bidi w:val="0"/>
              <w:spacing w:lineRule="atLeast" w:line="220" w:before="0" w:after="283"/>
              <w:jc w:val="left"/>
              <w:rPr>
                <w:rFonts w:ascii="Inter Medium;sans-serif" w:hAnsi="Inter Medium;sans-serif"/>
                <w:b w:val="false"/>
                <w:color w:val="000000"/>
                <w:sz w:val="16"/>
              </w:rPr>
            </w:pPr>
            <w:r>
              <w:rPr>
                <w:rFonts w:ascii="Inter Medium;sans-serif" w:hAnsi="Inter Medium;sans-serif"/>
                <w:b w:val="false"/>
                <w:color w:val="000000"/>
                <w:sz w:val="16"/>
              </w:rPr>
              <w:t>Tim Wan, Christopher Farinacci, Eleanor Lacey, and Anne Raimondi</w:t>
            </w:r>
          </w:p>
        </w:tc>
        <w:tc>
          <w:tcPr>
            <w:tcW w:w="372" w:type="dxa"/>
            <w:gridSpan w:val="3"/>
            <w:tcBorders>
              <w:bottom w:val="single" w:sz="4" w:space="0" w:color="69003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table below provides the adjustments to the Summary Compensation Table total compensation made to arrive at the compensation actually paid for the CEO and the average for the Non-CEO NEOs:</w:t>
      </w:r>
    </w:p>
    <w:tbl>
      <w:tblPr>
        <w:tblW w:w="10205" w:type="dxa"/>
        <w:jc w:val="left"/>
        <w:tblInd w:w="0" w:type="dxa"/>
        <w:tblLayout w:type="fixed"/>
        <w:tblCellMar>
          <w:top w:w="28" w:type="dxa"/>
          <w:left w:w="28" w:type="dxa"/>
          <w:bottom w:w="28" w:type="dxa"/>
          <w:right w:w="28" w:type="dxa"/>
        </w:tblCellMar>
      </w:tblPr>
      <w:tblGrid>
        <w:gridCol w:w="973"/>
        <w:gridCol w:w="854"/>
        <w:gridCol w:w="858"/>
        <w:gridCol w:w="172"/>
        <w:gridCol w:w="172"/>
        <w:gridCol w:w="126"/>
        <w:gridCol w:w="714"/>
        <w:gridCol w:w="329"/>
        <w:gridCol w:w="330"/>
        <w:gridCol w:w="172"/>
        <w:gridCol w:w="172"/>
        <w:gridCol w:w="126"/>
        <w:gridCol w:w="497"/>
        <w:gridCol w:w="498"/>
        <w:gridCol w:w="300"/>
        <w:gridCol w:w="172"/>
        <w:gridCol w:w="172"/>
        <w:gridCol w:w="126"/>
        <w:gridCol w:w="497"/>
        <w:gridCol w:w="498"/>
        <w:gridCol w:w="300"/>
        <w:gridCol w:w="172"/>
        <w:gridCol w:w="172"/>
        <w:gridCol w:w="126"/>
        <w:gridCol w:w="497"/>
        <w:gridCol w:w="498"/>
        <w:gridCol w:w="300"/>
        <w:gridCol w:w="109"/>
        <w:gridCol w:w="109"/>
        <w:gridCol w:w="16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6"/>
            <w:tcBorders/>
            <w:shd w:fill="690031" w:val="clear"/>
            <w:tcMar>
              <w:top w:w="0" w:type="dxa"/>
              <w:left w:w="0" w:type="dxa"/>
              <w:bottom w:w="0" w:type="dxa"/>
              <w:right w:w="0" w:type="dxa"/>
            </w:tcMar>
            <w:vAlign w:val="center"/>
          </w:tcPr>
          <w:p>
            <w:pPr>
              <w:pStyle w:val="TableContents"/>
              <w:bidi w:val="0"/>
              <w:spacing w:lineRule="atLeast" w:line="220" w:before="0" w:after="0"/>
              <w:jc w:val="center"/>
              <w:rPr>
                <w:rFonts w:ascii="Inter Medium;sans-serif" w:hAnsi="Inter Medium;sans-serif"/>
                <w:b w:val="false"/>
                <w:color w:val="FFEAEC"/>
                <w:sz w:val="16"/>
              </w:rPr>
            </w:pPr>
            <w:r>
              <w:rPr>
                <w:rFonts w:ascii="Inter Medium;sans-serif" w:hAnsi="Inter Medium;sans-serif"/>
                <w:b w:val="false"/>
                <w:color w:val="FFEAEC"/>
                <w:sz w:val="16"/>
              </w:rPr>
              <w:t>Fiscal 2022</w:t>
            </w:r>
          </w:p>
        </w:tc>
        <w:tc>
          <w:tcPr>
            <w:tcW w:w="1765" w:type="dxa"/>
            <w:gridSpan w:val="6"/>
            <w:tcBorders>
              <w:left w:val="single" w:sz="4" w:space="0" w:color="FFEAEC"/>
            </w:tcBorders>
            <w:shd w:fill="690031" w:val="clear"/>
            <w:tcMar>
              <w:top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Fiscal 2023</w:t>
            </w:r>
          </w:p>
        </w:tc>
        <w:tc>
          <w:tcPr>
            <w:tcW w:w="1765" w:type="dxa"/>
            <w:gridSpan w:val="6"/>
            <w:tcBorders>
              <w:left w:val="single" w:sz="4" w:space="0" w:color="FFEAEC"/>
            </w:tcBorders>
            <w:shd w:fill="690031" w:val="clear"/>
            <w:tcMar>
              <w:top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Fiscal 2024</w:t>
            </w:r>
          </w:p>
        </w:tc>
        <w:tc>
          <w:tcPr>
            <w:tcW w:w="1765" w:type="dxa"/>
            <w:gridSpan w:val="6"/>
            <w:tcBorders>
              <w:left w:val="single" w:sz="4" w:space="0" w:color="FFEAEC"/>
            </w:tcBorders>
            <w:shd w:fill="690031" w:val="clear"/>
            <w:tcMar>
              <w:top w:w="0" w:type="dxa"/>
              <w:bottom w:w="0" w:type="dxa"/>
              <w:right w:w="0" w:type="dxa"/>
            </w:tcMar>
            <w:vAlign w:val="center"/>
          </w:tcPr>
          <w:p>
            <w:pPr>
              <w:pStyle w:val="TableContents"/>
              <w:bidi w:val="0"/>
              <w:spacing w:lineRule="atLeast" w:line="220" w:before="0" w:after="283"/>
              <w:jc w:val="center"/>
              <w:rPr>
                <w:rFonts w:ascii="Inter Medium;sans-serif" w:hAnsi="Inter Medium;sans-serif"/>
                <w:b w:val="false"/>
                <w:color w:val="FFEAEC"/>
                <w:sz w:val="16"/>
              </w:rPr>
            </w:pPr>
            <w:r>
              <w:rPr>
                <w:rFonts w:ascii="Inter Medium;sans-serif" w:hAnsi="Inter Medium;sans-serif"/>
                <w:b w:val="false"/>
                <w:color w:val="FFEAEC"/>
                <w:sz w:val="16"/>
              </w:rPr>
              <w:t>Fiscal 2025</w:t>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left w:val="single" w:sz="4" w:space="0" w:color="FFEAEC"/>
            </w:tcBorders>
            <w:shd w:fill="69003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FFEAEC"/>
            </w:tcBorders>
            <w:shd w:fill="69003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CEO</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373"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Average for Non-CEO NEOs</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47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CEO</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295"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Average for</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Non-CEO NEOs</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47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CEO</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295"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Average for</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Non-CEO NEOs</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470"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CEO</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1295" w:type="dxa"/>
            <w:gridSpan w:val="3"/>
            <w:tcBorders/>
            <w:shd w:fill="690031" w:val="clear"/>
            <w:tcMar>
              <w:top w:w="0" w:type="dxa"/>
              <w:left w:w="0" w:type="dxa"/>
              <w:bottom w:w="0" w:type="dxa"/>
              <w:right w:w="0" w:type="dxa"/>
            </w:tcMar>
            <w:vAlign w:val="center"/>
          </w:tcPr>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Average for</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Non-CEO NEOs</w:t>
            </w:r>
          </w:p>
          <w:p>
            <w:pPr>
              <w:pStyle w:val="TableContents"/>
              <w:bidi w:val="0"/>
              <w:spacing w:lineRule="atLeast" w:line="220" w:before="0" w:after="0"/>
              <w:jc w:val="right"/>
              <w:rPr>
                <w:rFonts w:ascii="Inter Medium;sans-serif" w:hAnsi="Inter Medium;sans-serif"/>
                <w:b w:val="false"/>
                <w:color w:val="FFEAEC"/>
                <w:sz w:val="16"/>
              </w:rPr>
            </w:pPr>
            <w:r>
              <w:rPr>
                <w:rFonts w:ascii="Inter Medium;sans-serif" w:hAnsi="Inter Medium;sans-serif"/>
                <w:b w:val="false"/>
                <w:color w:val="FFEAEC"/>
                <w:sz w:val="16"/>
              </w:rPr>
              <w:t>($)</w:t>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69003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Deduction for Awards Reported in the Summary Compensation Table</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043"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(8,288,721)</w:t>
            </w:r>
          </w:p>
        </w:tc>
        <w:tc>
          <w:tcPr>
            <w:tcW w:w="33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(2,843,827)</w:t>
            </w:r>
          </w:p>
        </w:tc>
        <w:tc>
          <w:tcPr>
            <w:tcW w:w="3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(3,324,395)</w:t>
            </w:r>
          </w:p>
        </w:tc>
        <w:tc>
          <w:tcPr>
            <w:tcW w:w="3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(6,336,339)</w:t>
            </w:r>
          </w:p>
        </w:tc>
        <w:tc>
          <w:tcPr>
            <w:tcW w:w="3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Increase based on Fair Value of Awards Granted during Applicable FY that Vested during Applicable FY, determined as of Vesting Date</w:t>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1,063,787 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440,564 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616,057 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605,146 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Increase based on Fair Value of Awards Granted during Applicable FY that Remain Unvested as of Applicable FY End, determined as of Applicable FY End</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043"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5,159,361 </w:t>
            </w:r>
          </w:p>
        </w:tc>
        <w:tc>
          <w:tcPr>
            <w:tcW w:w="33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1,063,956 </w:t>
            </w:r>
          </w:p>
        </w:tc>
        <w:tc>
          <w:tcPr>
            <w:tcW w:w="3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2,253,480 </w:t>
            </w:r>
          </w:p>
        </w:tc>
        <w:tc>
          <w:tcPr>
            <w:tcW w:w="3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9,596,646 </w:t>
            </w:r>
          </w:p>
        </w:tc>
        <w:tc>
          <w:tcPr>
            <w:tcW w:w="3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Increase / deduction for Awards Granted during a Prior FY that were Outstanding and Unvested as of Applicable FY End, determined based on change in Fair Value from Prior FY End to Applicable FY End</w:t>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2,474,667 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(3,843,813)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143,412 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345,156 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Increase / deduction for Awards Granted during a Prior FY that Vested during Applicable FY, determined based on change in Fair Value from Prior FY End to Vesting Date</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043"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4,460,117 </w:t>
            </w:r>
          </w:p>
        </w:tc>
        <w:tc>
          <w:tcPr>
            <w:tcW w:w="33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(3,477,334)</w:t>
            </w:r>
          </w:p>
        </w:tc>
        <w:tc>
          <w:tcPr>
            <w:tcW w:w="3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(1,369,717)</w:t>
            </w:r>
          </w:p>
        </w:tc>
        <w:tc>
          <w:tcPr>
            <w:tcW w:w="3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EAEC"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(1,132,156)</w:t>
            </w:r>
          </w:p>
        </w:tc>
        <w:tc>
          <w:tcPr>
            <w:tcW w:w="300" w:type="dxa"/>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Deduction of Fair Value of Awards Granted during Prior FY that were Forfeited during Applicable FY, determined as of Prior FY End</w:t>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(5,193,824)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0D0E10"/>
                <w:sz w:val="16"/>
              </w:rPr>
            </w:pPr>
            <w:r>
              <w:rPr>
                <w:rFonts w:ascii="Inter Light;sans-serif" w:hAnsi="Inter Light;sans-serif"/>
                <w:b w:val="false"/>
                <w:color w:val="0D0E10"/>
                <w:sz w:val="16"/>
              </w:rPr>
              <w:t>(1,985,728)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Deduction for Change in Pension Value Reported in the Summary Compensation Table</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37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Increase for Service Cost for Pension Plans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0D0E10"/>
                <w:sz w:val="16"/>
              </w:rPr>
            </w:pPr>
            <w:r>
              <w:rPr>
                <w:rFonts w:ascii="Inter Light;sans-serif" w:hAnsi="Inter Light;sans-serif"/>
                <w:b w:val="false"/>
                <w:color w:val="0D0E10"/>
                <w:sz w:val="16"/>
              </w:rPr>
              <w:t>Increase based on Dividends or Other Earnings Paid during Applicable FY prior to Vesting Date</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373"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470"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1295" w:type="dxa"/>
            <w:gridSpan w:val="3"/>
            <w:tcBorders/>
            <w:shd w:fill="FFEAEC" w:val="clear"/>
            <w:tcMar>
              <w:top w:w="0" w:type="dxa"/>
              <w:left w:w="0" w:type="dxa"/>
              <w:bottom w:w="0" w:type="dxa"/>
              <w:right w:w="0" w:type="dxa"/>
            </w:tcMar>
            <w:vAlign w:val="center"/>
          </w:tcPr>
          <w:p>
            <w:pPr>
              <w:pStyle w:val="TableContents"/>
              <w:bidi w:val="0"/>
              <w:spacing w:lineRule="atLeast" w:line="220" w:before="0" w:after="0"/>
              <w:jc w:val="right"/>
              <w:rPr>
                <w:color w:val="0D0E10"/>
              </w:rPr>
            </w:pPr>
            <w:r>
              <w:rPr>
                <w:color w:val="0D0E10"/>
              </w:rPr>
              <w:t>—</w:t>
            </w:r>
          </w:p>
        </w:tc>
        <w:tc>
          <w:tcPr>
            <w:tcW w:w="382" w:type="dxa"/>
            <w:gridSpan w:val="3"/>
            <w:tcBorders/>
            <w:shd w:fill="FFEA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0"/>
              <w:jc w:val="left"/>
              <w:rPr>
                <w:rFonts w:ascii="Inter Medium;sans-serif" w:hAnsi="Inter Medium;sans-serif"/>
                <w:b w:val="false"/>
                <w:color w:val="690031"/>
                <w:sz w:val="16"/>
              </w:rPr>
            </w:pPr>
            <w:r>
              <w:rPr>
                <w:rFonts w:ascii="Inter Medium;sans-serif" w:hAnsi="Inter Medium;sans-serif"/>
                <w:b w:val="false"/>
                <w:color w:val="690031"/>
                <w:sz w:val="16"/>
              </w:rPr>
              <w:t>Total Adjustments</w:t>
            </w:r>
          </w:p>
        </w:tc>
        <w:tc>
          <w:tcPr>
            <w:tcW w:w="470" w:type="dxa"/>
            <w:gridSpan w:val="3"/>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690031"/>
              </w:rPr>
            </w:pPr>
            <w:r>
              <w:rPr>
                <w:color w:val="690031"/>
              </w:rPr>
              <w:t>—</w:t>
            </w:r>
          </w:p>
        </w:tc>
        <w:tc>
          <w:tcPr>
            <w:tcW w:w="1043" w:type="dxa"/>
            <w:gridSpan w:val="2"/>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Medium;sans-serif" w:hAnsi="Inter Medium;sans-serif"/>
                <w:b w:val="false"/>
                <w:color w:val="690031"/>
                <w:sz w:val="16"/>
              </w:rPr>
            </w:pPr>
            <w:r>
              <w:rPr>
                <w:rFonts w:ascii="Inter Medium;sans-serif" w:hAnsi="Inter Medium;sans-serif"/>
                <w:b w:val="false"/>
                <w:color w:val="690031"/>
                <w:sz w:val="16"/>
              </w:rPr>
              <w:t>(324,613)</w:t>
            </w:r>
          </w:p>
        </w:tc>
        <w:tc>
          <w:tcPr>
            <w:tcW w:w="330" w:type="dxa"/>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690031"/>
              </w:rPr>
            </w:pPr>
            <w:r>
              <w:rPr>
                <w:color w:val="690031"/>
              </w:rPr>
              <w:t>—</w:t>
            </w:r>
          </w:p>
        </w:tc>
        <w:tc>
          <w:tcPr>
            <w:tcW w:w="995" w:type="dxa"/>
            <w:gridSpan w:val="2"/>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Medium;sans-serif" w:hAnsi="Inter Medium;sans-serif"/>
                <w:b w:val="false"/>
                <w:color w:val="690031"/>
                <w:sz w:val="16"/>
              </w:rPr>
            </w:pPr>
            <w:r>
              <w:rPr>
                <w:rFonts w:ascii="Inter Medium;sans-serif" w:hAnsi="Inter Medium;sans-serif"/>
                <w:b w:val="false"/>
                <w:color w:val="690031"/>
                <w:sz w:val="16"/>
              </w:rPr>
              <w:t>(8,660,453)</w:t>
            </w:r>
          </w:p>
        </w:tc>
        <w:tc>
          <w:tcPr>
            <w:tcW w:w="300" w:type="dxa"/>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690031"/>
              </w:rPr>
            </w:pPr>
            <w:r>
              <w:rPr>
                <w:color w:val="690031"/>
              </w:rPr>
              <w:t>—</w:t>
            </w:r>
          </w:p>
        </w:tc>
        <w:tc>
          <w:tcPr>
            <w:tcW w:w="995" w:type="dxa"/>
            <w:gridSpan w:val="2"/>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Medium;sans-serif" w:hAnsi="Inter Medium;sans-serif"/>
                <w:b w:val="false"/>
                <w:color w:val="690031"/>
                <w:sz w:val="16"/>
              </w:rPr>
            </w:pPr>
            <w:r>
              <w:rPr>
                <w:rFonts w:ascii="Inter Medium;sans-serif" w:hAnsi="Inter Medium;sans-serif"/>
                <w:b w:val="false"/>
                <w:color w:val="690031"/>
                <w:sz w:val="16"/>
              </w:rPr>
              <w:t>(1,681,163)</w:t>
            </w:r>
          </w:p>
        </w:tc>
        <w:tc>
          <w:tcPr>
            <w:tcW w:w="300" w:type="dxa"/>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color w:val="690031"/>
              </w:rPr>
            </w:pPr>
            <w:r>
              <w:rPr>
                <w:color w:val="690031"/>
              </w:rPr>
              <w:t>—</w:t>
            </w:r>
          </w:p>
        </w:tc>
        <w:tc>
          <w:tcPr>
            <w:tcW w:w="995" w:type="dxa"/>
            <w:gridSpan w:val="2"/>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Inter Medium;sans-serif" w:hAnsi="Inter Medium;sans-serif"/>
                <w:b w:val="false"/>
                <w:color w:val="690031"/>
                <w:sz w:val="16"/>
              </w:rPr>
            </w:pPr>
            <w:r>
              <w:rPr>
                <w:rFonts w:ascii="Inter Medium;sans-serif" w:hAnsi="Inter Medium;sans-serif"/>
                <w:b w:val="false"/>
                <w:color w:val="690031"/>
                <w:sz w:val="16"/>
              </w:rPr>
              <w:t>1,092,726 </w:t>
            </w:r>
          </w:p>
        </w:tc>
        <w:tc>
          <w:tcPr>
            <w:tcW w:w="300" w:type="dxa"/>
            <w:tcBorders>
              <w:top w:val="single" w:sz="4" w:space="0" w:color="690031"/>
              <w:bottom w:val="single" w:sz="4" w:space="0" w:color="690031"/>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690031"/>
              <w:bottom w:val="single" w:sz="4" w:space="0" w:color="690031"/>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59435"/>
                <wp:effectExtent l="0" t="0" r="0" b="0"/>
                <wp:wrapNone/>
                <wp:docPr id="111" name="Frame68"/>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63</w:t>
                            </w:r>
                          </w:p>
                        </w:tc>
                      </w:tr>
                    </w:tbl>
                    <w:p>
                      <w:pPr>
                        <w:pStyle w:val="TextBody"/>
                        <w:bidi w:val="0"/>
                        <w:spacing w:before="0" w:after="283"/>
                        <w:jc w:val="left"/>
                        <w:rPr/>
                      </w:pPr>
                      <w:r>
                        <w:rPr/>
                      </w:r>
                    </w:p>
                  </w:txbxContent>
                </v:textbox>
                <w10:wrap type="none"/>
              </v:rect>
            </w:pict>
          </mc:Fallback>
        </mc:AlternateContent>
      </w:r>
    </w:p>
    <w:tbl>
      <w:tblPr>
        <w:tblW w:w="4003" w:type="dxa"/>
        <w:jc w:val="left"/>
        <w:tblInd w:w="0" w:type="dxa"/>
        <w:tblLayout w:type="fixed"/>
        <w:tblCellMar>
          <w:top w:w="28" w:type="dxa"/>
          <w:left w:w="28" w:type="dxa"/>
          <w:bottom w:w="28" w:type="dxa"/>
          <w:right w:w="28" w:type="dxa"/>
        </w:tblCellMar>
      </w:tblPr>
      <w:tblGrid>
        <w:gridCol w:w="864"/>
        <w:gridCol w:w="759"/>
        <w:gridCol w:w="761"/>
        <w:gridCol w:w="474"/>
        <w:gridCol w:w="474"/>
        <w:gridCol w:w="671"/>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Pay Versus Performance</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 xml:space="preserve">Most Important Financial Measures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 discussed above, the variable portion of our executive compensation program is tied to long-term stockholder returns through equity awards, and changes in the value of awards during a particular fiscal year are driven by stockholder returns in that fiscal year. We did not consider other financial or non-financial performance measures in determining the fiscal 2025 compensation for our named executive officers. As a result, we have not included a tabular list of the most important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Relationship Between Pay and Performance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 discussed in the Compensation Discussion and Analysis, we currently pay our CEO, Mr. Moskovitz, $1 per year. His compensation is not variable, and bears no relation to the cumulative total stockholder return or net income of the Company, as reported in the table above. As discussed in the Compensation Discussion and Analysis, the majority of our executives’ compensation (other than the CEO) is delivered in the form of company shares delivered as long-term awards with vesting periods. The ultimate value of these awards changes with changes in stock price. </w:t>
      </w:r>
    </w:p>
    <w:p>
      <w:pPr>
        <w:pStyle w:val="TextBody"/>
        <w:bidi w:val="0"/>
        <w:spacing w:lineRule="atLeast" w:line="260" w:before="0" w:after="180"/>
        <w:ind w:left="0" w:right="0" w:hanging="270"/>
        <w:jc w:val="left"/>
        <w:rPr/>
      </w:pPr>
      <w:r>
        <w:rPr>
          <w:color w:val="000000"/>
        </w:rPr>
        <w:t>•</w:t>
      </w:r>
      <w:r>
        <w:rPr>
          <w:rFonts w:ascii="Inter Light;sans-serif" w:hAnsi="Inter Light;sans-serif"/>
          <w:b w:val="false"/>
          <w:color w:val="000000"/>
          <w:sz w:val="18"/>
        </w:rPr>
        <w:t xml:space="preserve">In fiscal 2022, when stockholder returns were strongly positive (above the cumulative total stockholder return of the Company’s peer group), and net income was negative, executives earned positive compensation as measured by Compensation Actually Paid in the table above. </w:t>
      </w:r>
    </w:p>
    <w:p>
      <w:pPr>
        <w:pStyle w:val="TextBody"/>
        <w:bidi w:val="0"/>
        <w:spacing w:lineRule="atLeast" w:line="260" w:before="0" w:after="180"/>
        <w:ind w:left="0" w:right="0" w:hanging="270"/>
        <w:jc w:val="left"/>
        <w:rPr/>
      </w:pPr>
      <w:r>
        <w:rPr>
          <w:color w:val="000000"/>
        </w:rPr>
        <w:t>•</w:t>
      </w:r>
      <w:r>
        <w:rPr>
          <w:rFonts w:ascii="Inter Light;sans-serif" w:hAnsi="Inter Light;sans-serif"/>
          <w:b w:val="false"/>
          <w:color w:val="000000"/>
          <w:sz w:val="18"/>
        </w:rPr>
        <w:t xml:space="preserve">In fiscal 2023, when stockholder returns were negative (below the cumulative total stockholder return of the Company’s peer group), and net income was negative, executives earned negative compensation as measured by Compensation Actually Paid in the table above. </w:t>
      </w:r>
    </w:p>
    <w:p>
      <w:pPr>
        <w:pStyle w:val="TextBody"/>
        <w:bidi w:val="0"/>
        <w:spacing w:lineRule="atLeast" w:line="260" w:before="0" w:after="180"/>
        <w:ind w:left="0" w:right="0" w:hanging="270"/>
        <w:jc w:val="left"/>
        <w:rPr/>
      </w:pPr>
      <w:r>
        <w:rPr>
          <w:color w:val="000000"/>
        </w:rPr>
        <w:t>•</w:t>
      </w:r>
      <w:r>
        <w:rPr>
          <w:rFonts w:ascii="Inter Light;sans-serif" w:hAnsi="Inter Light;sans-serif"/>
          <w:b w:val="false"/>
          <w:color w:val="000000"/>
          <w:sz w:val="18"/>
        </w:rPr>
        <w:t xml:space="preserve">In fiscal 2024, when stockholder returns were positive when compared to fiscal 2023, but negative compared to fiscal 2022 (and below the cumulative total stockholder return of the Company’s peer group), and net income was negative, executives earned positive compensation as measured by Compensation Actually Paid in the table above that was less than the amounts reported in the Summary Compensation Table. </w:t>
      </w:r>
    </w:p>
    <w:p>
      <w:pPr>
        <w:pStyle w:val="TextBody"/>
        <w:bidi w:val="0"/>
        <w:spacing w:lineRule="atLeast" w:line="260" w:before="0" w:after="180"/>
        <w:ind w:left="0" w:right="0" w:hanging="270"/>
        <w:jc w:val="left"/>
        <w:rPr/>
      </w:pPr>
      <w:r>
        <w:rPr>
          <w:color w:val="000000"/>
        </w:rPr>
        <w:t>•</w:t>
      </w:r>
      <w:r>
        <w:rPr>
          <w:rFonts w:ascii="Inter Light;sans-serif" w:hAnsi="Inter Light;sans-serif"/>
          <w:b w:val="false"/>
          <w:color w:val="000000"/>
          <w:sz w:val="18"/>
        </w:rPr>
        <w:t>In fiscal 2025, when stockholder returns were positive when compared to fiscal 2024, but negative compared to fiscal 2022 (and below the cumulative total stockholder return of the Company’s peer group), and net income was negative, executives earned positive compensation as measured by Compensation Actually Paid in the table above that was less than the amounts reported in the Summary Compensation Table.</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 discussed above, we do not consider other financial or non-financial performance measures in determining the compensation actually paid to our CEO and other NEOs. As a result, we do not have a company selected measure and there is no relationship to disclose between the compensation actually paid to our NEOs and such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39140"/>
                <wp:effectExtent l="0" t="0" r="0" b="0"/>
                <wp:wrapNone/>
                <wp:docPr id="112" name="Frame6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64</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Certain Relationships and Related Person Transactions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Policies and Procedures for Related Person Transactions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Indemnification Agreements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indemnification agreements with each of our directors, executive officers, and certain employees that will require us, among other things, to indemnify them against certain liabilities that may arise by reason of their status or service as directors, officers, or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240" w:after="180"/>
        <w:jc w:val="left"/>
        <w:rPr>
          <w:rFonts w:ascii="Inter SemiBold;sans-serif" w:hAnsi="Inter SemiBold;sans-serif"/>
          <w:b w:val="false"/>
          <w:color w:val="FF584A"/>
          <w:sz w:val="24"/>
        </w:rPr>
      </w:pPr>
      <w:r>
        <w:rPr>
          <w:rFonts w:ascii="Inter SemiBold;sans-serif" w:hAnsi="Inter SemiBold;sans-serif"/>
          <w:b w:val="false"/>
          <w:color w:val="FF584A"/>
          <w:sz w:val="24"/>
        </w:rPr>
        <w:t>Certain Related Person Transactions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The following is a summary of transactions since February 1, 2024,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“Non-Employee Director Compensation.” </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Marketing and Software Expenses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 part of our marketing and user acquisition strategies, we utilize search engine marketing and advertising services from Microsoft Corporation and we have also sponsored a corporate event hosted by Microsoft in fiscal year 2025. Andrew Lindsay, a member of our Board, serves as Microsoft’s Corporate Vice President, AI, Data, Industry and Apps Business Development. We incurred approximately $1.7 million in search engine marketing and advertising services expenses and $0.2 million in event sponsorship expenses with Microsoft for the year ended January 31, 2025, and had outstanding payables of approximately $0.09 million as of January 31, 2025. Transactions with Microsoft in fiscal year 2025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 xml:space="preserve">As part of our marketing and user acquisition strategies, we routinely deploy advertisements on Quora.com, a question and answer website, via a self-serve platform. Adam D’Angelo, a member of our Board, is the Chief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59435"/>
                <wp:effectExtent l="0" t="0" r="0" b="0"/>
                <wp:wrapNone/>
                <wp:docPr id="113" name="Frame70"/>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65</w:t>
                            </w:r>
                          </w:p>
                        </w:tc>
                      </w:tr>
                    </w:tbl>
                    <w:p>
                      <w:pPr>
                        <w:pStyle w:val="TextBody"/>
                        <w:bidi w:val="0"/>
                        <w:spacing w:before="0" w:after="283"/>
                        <w:jc w:val="left"/>
                        <w:rPr/>
                      </w:pPr>
                      <w:r>
                        <w:rPr/>
                      </w:r>
                    </w:p>
                  </w:txbxContent>
                </v:textbox>
                <w10:wrap type="none"/>
              </v:rect>
            </w:pict>
          </mc:Fallback>
        </mc:AlternateContent>
      </w:r>
    </w:p>
    <w:tbl>
      <w:tblPr>
        <w:tblW w:w="6869" w:type="dxa"/>
        <w:jc w:val="left"/>
        <w:tblInd w:w="0" w:type="dxa"/>
        <w:tblLayout w:type="fixed"/>
        <w:tblCellMar>
          <w:top w:w="28" w:type="dxa"/>
          <w:left w:w="28" w:type="dxa"/>
          <w:bottom w:w="28" w:type="dxa"/>
          <w:right w:w="28" w:type="dxa"/>
        </w:tblCellMar>
      </w:tblPr>
      <w:tblGrid>
        <w:gridCol w:w="1903"/>
        <w:gridCol w:w="1670"/>
        <w:gridCol w:w="1677"/>
        <w:gridCol w:w="474"/>
        <w:gridCol w:w="474"/>
        <w:gridCol w:w="671"/>
      </w:tblGrid>
      <w:tr>
        <w:trPr/>
        <w:tc>
          <w:tcPr>
            <w:tcW w:w="190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Certain Relationships and Related Person Transactions</w:t>
            </w:r>
          </w:p>
        </w:tc>
        <w:tc>
          <w:tcPr>
            <w:tcW w:w="1619" w:type="dxa"/>
            <w:gridSpan w:val="3"/>
            <w:tcBorders/>
            <w:tcMar>
              <w:top w:w="0" w:type="dxa"/>
              <w:left w:w="0" w:type="dxa"/>
              <w:bottom w:w="0" w:type="dxa"/>
              <w:right w:w="0" w:type="dxa"/>
            </w:tcMar>
            <w:vAlign w:val="center"/>
          </w:tcPr>
          <w:p>
            <w:pPr>
              <w:pStyle w:val="TableContents"/>
              <w:bidi w:val="0"/>
              <w:spacing w:lineRule="atLeast" w:line="220" w:before="0" w:after="0"/>
              <w:jc w:val="righ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r>
    </w:tbl>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Officer of Quora. Matthew Cohler, a member of our Board, is a member of Quora’s Board of Directors. We incurred approximately $0.6 million in marketing expenses with Quora for the year ended January 31, 2025.</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As part of our enterprise sales strategies, we utilize data enrichment software from Clearbit, a data enrichment and customer intelligence company and a wholly-owned subsidiary of Hubspot, a customer relationship management platform. Lorrie Norrington, a member of our Board and our Lead Independent Director, is a member of HubSpot’s Board of Directors. We incurred approximately $0.05 million in software expenses with Clearbit for the year ended January 31, 2025. We also incurred approximately $0.09 million in event sponsorship expenses with Hubspot for the year ended January 31, 2025.</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Lease Expenses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During the fiscal year ended January 31, 2020, we began leasing certain office facilities from HubSpot. Rent payments made under these leases totaled $1.7 million for the year ended January 31, 2025.</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Artificial Intelligence (“AI”) Services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AI services agreements with OpenAI, an AI company. Adam D’Angelo, a member of our Board, is a member of OpenAI’s Board of Directors. We incurred $0.3 million in expenses with OpenAI for the year ended January 31, 2025 and had outstanding payables of approximately $0.01 million as of January 31, 2025.</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AI services agreements with Anthropic, an AI company. Dustin Moskovitz, Chairman of our Board of Directors and our Chief Executive Officer, has a minority ownership interest in Anthropic. We incurred $0.3 million in expenses with Anthropic for the year ended January 31, 2025 and had outstanding payables of approximately $0.06 million as of January 31, 2025.</w:t>
      </w:r>
    </w:p>
    <w:p>
      <w:pPr>
        <w:pStyle w:val="TextBody"/>
        <w:bidi w:val="0"/>
        <w:spacing w:lineRule="atLeast" w:line="300" w:before="240" w:after="120"/>
        <w:jc w:val="left"/>
        <w:rPr>
          <w:rFonts w:ascii="Inter SemiBold;sans-serif" w:hAnsi="Inter SemiBold;sans-serif"/>
          <w:b/>
          <w:color w:val="690031"/>
          <w:sz w:val="22"/>
        </w:rPr>
      </w:pPr>
      <w:r>
        <w:rPr>
          <w:rFonts w:ascii="Inter SemiBold;sans-serif" w:hAnsi="Inter SemiBold;sans-serif"/>
          <w:b/>
          <w:color w:val="690031"/>
          <w:sz w:val="22"/>
        </w:rPr>
        <w:t>Subscription Agreements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also entered into various recurring subscription agreements with Anthropic and recognized revenue under these subscription agreements of $0.2 million for the year ended January 31, 2025. Transactions with Anthropic in fiscal year 2025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subscription agreements with Autodesk, a software company. Lorrie Norrington, a member of our Board and our Lead Independent Director, is a member of Autodesk’s Board of Directors. We recognized revenue of $0.6 million under these subscription agreements for the year ended January 31, 2025. Transactions with Autodesk in fiscal year 2025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subscription agreements with the Environmental Defense Fund (“EDF”), a philanthropic organization. Matthew Cohler, a member of our Board, is a member of EDF’s Board of Trustees. We recognized revenue of $0.1 million under these subscription agreements for the year ended January 31, 2025 and had outstanding receivables of $0.02 million as of January 31, 2025. Transactions with EDF in fiscal year 2025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subscription agreements with Gusto, a software company. Anne Raimondi, our Chief Operating Officer, is a member of Gusto’s Board of Directors. We recognized revenue of $0.5 million under these subscription agreements for the year ended January 31, 2025. Transactions with Gusto in fiscal year 2025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also entered into various recurring subscription agreements with HubSpot and recognized revenue under these subscription agreements of $0.9 million for the year ended January 31, 2025. Transactions with Hubspot and its subsidiaries in fiscal year 2025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also entered into various recurring subscription agreements with OpenAI and recognized revenue under these subscription agreements of $0.2 million for the year ended January 31, 2025. Transactions with OpenAI in fiscal year 2025 did not exceed the greater of $1 million or 2% of its annual revenues.</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We have entered into various recurring subscription agreements with Quora.com, a question and answer website. Adam D’Angelo, a member of our Board, is the Chief Executive Officer of Quora. Matthew Cohler, a member of our Board, is a member of Quora’s Board of Directors. We recognized revenue of $0.1 million under these subscription agreements for the year ended January 31, 2025. Transactions with Quora in fiscal year 2025 did not exceed the greater of $1 million or 2% of its annual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39140"/>
                <wp:effectExtent l="0" t="0" r="0" b="0"/>
                <wp:wrapNone/>
                <wp:docPr id="114" name="Frame7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56" w:type="dxa"/>
                        <w:jc w:val="left"/>
                        <w:tblInd w:w="0" w:type="dxa"/>
                        <w:tblLayout w:type="fixed"/>
                        <w:tblCellMar>
                          <w:top w:w="28" w:type="dxa"/>
                          <w:left w:w="28" w:type="dxa"/>
                          <w:bottom w:w="28" w:type="dxa"/>
                          <w:right w:w="28" w:type="dxa"/>
                        </w:tblCellMar>
                      </w:tblPr>
                      <w:tblGrid>
                        <w:gridCol w:w="130"/>
                        <w:gridCol w:w="115"/>
                        <w:gridCol w:w="116"/>
                        <w:gridCol w:w="760"/>
                        <w:gridCol w:w="760"/>
                        <w:gridCol w:w="107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SemiBold;sans-serif" w:hAnsi="Inter SemiBold;sans-serif"/>
                                <w:b/>
                                <w:color w:val="690031"/>
                                <w:sz w:val="16"/>
                              </w:rPr>
                            </w:pPr>
                            <w:r>
                              <w:rPr>
                                <w:rFonts w:ascii="Inter SemiBold;sans-serif" w:hAnsi="Inter SemiBold;sans-serif"/>
                                <w:b/>
                                <w:color w:val="690031"/>
                                <w:sz w:val="16"/>
                              </w:rPr>
                              <w:t>66</w:t>
                            </w:r>
                          </w:p>
                        </w:tc>
                        <w:tc>
                          <w:tcPr>
                            <w:tcW w:w="2595"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r>
                    </w:tbl>
                    <w:p>
                      <w:pPr>
                        <w:pStyle w:val="TextBody"/>
                        <w:bidi w:val="0"/>
                        <w:spacing w:before="0" w:after="283"/>
                        <w:jc w:val="left"/>
                        <w:rPr/>
                      </w:pPr>
                      <w:r>
                        <w:rPr/>
                      </w:r>
                    </w:p>
                  </w:txbxContent>
                </v:textbox>
                <w10:wrap type="none"/>
              </v:rect>
            </w:pict>
          </mc:Fallback>
        </mc:AlternateContent>
      </w:r>
    </w:p>
    <w:tbl>
      <w:tblPr>
        <w:tblW w:w="1961" w:type="dxa"/>
        <w:jc w:val="left"/>
        <w:tblInd w:w="0" w:type="dxa"/>
        <w:tblLayout w:type="fixed"/>
        <w:tblCellMar>
          <w:top w:w="28" w:type="dxa"/>
          <w:left w:w="28" w:type="dxa"/>
          <w:bottom w:w="28" w:type="dxa"/>
          <w:right w:w="28" w:type="dxa"/>
        </w:tblCellMar>
      </w:tblPr>
      <w:tblGrid>
        <w:gridCol w:w="575"/>
        <w:gridCol w:w="505"/>
        <w:gridCol w:w="509"/>
        <w:gridCol w:w="109"/>
        <w:gridCol w:w="109"/>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tLeast" w:line="220" w:before="0" w:after="0"/>
              <w:jc w:val="left"/>
              <w:rPr/>
            </w:pPr>
            <w:hyperlink w:anchor="i39b121e38a8e480087239f339633667c_10">
              <w:r>
                <w:rPr>
                  <w:rStyle w:val="InternetLink"/>
                  <w:rFonts w:ascii="Inter Light;sans-serif" w:hAnsi="Inter Light;sans-serif"/>
                  <w:b w:val="false"/>
                  <w:strike w:val="false"/>
                  <w:dstrike w:val="false"/>
                  <w:color w:val="690031"/>
                  <w:sz w:val="16"/>
                  <w:u w:val="none"/>
                  <w:effect w:val="non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49" w:type="dxa"/>
        <w:jc w:val="left"/>
        <w:tblInd w:w="0" w:type="dxa"/>
        <w:tblLayout w:type="fixed"/>
        <w:tblCellMar>
          <w:top w:w="28" w:type="dxa"/>
          <w:left w:w="28" w:type="dxa"/>
          <w:bottom w:w="28" w:type="dxa"/>
          <w:right w:w="28" w:type="dxa"/>
        </w:tblCellMar>
      </w:tblPr>
      <w:tblGrid>
        <w:gridCol w:w="1296"/>
        <w:gridCol w:w="1139"/>
        <w:gridCol w:w="1614"/>
      </w:tblGrid>
      <w:tr>
        <w:trPr/>
        <w:tc>
          <w:tcPr>
            <w:tcW w:w="129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tLeast" w:line="600" w:before="0" w:after="600"/>
              <w:jc w:val="left"/>
              <w:rPr>
                <w:rFonts w:ascii="Inter Medium;sans-serif" w:hAnsi="Inter Medium;sans-serif"/>
                <w:b w:val="false"/>
                <w:color w:val="0D0E10"/>
                <w:sz w:val="56"/>
              </w:rPr>
            </w:pPr>
            <w:r>
              <w:rPr>
                <w:rFonts w:ascii="Inter Medium;sans-serif" w:hAnsi="Inter Medium;sans-serif"/>
                <w:b w:val="false"/>
                <w:color w:val="0D0E10"/>
                <w:sz w:val="56"/>
              </w:rPr>
              <w:t>Other Matters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80"/>
        <w:jc w:val="left"/>
        <w:rPr>
          <w:rFonts w:ascii="Inter SemiBold;sans-serif" w:hAnsi="Inter SemiBold;sans-serif"/>
          <w:b w:val="false"/>
          <w:color w:val="FF584A"/>
          <w:sz w:val="24"/>
        </w:rPr>
      </w:pPr>
      <w:r>
        <w:rPr>
          <w:rFonts w:ascii="Inter SemiBold;sans-serif" w:hAnsi="Inter SemiBold;sans-serif"/>
          <w:b w:val="false"/>
          <w:color w:val="FF584A"/>
          <w:sz w:val="24"/>
        </w:rPr>
        <w:t>Fiscal Year 2025 Annual Report and SEC Filings</w:t>
      </w:r>
    </w:p>
    <w:p>
      <w:pPr>
        <w:pStyle w:val="TextBody"/>
        <w:bidi w:val="0"/>
        <w:spacing w:lineRule="atLeast" w:line="260" w:before="0" w:after="180"/>
        <w:jc w:val="left"/>
        <w:rPr/>
      </w:pPr>
      <w:r>
        <w:rPr>
          <w:rFonts w:ascii="Inter Light;sans-serif" w:hAnsi="Inter Light;sans-serif"/>
          <w:b w:val="false"/>
          <w:color w:val="000000"/>
          <w:sz w:val="18"/>
        </w:rPr>
        <w:t xml:space="preserve">Our financial statements for our fiscal year ended January 31, 2025 are included in our Annual Report on Form 10-K, which we will make available to stockholders at the same time as this proxy statement. This proxy statement and our annual report are posted on our website at </w:t>
      </w:r>
      <w:hyperlink w:anchor="investors.asana.com">
        <w:r>
          <w:rPr>
            <w:rStyle w:val="InternetLink"/>
            <w:rFonts w:ascii="Inter Light;sans-serif" w:hAnsi="Inter Light;sans-serif"/>
            <w:b w:val="false"/>
            <w:color w:val="FF584A"/>
            <w:sz w:val="18"/>
            <w:u w:val="single"/>
          </w:rPr>
          <w:t>investors.asana.com</w:t>
        </w:r>
      </w:hyperlink>
      <w:r>
        <w:rPr>
          <w:color w:val="000000"/>
        </w:rPr>
        <w:t xml:space="preserve"> </w:t>
      </w:r>
      <w:r>
        <w:rPr>
          <w:rFonts w:ascii="Inter Light;sans-serif" w:hAnsi="Inter Light;sans-serif"/>
          <w:b w:val="false"/>
          <w:color w:val="000000"/>
          <w:sz w:val="18"/>
        </w:rPr>
        <w:t xml:space="preserve">and are available from the SEC at its website at </w:t>
      </w:r>
      <w:hyperlink r:id="rId45">
        <w:r>
          <w:rPr>
            <w:rStyle w:val="InternetLink"/>
            <w:rFonts w:ascii="Inter Light;sans-serif" w:hAnsi="Inter Light;sans-serif"/>
            <w:b w:val="false"/>
            <w:color w:val="FF584A"/>
            <w:sz w:val="18"/>
            <w:u w:val="single"/>
          </w:rPr>
          <w:t>www.sec.gov</w:t>
        </w:r>
      </w:hyperlink>
      <w:r>
        <w:rPr>
          <w:rFonts w:ascii="Inter Light;sans-serif" w:hAnsi="Inter Light;sans-serif"/>
          <w:b w:val="false"/>
          <w:color w:val="000000"/>
          <w:sz w:val="18"/>
        </w:rPr>
        <w:t xml:space="preserve">. </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A copy of our Annual Report to the Securities and Exchange Commission on Form 10-K for the fiscal year ended January 31, 2025 is available without charge upon written request to Asana, Inc., Attention: Investor Relations, 633 Folsom Street, Suite 100, San Francisco, CA 94107 or via email to ir@asana.com.</w:t>
      </w:r>
    </w:p>
    <w:p>
      <w:pPr>
        <w:pStyle w:val="TextBody"/>
        <w:bidi w:val="0"/>
        <w:spacing w:lineRule="atLeast" w:line="260" w:before="0" w:after="180"/>
        <w:jc w:val="left"/>
        <w:rPr>
          <w:rFonts w:ascii="Inter Light;sans-serif" w:hAnsi="Inter Light;sans-serif"/>
          <w:b w:val="false"/>
          <w:color w:val="000000"/>
          <w:sz w:val="18"/>
        </w:rPr>
      </w:pPr>
      <w:r>
        <w:rPr>
          <w:rFonts w:ascii="Inter Light;sans-serif" w:hAnsi="Inter Light;sans-serif"/>
          <w:b w:val="false"/>
          <w:color w:val="000000"/>
          <w:sz w:val="18"/>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pStyle w:val="TextBody"/>
        <w:bidi w:val="0"/>
        <w:spacing w:lineRule="atLeast" w:line="260" w:before="0" w:after="240"/>
        <w:jc w:val="left"/>
        <w:rPr>
          <w:rFonts w:ascii="Inter Light;sans-serif" w:hAnsi="Inter Light;sans-serif"/>
          <w:b w:val="false"/>
          <w:color w:val="000000"/>
          <w:sz w:val="18"/>
        </w:rPr>
      </w:pPr>
      <w:r>
        <w:rPr>
          <w:rFonts w:ascii="Inter Light;sans-serif" w:hAnsi="Inter Light;sans-serif"/>
          <w:b w:val="false"/>
          <w:color w:val="000000"/>
          <w:sz w:val="18"/>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pStyle w:val="TextBody"/>
        <w:bidi w:val="0"/>
        <w:spacing w:lineRule="atLeast" w:line="260" w:before="0" w:after="180"/>
        <w:jc w:val="left"/>
        <w:rPr>
          <w:rFonts w:ascii="Inter SemiBold;sans-serif" w:hAnsi="Inter SemiBold;sans-serif"/>
          <w:b/>
          <w:color w:val="000000"/>
          <w:sz w:val="18"/>
        </w:rPr>
      </w:pPr>
      <w:r>
        <w:rPr>
          <w:rFonts w:ascii="Inter SemiBold;sans-serif" w:hAnsi="Inter SemiBold;sans-serif"/>
          <w:b/>
          <w:color w:val="000000"/>
          <w:sz w:val="18"/>
        </w:rPr>
        <w:t>The Asana, Inc. Board of Directors</w:t>
      </w:r>
    </w:p>
    <w:p>
      <w:pPr>
        <w:pStyle w:val="TextBody"/>
        <w:bidi w:val="0"/>
        <w:spacing w:lineRule="atLeast" w:line="260" w:before="240" w:after="283"/>
        <w:jc w:val="left"/>
        <w:rPr>
          <w:rFonts w:ascii="Inter Light;sans-serif" w:hAnsi="Inter Light;sans-serif"/>
          <w:b w:val="false"/>
          <w:color w:val="636466"/>
          <w:sz w:val="18"/>
        </w:rPr>
      </w:pPr>
      <w:r>
        <w:rPr>
          <w:rFonts w:ascii="Inter Light;sans-serif" w:hAnsi="Inter Light;sans-serif"/>
          <w:b w:val="false"/>
          <w:color w:val="636466"/>
          <w:sz w:val="18"/>
        </w:rPr>
        <w:t>San Francisco, California</w:t>
        <w:br/>
        <w:t>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59435"/>
                <wp:effectExtent l="0" t="0" r="0" b="0"/>
                <wp:wrapNone/>
                <wp:docPr id="115" name="Frame72"/>
                <a:graphic xmlns:a="http://schemas.openxmlformats.org/drawingml/2006/main">
                  <a:graphicData uri="http://schemas.microsoft.com/office/word/2010/wordprocessingShape">
                    <wps:wsp>
                      <wps:cNvSpPr txBox="1"/>
                      <wps:spPr>
                        <a:xfrm>
                          <a:off x="0" y="0"/>
                          <a:ext cx="6480175" cy="559435"/>
                        </a:xfrm>
                        <a:prstGeom prst="rect"/>
                        <a:solidFill>
                          <a:srgbClr val="FFFFFF"/>
                        </a:solidFill>
                      </wps:spPr>
                      <wps:txb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05pt;mso-wrap-distance-left:0pt;mso-wrap-distance-right:0pt;mso-wrap-distance-top:0pt;mso-wrap-distance-bottom:0pt;margin-top:0pt;mso-position-vertical:top;mso-position-vertical-relative:text;margin-left:0pt;mso-position-horizontal:left;mso-position-horizontal-relative:text">
                <v:textbox>
                  <w:txbxContent>
                    <w:tbl>
                      <w:tblPr>
                        <w:tblW w:w="2955" w:type="dxa"/>
                        <w:jc w:val="left"/>
                        <w:tblInd w:w="0" w:type="dxa"/>
                        <w:tblLayout w:type="fixed"/>
                        <w:tblCellMar>
                          <w:top w:w="28" w:type="dxa"/>
                          <w:left w:w="28" w:type="dxa"/>
                          <w:bottom w:w="28" w:type="dxa"/>
                          <w:right w:w="28" w:type="dxa"/>
                        </w:tblCellMar>
                      </w:tblPr>
                      <w:tblGrid>
                        <w:gridCol w:w="929"/>
                        <w:gridCol w:w="815"/>
                        <w:gridCol w:w="820"/>
                        <w:gridCol w:w="114"/>
                        <w:gridCol w:w="114"/>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Inter Light;sans-serif" w:hAnsi="Inter Light;sans-serif"/>
                                <w:b w:val="false"/>
                                <w:color w:val="690031"/>
                                <w:sz w:val="16"/>
                              </w:rPr>
                            </w:pPr>
                            <w:r>
                              <w:rPr>
                                <w:rFonts w:ascii="Inter Light;sans-serif" w:hAnsi="Inter Light;sans-serif"/>
                                <w:b w:val="false"/>
                                <w:color w:val="690031"/>
                                <w:sz w:val="16"/>
                              </w:rPr>
                              <w:t>Asana 2025 Proxy Statement</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Inter SemiBold;sans-serif" w:hAnsi="Inter SemiBold;sans-serif"/>
                                <w:b/>
                                <w:color w:val="690031"/>
                                <w:sz w:val="16"/>
                              </w:rPr>
                            </w:pPr>
                            <w:r>
                              <w:rPr>
                                <w:rFonts w:ascii="Inter SemiBold;sans-serif" w:hAnsi="Inter SemiBold;sans-serif"/>
                                <w:b/>
                                <w:color w:val="690031"/>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25025"/>
            <wp:effectExtent l="0" t="0" r="0" b="0"/>
            <wp:docPr id="11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4" descr=""/>
                    <pic:cNvPicPr>
                      <a:picLocks noChangeAspect="1" noChangeArrowheads="1"/>
                    </pic:cNvPicPr>
                  </pic:nvPicPr>
                  <pic:blipFill>
                    <a:blip r:embed="rId46"/>
                    <a:stretch>
                      <a:fillRect/>
                    </a:stretch>
                  </pic:blipFill>
                  <pic:spPr bwMode="auto">
                    <a:xfrm>
                      <a:off x="0" y="0"/>
                      <a:ext cx="7543800" cy="97250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11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5" descr=""/>
                    <pic:cNvPicPr>
                      <a:picLocks noChangeAspect="1" noChangeArrowheads="1"/>
                    </pic:cNvPicPr>
                  </pic:nvPicPr>
                  <pic:blipFill>
                    <a:blip r:embed="rId47"/>
                    <a:stretch>
                      <a:fillRect/>
                    </a:stretch>
                  </pic:blipFill>
                  <pic:spPr bwMode="auto">
                    <a:xfrm>
                      <a:off x="0" y="0"/>
                      <a:ext cx="7543800" cy="97536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Inter Medium">
    <w:altName w:val="sans-serif"/>
    <w:charset w:val="01"/>
    <w:family w:val="auto"/>
    <w:pitch w:val="default"/>
  </w:font>
  <w:font w:name="Inter Light">
    <w:altName w:val="sans-serif"/>
    <w:charset w:val="01"/>
    <w:family w:val="auto"/>
    <w:pitch w:val="default"/>
  </w:font>
  <w:font w:name="Inter SemiBold">
    <w:altName w:val="sans-serif"/>
    <w:charset w:val="01"/>
    <w:family w:val="auto"/>
    <w:pitch w:val="default"/>
  </w:font>
  <w:font w:name="Arial">
    <w:altName w:val="sans-serif"/>
    <w:charset w:val="01"/>
    <w:family w:val="auto"/>
    <w:pitch w:val="default"/>
  </w:font>
  <w:font w:name="Inter">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3.gif"/><Relationship Id="rId6" Type="http://schemas.openxmlformats.org/officeDocument/2006/relationships/image" Target="media/image3.gif"/><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gif"/><Relationship Id="rId11" Type="http://schemas.openxmlformats.org/officeDocument/2006/relationships/image" Target="media/image8.gif"/><Relationship Id="rId12" Type="http://schemas.openxmlformats.org/officeDocument/2006/relationships/image" Target="media/image9.gif"/><Relationship Id="rId13" Type="http://schemas.openxmlformats.org/officeDocument/2006/relationships/image" Target="media/image10.gif"/><Relationship Id="rId14" Type="http://schemas.openxmlformats.org/officeDocument/2006/relationships/image" Target="media/image11.gif"/><Relationship Id="rId15" Type="http://schemas.openxmlformats.org/officeDocument/2006/relationships/image" Target="media/image12.gif"/><Relationship Id="rId16" Type="http://schemas.openxmlformats.org/officeDocument/2006/relationships/image" Target="media/image13.gif"/><Relationship Id="rId17" Type="http://schemas.openxmlformats.org/officeDocument/2006/relationships/image" Target="media/image14.gif"/><Relationship Id="rId18" Type="http://schemas.openxmlformats.org/officeDocument/2006/relationships/image" Target="media/image15.gif"/><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gif"/><Relationship Id="rId30" Type="http://schemas.openxmlformats.org/officeDocument/2006/relationships/image" Target="media/image27.gif"/><Relationship Id="rId31" Type="http://schemas.openxmlformats.org/officeDocument/2006/relationships/image" Target="media/image28.gif"/><Relationship Id="rId32" Type="http://schemas.openxmlformats.org/officeDocument/2006/relationships/image" Target="media/image27.gif"/><Relationship Id="rId33" Type="http://schemas.openxmlformats.org/officeDocument/2006/relationships/image" Target="media/image29.gif"/><Relationship Id="rId34" Type="http://schemas.openxmlformats.org/officeDocument/2006/relationships/image" Target="media/image27.gif"/><Relationship Id="rId35" Type="http://schemas.openxmlformats.org/officeDocument/2006/relationships/image" Target="media/image30.gif"/><Relationship Id="rId36" Type="http://schemas.openxmlformats.org/officeDocument/2006/relationships/image" Target="media/image30.gif"/><Relationship Id="rId37" Type="http://schemas.openxmlformats.org/officeDocument/2006/relationships/image" Target="media/image30.gif"/><Relationship Id="rId38" Type="http://schemas.openxmlformats.org/officeDocument/2006/relationships/image" Target="media/image30.gif"/><Relationship Id="rId39" Type="http://schemas.openxmlformats.org/officeDocument/2006/relationships/image" Target="media/image30.gif"/><Relationship Id="rId40" Type="http://schemas.openxmlformats.org/officeDocument/2006/relationships/image" Target="media/image31.gif"/><Relationship Id="rId41" Type="http://schemas.openxmlformats.org/officeDocument/2006/relationships/image" Target="media/image31.gif"/><Relationship Id="rId42" Type="http://schemas.openxmlformats.org/officeDocument/2006/relationships/image" Target="media/image31.gif"/><Relationship Id="rId43" Type="http://schemas.openxmlformats.org/officeDocument/2006/relationships/image" Target="media/image31.gif"/><Relationship Id="rId44" Type="http://schemas.openxmlformats.org/officeDocument/2006/relationships/image" Target="media/image31.gif"/><Relationship Id="rId45" Type="http://schemas.openxmlformats.org/officeDocument/2006/relationships/hyperlink" Target="www.sec.gov" TargetMode="External"/><Relationship Id="rId46" Type="http://schemas.openxmlformats.org/officeDocument/2006/relationships/image" Target="media/image32.jpeg"/><Relationship Id="rId47" Type="http://schemas.openxmlformats.org/officeDocument/2006/relationships/image" Target="media/image33.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34751</Words>
  <Characters>188590</Characters>
  <CharactersWithSpaces>221617</CharactersWithSpaces>
  <Paragraphs>2257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