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Moskovitz Dustin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ASANA,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633 FOLSOM STREET,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Asana,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President, CEO, &amp; Chair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846"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94107</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2"/>
                <w:szCs w:val="12"/>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07/01/2025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P</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225,000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13.5838</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51,711,191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07/02/2025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P</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111"/>
              <w:spacing w:after="0"/>
              <w:rPr>
                <w:sz w:val="20"/>
                <w:szCs w:val="20"/>
                <w:color w:val="auto"/>
              </w:rPr>
            </w:pPr>
            <w:r>
              <w:rPr>
                <w:rFonts w:ascii="Times New Roman" w:cs="Times New Roman" w:eastAsia="Times New Roman" w:hAnsi="Times New Roman"/>
                <w:sz w:val="17"/>
                <w:szCs w:val="17"/>
                <w:color w:val="0000FF"/>
              </w:rPr>
              <w:t>225,000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13.6065</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51,936,191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4,147,046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purchases reported on this Form 4 were effected pursuant to a Rule 10b5-1 trading plan, adopted September 5, 2024.</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$13.19 to $13.78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purchase price. These shares were purchased in multiple transactions at prices ranging from $13.48 to $13.74 per share.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Dustin A. Moskovitz TTEE Dustin A. Moskovitz Trust DTD 12/27/05.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Katie Colendich, Attorney- </w:t>
      </w:r>
      <w:r>
        <w:rPr>
          <w:rFonts w:ascii="Times New Roman" w:cs="Times New Roman" w:eastAsia="Times New Roman" w:hAnsi="Times New Roman"/>
          <w:sz w:val="34"/>
          <w:szCs w:val="34"/>
          <w:color w:val="0000FF"/>
          <w:vertAlign w:val="subscript"/>
        </w:rPr>
        <w:t>07/03/2025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49917" TargetMode="External"/><Relationship Id="rId14" Type="http://schemas.openxmlformats.org/officeDocument/2006/relationships/hyperlink" Target="http://www.sec.gov/cgi-bin/browse-edgar?action=getcompany&amp;CIK=0001477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2025-07-03T16:00:55Z</dcterms:created>
  <dcterms:modified xsi:type="dcterms:W3CDTF">2025-07-03T16:00:55Z</dcterms:modified>
</cp:coreProperties>
</file>