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8,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tbl>
      <w:tblPr>
        <w:tblW w:w="4692" w:type="dxa"/>
        <w:jc w:val="left"/>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001-39495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26-3912448</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269" w:type="dxa"/>
        <w:jc w:val="left"/>
        <w:tblInd w:w="0" w:type="dxa"/>
        <w:tblLayout w:type="fixed"/>
        <w:tblCellMar>
          <w:top w:w="28" w:type="dxa"/>
          <w:left w:w="28" w:type="dxa"/>
          <w:bottom w:w="28" w:type="dxa"/>
          <w:right w:w="28" w:type="dxa"/>
        </w:tblCellMar>
      </w:tblPr>
      <w:tblGrid>
        <w:gridCol w:w="724"/>
        <w:gridCol w:w="636"/>
        <w:gridCol w:w="639"/>
        <w:gridCol w:w="337"/>
        <w:gridCol w:w="337"/>
        <w:gridCol w:w="340"/>
        <w:gridCol w:w="109"/>
        <w:gridCol w:w="109"/>
        <w:gridCol w:w="109"/>
        <w:gridCol w:w="272"/>
        <w:gridCol w:w="272"/>
        <w:gridCol w:w="385"/>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633 Folsom Street, </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Francisco,</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94107</w:t>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(415) 525-3888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781"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519"/>
        <w:gridCol w:w="519"/>
        <w:gridCol w:w="521"/>
        <w:gridCol w:w="109"/>
        <w:gridCol w:w="109"/>
        <w:gridCol w:w="109"/>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$0.00001 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Asana, Inc. (the “Company”) held its 2026 Annual Meeting of Stockholders (the “Annual Meeting”). At the Annual Meeting, the Company’s stockholders voted on the three proposals outlined in the Company’s definitive proxy statement on Schedule 14A filed with the U.S. Securities and Exchange Commission on April 20, 2026 and cast their votes as described below. The final results with respect to each proposal are set forth below. </w:t>
      </w:r>
    </w:p>
    <w:p>
      <w:pPr>
        <w:pStyle w:val="TextBody"/>
        <w:bidi w:val="0"/>
        <w:spacing w:before="0" w:after="0"/>
        <w:jc w:val="left"/>
        <w:rPr/>
      </w:pPr>
      <w:r>
        <w:rPr/>
      </w:r>
    </w:p>
    <w:p>
      <w:pPr>
        <w:pStyle w:val="TextBody"/>
        <w:bidi w:val="0"/>
        <w:spacing w:lineRule="auto" w:line="247" w:before="0" w:after="0"/>
        <w:jc w:val="left"/>
        <w:rPr/>
      </w:pPr>
      <w:r>
        <w:rPr>
          <w:rFonts w:ascii="Times New Roman;serif" w:hAnsi="Times New Roman;serif"/>
          <w:b/>
          <w:i/>
          <w:color w:val="000000"/>
          <w:sz w:val="20"/>
        </w:rPr>
        <w:t>Proposal One – Election of Directors</w:t>
      </w:r>
      <w:r>
        <w:rPr>
          <w:color w:val="000000"/>
        </w:rPr>
        <w:t xml:space="preserve">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The stockholders elected each of the three persons named below as Class III directors to serve until the 2029 annual meeting of stockholders and until their successors are duly elected and qualified. The results of such vote were:</w:t>
      </w:r>
    </w:p>
    <w:p>
      <w:pPr>
        <w:pStyle w:val="TextBody"/>
        <w:bidi w:val="0"/>
        <w:spacing w:before="0" w:after="0"/>
        <w:ind w:left="0" w:right="0" w:firstLine="720"/>
        <w:jc w:val="left"/>
        <w:rPr/>
      </w:pPr>
      <w:r>
        <w:rPr/>
      </w:r>
    </w:p>
    <w:tbl>
      <w:tblPr>
        <w:tblW w:w="7616" w:type="dxa"/>
        <w:jc w:val="left"/>
        <w:tblInd w:w="0" w:type="dxa"/>
        <w:tblLayout w:type="fixed"/>
        <w:tblCellMar>
          <w:top w:w="28" w:type="dxa"/>
          <w:left w:w="28" w:type="dxa"/>
          <w:bottom w:w="28" w:type="dxa"/>
          <w:right w:w="28" w:type="dxa"/>
        </w:tblCellMar>
      </w:tblPr>
      <w:tblGrid>
        <w:gridCol w:w="881"/>
        <w:gridCol w:w="774"/>
        <w:gridCol w:w="775"/>
        <w:gridCol w:w="379"/>
        <w:gridCol w:w="379"/>
        <w:gridCol w:w="383"/>
        <w:gridCol w:w="109"/>
        <w:gridCol w:w="109"/>
        <w:gridCol w:w="109"/>
        <w:gridCol w:w="405"/>
        <w:gridCol w:w="405"/>
        <w:gridCol w:w="406"/>
        <w:gridCol w:w="109"/>
        <w:gridCol w:w="109"/>
        <w:gridCol w:w="109"/>
        <w:gridCol w:w="637"/>
        <w:gridCol w:w="637"/>
        <w:gridCol w:w="901"/>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Krista Anderson-Copperman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747,175,515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57,724,686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33,445,555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Sydney Carey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753,226,306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51,673,895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33,445,555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Dan Rogers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785,625,014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19,275,187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33,445,555</w:t>
            </w:r>
          </w:p>
        </w:tc>
      </w:tr>
    </w:tbl>
    <w:p>
      <w:pPr>
        <w:pStyle w:val="TextBody"/>
        <w:bidi w:val="0"/>
        <w:spacing w:before="0" w:after="0"/>
        <w:jc w:val="left"/>
        <w:rPr/>
      </w:pPr>
      <w:r>
        <w:rPr/>
      </w:r>
    </w:p>
    <w:p>
      <w:pPr>
        <w:pStyle w:val="TextBody"/>
        <w:bidi w:val="0"/>
        <w:spacing w:lineRule="auto" w:line="247" w:before="0" w:after="0"/>
        <w:jc w:val="left"/>
        <w:rPr>
          <w:rFonts w:ascii="Times New Roman;serif" w:hAnsi="Times New Roman;serif"/>
          <w:b/>
          <w:i/>
          <w:color w:val="000000"/>
          <w:sz w:val="20"/>
        </w:rPr>
      </w:pPr>
      <w:r>
        <w:rPr>
          <w:rFonts w:ascii="Times New Roman;serif" w:hAnsi="Times New Roman;serif"/>
          <w:b/>
          <w:i/>
          <w:color w:val="000000"/>
          <w:sz w:val="20"/>
        </w:rPr>
        <w:t>Proposal Two – Ratification of Selection of Independent Public Registered Accounting Firm</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The stockholders ratified the selection of PricewaterhouseCoopers LLP by the audit committee of the Company’s board of directors as the Company’s independent registered public accounting firm for the fiscal year ending January 31, 2027. The results of such vote were:</w:t>
      </w:r>
    </w:p>
    <w:p>
      <w:pPr>
        <w:pStyle w:val="TextBody"/>
        <w:bidi w:val="0"/>
        <w:spacing w:before="0" w:after="0"/>
        <w:jc w:val="left"/>
        <w:rPr/>
      </w:pPr>
      <w:r>
        <w:rPr/>
      </w:r>
    </w:p>
    <w:tbl>
      <w:tblPr>
        <w:tblW w:w="5922"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320"/>
        <w:gridCol w:w="320"/>
        <w:gridCol w:w="321"/>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830,585,200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757,385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7,003,171</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47" w:before="0" w:after="0"/>
        <w:jc w:val="left"/>
        <w:rPr>
          <w:rFonts w:ascii="Times New Roman;serif" w:hAnsi="Times New Roman;serif"/>
          <w:b/>
          <w:i/>
          <w:color w:val="000000"/>
          <w:sz w:val="20"/>
        </w:rPr>
      </w:pPr>
      <w:r>
        <w:rPr>
          <w:rFonts w:ascii="Times New Roman;serif" w:hAnsi="Times New Roman;serif"/>
          <w:b/>
          <w:i/>
          <w:color w:val="000000"/>
          <w:sz w:val="20"/>
        </w:rPr>
        <w:t>Proposal Three – Non-Binding Advisory Vote to Approve the Compensation of the Company’s Named Executive Officers</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The stockholders approved, on an advisory basis, the compensation of the Company’s named executive officers. The results of such vote were:</w:t>
      </w:r>
    </w:p>
    <w:p>
      <w:pPr>
        <w:pStyle w:val="TextBody"/>
        <w:bidi w:val="0"/>
        <w:spacing w:before="0" w:after="0"/>
        <w:ind w:left="0" w:right="0" w:firstLine="720"/>
        <w:jc w:val="left"/>
        <w:rPr/>
      </w:pPr>
      <w:r>
        <w:rPr/>
      </w:r>
    </w:p>
    <w:tbl>
      <w:tblPr>
        <w:tblW w:w="6057"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44"/>
        <w:gridCol w:w="344"/>
        <w:gridCol w:w="348"/>
        <w:gridCol w:w="109"/>
        <w:gridCol w:w="109"/>
        <w:gridCol w:w="109"/>
        <w:gridCol w:w="344"/>
        <w:gridCol w:w="344"/>
        <w:gridCol w:w="348"/>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745,060,747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41,384,453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18,455,001</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33,445,555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83" w:type="dxa"/>
        <w:jc w:val="left"/>
        <w:tblInd w:w="0" w:type="dxa"/>
        <w:tblLayout w:type="fixed"/>
        <w:tblCellMar>
          <w:top w:w="28" w:type="dxa"/>
          <w:left w:w="28" w:type="dxa"/>
          <w:bottom w:w="28" w:type="dxa"/>
          <w:right w:w="28" w:type="dxa"/>
        </w:tblCellMar>
      </w:tblPr>
      <w:tblGrid>
        <w:gridCol w:w="667"/>
        <w:gridCol w:w="586"/>
        <w:gridCol w:w="592"/>
        <w:gridCol w:w="198"/>
        <w:gridCol w:w="198"/>
        <w:gridCol w:w="198"/>
        <w:gridCol w:w="977"/>
        <w:gridCol w:w="977"/>
        <w:gridCol w:w="139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Dated: June 12, 2026</w:t>
            </w:r>
          </w:p>
        </w:tc>
        <w:tc>
          <w:tcPr>
            <w:tcW w:w="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Katie Colendich</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Katie Colendich</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Corporate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3577</Characters>
  <CharactersWithSpaces>4100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