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77470</wp:posOffset>
            </wp:positionV>
            <wp:extent cx="2477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2" w:lineRule="exact"/>
        <w:rPr>
          <w:sz w:val="24"/>
          <w:szCs w:val="24"/>
          <w:color w:val="auto"/>
        </w:rPr>
      </w:pPr>
    </w:p>
    <w:p>
      <w:pPr>
        <w:ind w:left="1160" w:hanging="810"/>
        <w:spacing w:after="0"/>
        <w:tabs>
          <w:tab w:leader="none" w:pos="11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8" w:lineRule="exact"/>
        <w:rPr>
          <w:sz w:val="24"/>
          <w:szCs w:val="24"/>
          <w:color w:val="auto"/>
        </w:rPr>
      </w:pPr>
    </w:p>
    <w:p>
      <w:pPr>
        <w:ind w:left="1160" w:hanging="810"/>
        <w:spacing w:after="0"/>
        <w:tabs>
          <w:tab w:leader="none" w:pos="11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January 31, 2024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139700</wp:posOffset>
            </wp:positionV>
            <wp:extent cx="2477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ASANA,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01" w:lineRule="exact"/>
        <w:rPr>
          <w:sz w:val="24"/>
          <w:szCs w:val="24"/>
          <w:color w:val="auto"/>
        </w:rPr>
      </w:pPr>
    </w:p>
    <w:tbl>
      <w:tblPr>
        <w:tblLayout w:type="fixed"/>
        <w:tblInd w:w="26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3720" w:type="dxa"/>
            <w:vAlign w:val="bottom"/>
            <w:gridSpan w:val="2"/>
          </w:tcPr>
          <w:p>
            <w:pPr>
              <w:jc w:val="center"/>
              <w:ind w:right="130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500" w:type="dxa"/>
            <w:vAlign w:val="bottom"/>
            <w:gridSpan w:val="3"/>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7372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40" w:type="dxa"/>
            <w:vAlign w:val="bottom"/>
            <w:gridSpan w:val="2"/>
          </w:tcPr>
          <w:p>
            <w:pPr>
              <w:jc w:val="right"/>
              <w:ind w:right="1067"/>
              <w:spacing w:after="0"/>
              <w:rPr>
                <w:sz w:val="20"/>
                <w:szCs w:val="20"/>
                <w:color w:val="auto"/>
              </w:rPr>
            </w:pPr>
            <w:r>
              <w:rPr>
                <w:rFonts w:ascii="Times New Roman" w:cs="Times New Roman" w:eastAsia="Times New Roman" w:hAnsi="Times New Roman"/>
                <w:sz w:val="14"/>
                <w:szCs w:val="14"/>
                <w:b w:val="1"/>
                <w:bCs w:val="1"/>
                <w:color w:val="auto"/>
              </w:rPr>
              <w:t>26-3912448</w:t>
            </w:r>
          </w:p>
        </w:tc>
      </w:tr>
      <w:tr>
        <w:trPr>
          <w:trHeight w:val="183"/>
        </w:trPr>
        <w:tc>
          <w:tcPr>
            <w:tcW w:w="4160" w:type="dxa"/>
            <w:vAlign w:val="bottom"/>
            <w:gridSpan w:val="3"/>
          </w:tcPr>
          <w:p>
            <w:pPr>
              <w:jc w:val="center"/>
              <w:ind w:right="842"/>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2900" w:type="dxa"/>
            <w:vAlign w:val="bottom"/>
            <w:gridSpan w:val="5"/>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6"/>
              </w:rPr>
              <w:t>(Primary standard industrial code number)</w:t>
            </w:r>
          </w:p>
        </w:tc>
        <w:tc>
          <w:tcPr>
            <w:tcW w:w="260" w:type="dxa"/>
            <w:vAlign w:val="bottom"/>
          </w:tcPr>
          <w:p>
            <w:pPr>
              <w:spacing w:after="0"/>
              <w:rPr>
                <w:sz w:val="15"/>
                <w:szCs w:val="15"/>
                <w:color w:val="auto"/>
              </w:rPr>
            </w:pPr>
          </w:p>
        </w:tc>
        <w:tc>
          <w:tcPr>
            <w:tcW w:w="3280" w:type="dxa"/>
            <w:vAlign w:val="bottom"/>
          </w:tcPr>
          <w:p>
            <w:pPr>
              <w:jc w:val="center"/>
              <w:ind w:left="227"/>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137"/>
        </w:trPr>
        <w:tc>
          <w:tcPr>
            <w:tcW w:w="4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r>
      <w:tr>
        <w:trPr>
          <w:trHeight w:val="279"/>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633 Folsom Street, Suite 100</w:t>
            </w: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60"/>
        </w:trPr>
        <w:tc>
          <w:tcPr>
            <w:tcW w:w="4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San Francisco, CA 94107</w:t>
            </w:r>
          </w:p>
        </w:tc>
        <w:tc>
          <w:tcPr>
            <w:tcW w:w="26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92"/>
        </w:trPr>
        <w:tc>
          <w:tcPr>
            <w:tcW w:w="4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640" w:type="dxa"/>
            <w:vAlign w:val="bottom"/>
            <w:gridSpan w:val="6"/>
          </w:tcPr>
          <w:p>
            <w:pPr>
              <w:jc w:val="center"/>
              <w:ind w:left="182"/>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tc>
        <w:tc>
          <w:tcPr>
            <w:tcW w:w="26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321"/>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gridSpan w:val="3"/>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(415) 525-3888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92"/>
        </w:trPr>
        <w:tc>
          <w:tcPr>
            <w:tcW w:w="4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640" w:type="dxa"/>
            <w:vAlign w:val="bottom"/>
            <w:gridSpan w:val="6"/>
          </w:tcPr>
          <w:p>
            <w:pPr>
              <w:jc w:val="center"/>
              <w:ind w:left="162"/>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26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118"/>
        </w:trPr>
        <w:tc>
          <w:tcPr>
            <w:tcW w:w="4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6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spacing w:after="0"/>
              <w:rPr>
                <w:sz w:val="10"/>
                <w:szCs w:val="10"/>
                <w:color w:val="auto"/>
              </w:rPr>
            </w:pPr>
          </w:p>
        </w:tc>
        <w:tc>
          <w:tcPr>
            <w:tcW w:w="3280" w:type="dxa"/>
            <w:vAlign w:val="bottom"/>
          </w:tcPr>
          <w:p>
            <w:pPr>
              <w:spacing w:after="0"/>
              <w:rPr>
                <w:sz w:val="10"/>
                <w:szCs w:val="10"/>
                <w:color w:val="auto"/>
              </w:rPr>
            </w:pPr>
          </w:p>
        </w:tc>
      </w:tr>
      <w:tr>
        <w:trPr>
          <w:trHeight w:val="345"/>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180" w:type="dxa"/>
            <w:vAlign w:val="bottom"/>
            <w:gridSpan w:val="8"/>
          </w:tcPr>
          <w:p>
            <w:pPr>
              <w:jc w:val="center"/>
              <w:ind w:right="2887"/>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72"/>
        </w:trPr>
        <w:tc>
          <w:tcPr>
            <w:tcW w:w="440" w:type="dxa"/>
            <w:vAlign w:val="bottom"/>
          </w:tcPr>
          <w:p>
            <w:pPr>
              <w:spacing w:after="0"/>
              <w:rPr>
                <w:sz w:val="24"/>
                <w:szCs w:val="24"/>
                <w:color w:val="auto"/>
              </w:rPr>
            </w:pPr>
          </w:p>
        </w:tc>
        <w:tc>
          <w:tcPr>
            <w:tcW w:w="3720" w:type="dxa"/>
            <w:vAlign w:val="bottom"/>
            <w:gridSpan w:val="2"/>
          </w:tcPr>
          <w:p>
            <w:pPr>
              <w:jc w:val="center"/>
              <w:ind w:left="64"/>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540" w:type="dxa"/>
            <w:vAlign w:val="bottom"/>
            <w:gridSpan w:val="2"/>
          </w:tcPr>
          <w:p>
            <w:pPr>
              <w:jc w:val="center"/>
              <w:ind w:right="227"/>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35"/>
        </w:trPr>
        <w:tc>
          <w:tcPr>
            <w:tcW w:w="440" w:type="dxa"/>
            <w:vAlign w:val="bottom"/>
          </w:tcPr>
          <w:p>
            <w:pPr>
              <w:spacing w:after="0"/>
              <w:rPr>
                <w:sz w:val="11"/>
                <w:szCs w:val="11"/>
                <w:color w:val="auto"/>
              </w:rPr>
            </w:pPr>
          </w:p>
        </w:tc>
        <w:tc>
          <w:tcPr>
            <w:tcW w:w="3720" w:type="dxa"/>
            <w:vAlign w:val="bottom"/>
            <w:tcBorders>
              <w:top w:val="single" w:sz="8" w:color="auto"/>
            </w:tcBorders>
            <w:gridSpan w:val="2"/>
          </w:tcPr>
          <w:p>
            <w:pPr>
              <w:jc w:val="center"/>
              <w:ind w:left="44"/>
              <w:spacing w:after="0" w:line="135" w:lineRule="exact"/>
              <w:rPr>
                <w:sz w:val="20"/>
                <w:szCs w:val="20"/>
                <w:color w:val="auto"/>
              </w:rPr>
            </w:pPr>
            <w:r>
              <w:rPr>
                <w:rFonts w:ascii="Times New Roman" w:cs="Times New Roman" w:eastAsia="Times New Roman" w:hAnsi="Times New Roman"/>
                <w:sz w:val="15"/>
                <w:szCs w:val="15"/>
                <w:color w:val="auto"/>
              </w:rPr>
              <w:t>Class A Common Stock, $0.00001 par value per share</w:t>
            </w: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color w:val="auto"/>
              </w:rPr>
              <w:t>ASAN</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80" w:type="dxa"/>
            <w:vAlign w:val="bottom"/>
            <w:tcBorders>
              <w:top w:val="single" w:sz="8" w:color="auto"/>
            </w:tcBorders>
          </w:tcPr>
          <w:p>
            <w:pPr>
              <w:jc w:val="center"/>
              <w:ind w:right="487"/>
              <w:spacing w:after="0" w:line="135" w:lineRule="exact"/>
              <w:rPr>
                <w:sz w:val="20"/>
                <w:szCs w:val="20"/>
                <w:color w:val="auto"/>
              </w:rPr>
            </w:pPr>
            <w:r>
              <w:rPr>
                <w:rFonts w:ascii="Times New Roman" w:cs="Times New Roman" w:eastAsia="Times New Roman" w:hAnsi="Times New Roman"/>
                <w:sz w:val="15"/>
                <w:szCs w:val="15"/>
                <w:color w:val="auto"/>
              </w:rPr>
              <w:t>New York Stock Exchange</w:t>
            </w:r>
          </w:p>
        </w:tc>
      </w:tr>
      <w:tr>
        <w:trPr>
          <w:trHeight w:val="210"/>
        </w:trPr>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tcPr>
          <w:p>
            <w:pPr>
              <w:jc w:val="center"/>
              <w:ind w:right="487"/>
              <w:spacing w:after="0"/>
              <w:rPr>
                <w:sz w:val="20"/>
                <w:szCs w:val="20"/>
                <w:color w:val="auto"/>
              </w:rPr>
            </w:pPr>
            <w:r>
              <w:rPr>
                <w:rFonts w:ascii="Times New Roman" w:cs="Times New Roman" w:eastAsia="Times New Roman" w:hAnsi="Times New Roman"/>
                <w:sz w:val="16"/>
                <w:szCs w:val="16"/>
                <w:color w:val="auto"/>
              </w:rPr>
              <w:t>Long-Term Stock Exchange</w:t>
            </w:r>
          </w:p>
        </w:tc>
      </w:tr>
    </w:tbl>
    <w:p>
      <w:pPr>
        <w:spacing w:after="0" w:line="18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6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0"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jc w:val="both"/>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7"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2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Accelerated filer</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2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8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Emerging growth company</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13" w:lineRule="exact"/>
        <w:rPr>
          <w:sz w:val="24"/>
          <w:szCs w:val="24"/>
          <w:color w:val="auto"/>
        </w:rPr>
      </w:pPr>
    </w:p>
    <w:p>
      <w:pPr>
        <w:jc w:val="both"/>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9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0" w:lineRule="exact"/>
        <w:rPr>
          <w:sz w:val="24"/>
          <w:szCs w:val="24"/>
          <w:color w:val="auto"/>
        </w:rPr>
      </w:pPr>
    </w:p>
    <w:p>
      <w:pPr>
        <w:jc w:val="both"/>
        <w:spacing w:after="0" w:line="173"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27"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26"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The aggregate market value of the registrant’s shares of Class A common stock held by non-affiliates of the registrant as of July 31, 2023, the last business day of the registrant’s most recently completed second fiscal quarter, was approximately $2.0 billion, based on the closing price reported for such date on the New York Stock Exchange.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w:t>
      </w:r>
    </w:p>
    <w:p>
      <w:pPr>
        <w:spacing w:after="0"/>
        <w:rPr>
          <w:sz w:val="20"/>
          <w:szCs w:val="20"/>
          <w:color w:val="auto"/>
        </w:rPr>
      </w:pPr>
      <w:r>
        <w:rPr>
          <w:rFonts w:ascii="Times New Roman" w:cs="Times New Roman" w:eastAsia="Times New Roman" w:hAnsi="Times New Roman"/>
          <w:sz w:val="13"/>
          <w:szCs w:val="13"/>
          <w:color w:val="auto"/>
        </w:rPr>
        <w:t>any other purpose</w:t>
      </w:r>
      <w:r>
        <w:rPr>
          <w:rFonts w:ascii="Times New Roman" w:cs="Times New Roman" w:eastAsia="Times New Roman" w:hAnsi="Times New Roman"/>
          <w:sz w:val="17"/>
          <w:szCs w:val="17"/>
          <w:color w:val="auto"/>
        </w:rPr>
        <w:t>.</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1, 2024, the number of shares of the registrant’s Class A common stock outstanding was 139,318,224 and the number of shares of the registrant’s Class B common stock outstanding was 85,489,359.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63" w:lineRule="exact"/>
        <w:rPr>
          <w:sz w:val="24"/>
          <w:szCs w:val="24"/>
          <w:color w:val="auto"/>
        </w:rPr>
      </w:pPr>
    </w:p>
    <w:p>
      <w:pPr>
        <w:ind w:right="20"/>
        <w:spacing w:after="0" w:line="211"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January 31, 2024.</w:t>
      </w: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954"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6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6"/>
              </w:rPr>
              <w:t>Part I</w:t>
            </w:r>
          </w:p>
        </w:tc>
        <w:tc>
          <w:tcPr>
            <w:tcW w:w="9760" w:type="dxa"/>
            <w:vAlign w:val="bottom"/>
            <w:gridSpan w:val="26"/>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0" w:type="dxa"/>
            <w:vAlign w:val="bottom"/>
            <w:gridSpan w:val="2"/>
            <w:vMerge w:val="continue"/>
          </w:tcPr>
          <w:p>
            <w:pPr>
              <w:spacing w:after="0"/>
              <w:rPr>
                <w:sz w:val="15"/>
                <w:szCs w:val="15"/>
                <w:color w:val="auto"/>
              </w:rPr>
            </w:pPr>
          </w:p>
        </w:tc>
        <w:tc>
          <w:tcPr>
            <w:tcW w:w="9760" w:type="dxa"/>
            <w:vAlign w:val="bottom"/>
            <w:gridSpan w:val="26"/>
            <w:vMerge w:val="continue"/>
          </w:tcPr>
          <w:p>
            <w:pPr>
              <w:spacing w:after="0"/>
              <w:rPr>
                <w:sz w:val="15"/>
                <w:szCs w:val="15"/>
                <w:color w:val="auto"/>
              </w:rPr>
            </w:pPr>
          </w:p>
        </w:tc>
        <w:tc>
          <w:tcPr>
            <w:tcW w:w="10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460" w:type="dxa"/>
            <w:vAlign w:val="bottom"/>
            <w:gridSpan w:val="19"/>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2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IC. Cybersecurity</w:t>
            </w:r>
          </w:p>
        </w:tc>
        <w:tc>
          <w:tcPr>
            <w:tcW w:w="7340" w:type="dxa"/>
            <w:vAlign w:val="bottom"/>
            <w:gridSpan w:val="12"/>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2. Properties</w:t>
            </w:r>
          </w:p>
        </w:tc>
        <w:tc>
          <w:tcPr>
            <w:tcW w:w="360" w:type="dxa"/>
            <w:vAlign w:val="bottom"/>
            <w:tcBorders>
              <w:top w:val="single" w:sz="8" w:color="0000FF"/>
            </w:tcBorders>
            <w:gridSpan w:val="3"/>
          </w:tcPr>
          <w:p>
            <w:pPr>
              <w:spacing w:after="0"/>
              <w:rPr>
                <w:sz w:val="18"/>
                <w:szCs w:val="18"/>
                <w:color w:val="auto"/>
              </w:rPr>
            </w:pPr>
          </w:p>
        </w:tc>
        <w:tc>
          <w:tcPr>
            <w:tcW w:w="8400" w:type="dxa"/>
            <w:vAlign w:val="bottom"/>
            <w:gridSpan w:val="18"/>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8160" w:type="dxa"/>
            <w:vAlign w:val="bottom"/>
            <w:gridSpan w:val="17"/>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720" w:type="dxa"/>
            <w:vAlign w:val="bottom"/>
            <w:gridSpan w:val="14"/>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Part II</w:t>
            </w:r>
          </w:p>
        </w:tc>
        <w:tc>
          <w:tcPr>
            <w:tcW w:w="9700" w:type="dxa"/>
            <w:vAlign w:val="bottom"/>
            <w:gridSpan w:val="25"/>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86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6. [Reserved]</w:t>
            </w:r>
          </w:p>
        </w:tc>
        <w:tc>
          <w:tcPr>
            <w:tcW w:w="8700" w:type="dxa"/>
            <w:vAlign w:val="bottom"/>
            <w:gridSpan w:val="20"/>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70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304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5060" w:type="dxa"/>
            <w:vAlign w:val="bottom"/>
            <w:gridSpan w:val="7"/>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8. Financial Statements and Supplementary Data</w:t>
            </w:r>
          </w:p>
        </w:tc>
        <w:tc>
          <w:tcPr>
            <w:tcW w:w="6160" w:type="dxa"/>
            <w:vAlign w:val="bottom"/>
            <w:gridSpan w:val="9"/>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7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2920" w:type="dxa"/>
            <w:vAlign w:val="bottom"/>
            <w:gridSpan w:val="3"/>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440" w:type="dxa"/>
            <w:vAlign w:val="bottom"/>
            <w:gridSpan w:val="3"/>
          </w:tcPr>
          <w:p>
            <w:pPr>
              <w:spacing w:after="0"/>
              <w:rPr>
                <w:sz w:val="18"/>
                <w:szCs w:val="18"/>
                <w:color w:val="auto"/>
              </w:rPr>
            </w:pPr>
          </w:p>
        </w:tc>
        <w:tc>
          <w:tcPr>
            <w:tcW w:w="7620" w:type="dxa"/>
            <w:vAlign w:val="bottom"/>
            <w:gridSpan w:val="13"/>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w w:val="70"/>
              </w:rPr>
              <w:t>111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Part III</w:t>
            </w:r>
          </w:p>
        </w:tc>
        <w:tc>
          <w:tcPr>
            <w:tcW w:w="9640" w:type="dxa"/>
            <w:vAlign w:val="bottom"/>
            <w:gridSpan w:val="24"/>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112</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4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320" w:type="dxa"/>
            <w:vAlign w:val="bottom"/>
            <w:gridSpan w:val="8"/>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7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Item 12. Security Ownership of Certain Beneficial Owner and Management and Related Stockholder Matters</w:t>
            </w:r>
          </w:p>
        </w:tc>
        <w:tc>
          <w:tcPr>
            <w:tcW w:w="2180" w:type="dxa"/>
            <w:vAlign w:val="bottom"/>
            <w:gridSpan w:val="2"/>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7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180" w:type="dxa"/>
            <w:vAlign w:val="bottom"/>
            <w:gridSpan w:val="2"/>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3960" w:type="dxa"/>
            <w:vAlign w:val="bottom"/>
            <w:gridSpan w:val="5"/>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Part IV</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15. Exhibits and Financial Statement Schedules</w:t>
            </w:r>
          </w:p>
        </w:tc>
        <w:tc>
          <w:tcPr>
            <w:tcW w:w="6240" w:type="dxa"/>
            <w:vAlign w:val="bottom"/>
            <w:gridSpan w:val="10"/>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6240" w:type="dxa"/>
            <w:vAlign w:val="bottom"/>
            <w:gridSpan w:val="10"/>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60" w:type="dxa"/>
            <w:vAlign w:val="bottom"/>
            <w:gridSpan w:val="15"/>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______________________</w:t>
      </w: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type w:val="continuous"/>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ability to grow or maintain our dollar-based net retention rate, expand usage of our platform within organizations, and sell subscriptions to our platform; our ability to convert individuals, teams, and organizations on our free and trial versions into paying customers; the timing and success of new features, integrations, capabilities, and enhancements by us, or by our competitors to their products, including the successful integration of artificial intelligence (“AI”), or any other changes in the competitive landscape of our market; our ability to achieve widespread acceptance and use of our platform; growth in the work management market; the amount and timing of operating expenses and capital expenditures, as well as entry into operating leases, that we may incur to maintain and expand our business and operations and to remain competitive; our focus on growth to drive long-term value; the timing of expenses and our expectations regarding our cost of revenues, gross margin, and operating expenses; the effect of uncertainties related to ongoing macroeconomic conditions, including volatile equity capital markets, on our business, results of operations, and financial condition; performance of our sales and marketing activities; our protections against security breaches, technical difficulties, or interruptions to our platform; our ability to successfully defend litigation brought against us, potential dispute-related settlement payments, or other litigation-related costs; potential pricing pressure as a result of competition or otherwise; anticipated fluctuations in foreign currency exchange rates; potential costs and the anticipated timing of expenses related to the acquisition of businesses, talent, technologies, or intellectual property, including potentially significant amortization costs and possible write-downs; general economic conditions affecting domestic or international markets, and the rate of global IT spending, including as a result of a downturn or recession, rising inflation and interest rates, and instability in financial institutions and global financial markets; geopolitical instability; and the residual impact of the COVID-19 pandemic.</w:t>
      </w:r>
    </w:p>
    <w:p>
      <w:pPr>
        <w:spacing w:after="0" w:line="1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do not reflect the potential impact of any future acquisitions, mergers, dispositions, joint ventures, restructurings, or investments.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with the Securities and Exchange Commission (the “SEC”) as exhibits to this Annual Report on Form 10-K with the understanding that our actual future results, levels of activity, performance, and events and circumstances may be materially different from what we expect.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Annual Report on Form 10-K to “we,” “us,” “our,” “our company,” and “Asana” refer to Asana, Inc. and its consolidated subsidiaries. The Asana logo, “Asana,” “Work Graph,”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Investing in our common stock involves numerous risks, including the risks described in </w:t>
      </w:r>
      <w:r>
        <w:rPr>
          <w:rFonts w:ascii="Times New Roman" w:cs="Times New Roman" w:eastAsia="Times New Roman" w:hAnsi="Times New Roman"/>
          <w:sz w:val="18"/>
          <w:szCs w:val="18"/>
          <w:i w:val="1"/>
          <w:iCs w:val="1"/>
          <w:color w:val="auto"/>
        </w:rPr>
        <w:t>Part I—Item 1A. Risk Factors</w:t>
      </w:r>
      <w:r>
        <w:rPr>
          <w:rFonts w:ascii="Times New Roman" w:cs="Times New Roman" w:eastAsia="Times New Roman" w:hAnsi="Times New Roman"/>
          <w:sz w:val="18"/>
          <w:szCs w:val="18"/>
          <w:color w:val="auto"/>
        </w:rPr>
        <w:t xml:space="preserve"> of this Annual Report on Form 10-K. Below are some of these risks, any one of which could materially adversely affect our business, financial condition, results of operations, and prospects.</w:t>
      </w:r>
    </w:p>
    <w:p>
      <w:pPr>
        <w:spacing w:after="0" w:line="1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our recent growth rates may not be indicative of our future growth.</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our current scale, which makes it difficult to evaluate our future prospects and may increase the risk that we will not be successful.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not be able to achieve profitability or, if achieved, sustain profitability.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long-term value as a company will be greater if we focus on growth, which may negatively impact our profitability in the near and medium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 and may not meet our expectations or those of investors or securities analysts.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work management solutions develops more slowly than we expect or declines, our business would be adversely affected.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competition presents an ongoing threat to the success of our business. Our ability to compete and ensure our success requires developments in our technology, including the successful deployment of artificial intelligence (“AI”) in our product.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leverage our direct sales capabilities would harm our ability to expand usage of our platform within our customer base and achieve broader market acceptance of our platform.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attract and retain highly qualified personnel in very competitive markets to continue to execute on our business strategy and growth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third parties upon which we rely, or our data are or were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technical operations infrastructure, or experience service outages, interruptions, or delays in the deployment of our platform, our results of operations may be harmed.</w:t>
      </w:r>
    </w:p>
    <w:p>
      <w:pPr>
        <w:spacing w:after="0" w:line="10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key personnel, in particular our co-founder, President, Chief Executive Officer (“CEO”), and Chair, Dustin Moskovitz, would harm our business.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culture has contributed to our success, and if we cannot maintain this culture as we grow, we could lose the employee engagement fostered by our culture, which could harm our business.</w:t>
      </w:r>
    </w:p>
    <w:p>
      <w:pPr>
        <w:spacing w:after="0" w:line="10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maintaining open marketplaces to distribute our mobile application. If such third parties interfere with the distribution of our platform, our business would be adversely affected.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customers outside the United States and our international operations expose us to risks inherent in international sales and operations.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rules, contractual obligations, industry standards, policies and other obligations related to AI, privacy, data protection,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may be volatile and could decline significantly and rapidly.</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consolidations, sale of all or substantially all of our assets, or other major corporate transaction requiring stockholder approval.</w:t>
      </w:r>
    </w:p>
    <w:p>
      <w:pPr>
        <w:spacing w:after="0" w:line="125"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Class A common stock in the public markets, or the perception that sales might occur, could cause the trading price of our Class A common stock to decline.</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Asana is a leading work management software platform with an enterprise focus that helps organizations set and track goals, drive strategic initiatives, and manage work in one place. Over 150,000 paying customers use Asana to automate complex operational workflows like product launches and employee onboarding, resource planning, tracking company-wide strategic initiatives and more. Our secure and scalable platform with AI-powered features adds structure to unstructured work, creating clarity, accountability, and impact for everyone within an organization—executives, department heads, team leads, and individuals—so everyone understands exactly who is doing what, by when, and why.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Asana was created because our co-founders experienced firsthand the coordination challenges of a growing company. Instead of spending time on work that generated results, they were spending time in status meetings and long email threads trying to coordinate work effectively to achieve their objectives, a pain universal to organizations. As there were no products in the market that adequately addressed this, our co-founders were inspired to create Asana to solve this problem for the world’s teams.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inception, Asana has registered millions of users in over 200 countries and territories. Customers rely on Asana to manage everything from goal setting and tracking to capacity planning, product launches, and driving digital transformation. With Asana, users experience higher productivity and engagement, which has led to rapid adoption across teams, departments, and organizations. As of January 31, 2024, we had over 3 million paid users.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Asana Helps Organizations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Teams are spending too much time coordinating work and not enough time doing the jobs they were hired for. Asana is a leading work management platform that brings cross-functional teams together, creates a system of record across initiatives, and across levels of an organization so that everyone has the information they need to get their work done. Asana allows users to connect the goals set at the top of an organization to the strategic portfolios put in place to achieve them, all the way to the cross-functional projects and individual tasks that will support those strategies. All of this clarity and connectivity is enhanced by Asana’s AI capabilities that help entire organizations — individuals, teams, departments, and leaders — work smarter and drive better outcomes, faster.</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technology that makes this possible is the Asana Work Graph®, our proprietary data model. The Asana Work Graph provides a structured map of how work actually gets done inside organizations. Our unique data model captures the relationship between the work that teams undertake, the information about that work, the people doing the work, and the outcomes of that work. The Asana Work Graph adds value for executives when work is connected to goals and there is a single source of truth for every department with the right security, permissions, control, and enterprise requirements to handle work for the largest companies, regardless of industry.</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Unlike other platforms built for specific teams or around narrow use cases and tasks, the Asana Work Graph was built to scale. We also designed our platform to be easy to use and intuitive to all users, regardless of role or technical proficiency. Our platform allows users to work the way they want with the interface that is right for them, using tasks, lists, calendars, boards, timelines, reporting dashboards, and workload, all while providing trusted scalability, security, and reliability.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AI is amplified by the Asana Work Graph</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Asana Work Graph, our data model, is the technology that sets Asana’s AI capabilities, called Asana Intelligence, apart. It’s the technology that makes it possible for every individual and team to view their work in a way that is personally relevant to them, while maintaining a single, up-to-date, record of every goal, portfolio, project, and task. With this differentiated data model, focus on ease of use and adoption, and unique context around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work actually happens inside organizations, AI capabilities offered on the platform are more reliable, accurate, and traceable.</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Asana’s AI capabilities are powered by real-time work data from across a customer’s Work Graph. Asana’s AI capabilities help strengthen our core value proposition — individuals, teams, departments, and entire organizations have more clarity and impact at scale with AI. Asana users can use Asana Intelligence to ask questions to get insights about projects and blockers, draft status updates on key initiatives, and quickly get context on any given project.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had both a product-led and a direct sales model that allow us to reach teams everywhere and then rapidly expand the use of our platform within their organizations. A majority of our paying customers initially adopt our platform through product-led channels, like signing up on our website and free trials. Once adopted, customers can expand through product-led channels or with the assistance of our direct sales team, which is focused on promoting new use cases of Asana and ensuring customers are well supported to grow with our platform. As customers realize the productivity benefits provided by Asana,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2024, our dollar-based net retention rate within organizations spending $5,000 or more with us on an annualized basis (“Core customers”) was 105%, consisting of 21,646 customers. Our dollar-based net retention rate within organizations spending $100,000 or more with us on an annualized basis was 115%, consisting of 607 customers.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building go-to-market expertise across both product-led and sales-assisted growth, but with an increased focus on and capacity toward sales-led top-down motions as we shift our focus up-market to corporate and enterprise customers. We believe this will allow us to continue to grow and nurture customers who start with smaller footprints, in addition to expanding our ability to land large deals in accounts with no historical Asana footprint.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Company Culture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Organizations spend too much time and effort on coordination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Work continues to get harder to manage as organizations try to move faster to accomplish ambitious goals and respond to changing global conditions and market demands. According to Asana’s 2023 Anatomy of Work Index report, 58% of an average knowledge worker’s work week is spent on busywork. Most important work requires coordination across teams and geographies - e.g., a product launch with product, marketing, sales, legal, and finance all working together. Without a system of record, organizations move more slowly, miss deadlines, and fail to live up to their full potential.</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documents and spreadsheets) have been repurposed for coordinating work because they are familiar and accessible.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these tools weren’t designed to coordinate work at scale, people face an overwhelming volume of communications from email and messaging applications from teammates who are trying to figure out who is doing what by when. As seen in the Anatomy of Work 2023 survey, knowledge workers spend more time on audio, video, and in-person meetings than a year ago — with 32% of knowledge workers saying video calls are taking up more time and 22% saying the same for audio calls.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Organizations need more effective, purpose-built tools to orchestrate work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back-and-forth interactions lead to communication overload that lack structure, can hurt productivity, provide limited clarity, and do not create accountability around who owns which action. As a result, requests go unanswered, and employees spend more time searching and responding to messages than they do on work that drives impact.</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minimize coordination costs, reduce chaos, add clarity, and give individuals time back to focus on work that drives impact, teams need a purpose-built solution for orchestration. This is the problem collaborative work management solutions are uniquely positioned to solve.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are a pure play work management company, committed to building the best platform capable of serving organizations of all sizes around the world.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Asana:</w:t>
      </w:r>
    </w:p>
    <w:p>
      <w:pPr>
        <w:spacing w:after="0" w:line="167" w:lineRule="exact"/>
        <w:rPr>
          <w:sz w:val="20"/>
          <w:szCs w:val="20"/>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Individuals </w:t>
      </w:r>
      <w:r>
        <w:rPr>
          <w:rFonts w:ascii="Times New Roman" w:cs="Times New Roman" w:eastAsia="Times New Roman" w:hAnsi="Times New Roman"/>
          <w:sz w:val="18"/>
          <w:szCs w:val="18"/>
          <w:color w:val="auto"/>
        </w:rPr>
        <w:t>can manage their work, from tasks to cross-functional projects and workflows, and see how it ladders up to strategic initiatives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organization-wide goals. Individuals can collaborate with teammates and gain visibility into each team member’s responsibilities and progress, maximizing effectiveness and reducing distractions from high impact work. When teammates operate from a single source of truth, they spend less time on status updates and meetings. This clarity reduces busywork and helps individuals get work done faster.</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Team leads and directors </w:t>
      </w:r>
      <w:r>
        <w:rPr>
          <w:rFonts w:ascii="Times New Roman" w:cs="Times New Roman" w:eastAsia="Times New Roman" w:hAnsi="Times New Roman"/>
          <w:sz w:val="18"/>
          <w:szCs w:val="18"/>
          <w:color w:val="auto"/>
        </w:rPr>
        <w:t>can manage work across a portfolio of projects or workflows, see progress against goals, identify bottlenecks, resource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constraints, and milestones without having to create work for teams to come up with this information in spreadsheets, email, or via a status meeting. When surprises or disruptions occur, it is easy for team leads to adjust the plan, reallocate resources, and communicate updates in real time.</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Executives </w:t>
      </w:r>
      <w:r>
        <w:rPr>
          <w:rFonts w:ascii="Times New Roman" w:cs="Times New Roman" w:eastAsia="Times New Roman" w:hAnsi="Times New Roman"/>
          <w:sz w:val="18"/>
          <w:szCs w:val="18"/>
          <w:color w:val="auto"/>
        </w:rPr>
        <w:t>can communicate company-wide goals, monitor status, and oversee work across projects and portfolios to gain real-time insights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initiatives are on track or at risk. With this visibility, they can proactively ensure alignment, address inefficiencies, manage team workload, and reallocate work among teams or departments so that the company can stay on track to achieve its objectives.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single source of truth for past, current, and future work, Asana is powered by our proprietary data model called the Asana Work Graph. The Asana Work Graph captures and associates units of work (tasks, projects, milestones, goals, and portfolios), the people responsible for executing those units of work, the processes in which work gets done (rules, templates, and workflows), information about that work (files, comments, status, and metadata), and the relationships across and within this data. The Asana Work Graph provides individuals, team leads, and executives with dynamic, up-to-date views into the work that is most relevant to them, across multiple people and projects.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core tenet of our platform is to create clarity and accountability up, down, and across the organization, maximize every employee’s impact, and help organizations scale these efficiencies with security and control.</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Drive greater clarity and accountability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Asana drives clarity and accountability by connecting work to company goals, all on a single platform. It’s a single source of truth for how work gets done inside organizations. Everyone from senior executives to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heads to team leads and individual contributors can get on the same page, make better decisions, and achieve better results with Asana. With Asana Intelligence, companies can get real-time visibility and recommendations on how to intelligently course-correct, reallocate resources, and ultimately reach their goals faster.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Maximize impact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Asana helps organizations maximize impact by uniting individuals, teams, and departments on a single platform. With Asana, organizations have one united platform to power cross-functional work. Through powerful automations and integrations with leading business applications, Asana helps employees automate workflows, collaborate more efficiently, and get more done faster.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Scale with confidence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Asana is uniquely built for scale because of the Asana Work Graph. Organizations across a wide range of industries trust Asana for security, governance, and control. End users, IT professionals, and CIOs choose Asana for its category-leading net promoter score, cross-functional capabilities, and ability to scale company wide. Asana is proven to scale to over 200,000 users in a single customer deployment. With Asana Intelligence, organizations and their leaders can get up-to-speed with tailored recommendations, scalable best practices, and the security, control, and intuitive user interface that makes adoption easy.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equity, inclusion, and belonging programs, we help ensure that everyone can thrive with a better understanding of the needs of our diverse customer base and innovate in new and creative ways.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strive to uphold a culture where all employees feel connected to one another and our mission. We do this by distributing responsibility so that every employee has one or more areas of responsibility; we use Asana to keep everyone aligned on the high-level purpose of their work and the expected results; and build teams with equitable outcomes in mind.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treat our culture like a product, meaning we continuously gather feedback from our employees so we can fine-tune and iterate on our programs, processes, and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794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January 31, 2024, our Glassdoor overall score sat at 4.2 out of 5.0, including an 87% approval rating of our CEO, and a 81% 5-star ratings distribution. In 2023, Fortune and Great Place to Work named us to three Best Workplace lists including, Technology, for the sixth year in a row (#19 for 2023), Millennials, for the sixth year in a row (#8 for 2023), and in the Bay Area, for the seventh year in a row. We were also named in Inc.’s Best Workplaces for the sixth year in a row, Fast Company’s 2023 Best Workplaces for Innovators in the Enterprise category, and People Magazine’s Companies Who Care (#90 for 2023).</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Finally, we are Asana power users. Our Asana on Asana approach provides our employees with clarity into how their work directly contributes to our mission, supports our customers, and enables them to do their most impactful work.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Features of our Platform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Asana is a single unified platform that provides clarity at every level of an organization for individuals, team leads, and executives. It enables organizations to align work to goals, coordinate intra- and cross-team work, gain visibility into progress, automate workflows across departments, and scale work securely.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Powered by the Asana Work Graph, our platform captures the relationship between the work (e.g. tasks, goals, ideas, agenda items), the information about that work (e.g. custom fields, messages, files, dependencies, status), and the people doing the work (e.g. assignees, roles, teams, divisions). Asana provides interactive dynamic views—list, calendar, board, timeline, goals, portfolio, reports and more—so that teams can work together on the same underlying data in whatever way makes most sense to them.</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Asana platform maintains a robust API that enables developers to build apps on Asana and integrate efficiently with applications like Microsoft Teams, Slack, Jira, Salesforce, Gmail, Adobe Creative Cloud and many more. Integrations connect Asana with applications so that teams are able to coordinate work, no matter where it occurs. Apps built on Asana may use app components, which enable developers to display customized widgets, forms, and rules within Asana's user interface that empower teams to work more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805815</wp:posOffset>
            </wp:positionV>
            <wp:extent cx="4852035" cy="3214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5203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Asana Work Graph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Hierarchy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Asana Work Graph®, our data model, captures the relationships, information, and people connected to units of work—tasks, projects, portfolios, goals, and more—to enable a complete, connected, and up-to-date map of work in an organization. The Asana Work Graph provides unique capabilities, such as multi-homing, which enables tasks to be shared between multiple projects or workflows without duplication. Different teams view and share the very same tasks, reducing duplicative work and creating cross-functional clarity and accountability.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contrast, others approach the problem of work management with a container model, relating tables of data which force units of work into singular constructs; for example, a task can only live in one project or a message can only live in one channel. As a result, tasks and other work often get duplicated which means there is no single source of truth about that particular piece of work.</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Asana Work Graph's differentiated ability to construct a single source of truth for individuals, teams, and organizations, Asana powers clarity at every level of an organization, regardless of size, structure, and complexity. The Asana Work Graph provides:</w:t>
      </w:r>
    </w:p>
    <w:p>
      <w:pPr>
        <w:spacing w:after="0" w:line="108"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with dynamic views into the work that is most relevant to them, maximizing personal productivity and empowering individuals with transparency into how their work helps achieve organizational goals</w:t>
      </w:r>
      <w:r>
        <w:rPr>
          <w:rFonts w:ascii="Times New Roman" w:cs="Times New Roman" w:eastAsia="Times New Roman" w:hAnsi="Times New Roman"/>
          <w:sz w:val="18"/>
          <w:szCs w:val="18"/>
          <w:i w:val="1"/>
          <w:iCs w:val="1"/>
          <w:color w:val="auto"/>
        </w:rPr>
        <w: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Teams and departments with the ability to view and modify the same work data across different views and create workflows that coordinate complex, cross-functional work with ease.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with visibility into how daily work connects to higher-level goals and initiatives so they can understand real-time progress, and take action to align their teams on projects that advance their corporate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AI</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Asana Intelligence, our platform’s generative AI and machine learning capabilities, are powered by our proprietary Work Graph, our data model. These capabilities allow users to ask questions to get real-time insights about projects and blockers, auto-generate custom fields for projects, draft status updates on key initiatives, receive personalized digests of recent project work, and quickly get context with next steps on any given work that supports business goals.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True to our human-centered, ethical approach to AI, we have published the Asana AI Principles that ground our philosophy for what we build and how we work with AI.</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Asana Intelligence leverages partnerships with leading foundational models to ensure we provide trusted and secure applications of AI within Asana.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offer generative AI features to our paid tier customers, including:</w:t>
      </w:r>
    </w:p>
    <w:p>
      <w:pPr>
        <w:spacing w:after="0" w:line="167" w:lineRule="exact"/>
        <w:rPr>
          <w:sz w:val="20"/>
          <w:szCs w:val="20"/>
          <w:color w:val="auto"/>
        </w:rPr>
      </w:pPr>
    </w:p>
    <w:p>
      <w:pPr>
        <w:ind w:left="660" w:right="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status: </w:t>
      </w:r>
      <w:r>
        <w:rPr>
          <w:rFonts w:ascii="Times New Roman" w:cs="Times New Roman" w:eastAsia="Times New Roman" w:hAnsi="Times New Roman"/>
          <w:sz w:val="18"/>
          <w:szCs w:val="18"/>
          <w:color w:val="auto"/>
        </w:rPr>
        <w:t>Create more comprehensive status updates faster, with AI pulling from real-time work data to identify risks, open questions,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roadblocks standing in the way of hitting goals.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answers: </w:t>
      </w:r>
      <w:r>
        <w:rPr>
          <w:rFonts w:ascii="Times New Roman" w:cs="Times New Roman" w:eastAsia="Times New Roman" w:hAnsi="Times New Roman"/>
          <w:sz w:val="18"/>
          <w:szCs w:val="18"/>
          <w:color w:val="auto"/>
        </w:rPr>
        <w:t>Use natural language to ask Asana questions—and get timely answers and insights about projects, identify blockers,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next steps.</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summaries: </w:t>
      </w:r>
      <w:r>
        <w:rPr>
          <w:rFonts w:ascii="Times New Roman" w:cs="Times New Roman" w:eastAsia="Times New Roman" w:hAnsi="Times New Roman"/>
          <w:sz w:val="18"/>
          <w:szCs w:val="18"/>
          <w:color w:val="auto"/>
        </w:rPr>
        <w:t>Get action items and highlights from conversations, tasks, and comments without another meeting.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digests: </w:t>
      </w:r>
      <w:r>
        <w:rPr>
          <w:rFonts w:ascii="Times New Roman" w:cs="Times New Roman" w:eastAsia="Times New Roman" w:hAnsi="Times New Roman"/>
          <w:sz w:val="18"/>
          <w:szCs w:val="18"/>
          <w:color w:val="auto"/>
        </w:rPr>
        <w:t>Get a summary of what’s happened in a project during a specific timeframe, so users can get up to speed on any notable changes.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fields: </w:t>
      </w:r>
      <w:r>
        <w:rPr>
          <w:rFonts w:ascii="Times New Roman" w:cs="Times New Roman" w:eastAsia="Times New Roman" w:hAnsi="Times New Roman"/>
          <w:sz w:val="18"/>
          <w:szCs w:val="18"/>
          <w:color w:val="auto"/>
        </w:rPr>
        <w:t>Organize projects to support cross-functional collaboration with auto-generated custom fields.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editor: </w:t>
      </w:r>
      <w:r>
        <w:rPr>
          <w:rFonts w:ascii="Times New Roman" w:cs="Times New Roman" w:eastAsia="Times New Roman" w:hAnsi="Times New Roman"/>
          <w:sz w:val="18"/>
          <w:szCs w:val="18"/>
          <w:color w:val="auto"/>
        </w:rPr>
        <w:t>Write clearer, more compelling responses that strike the right tone.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Tasks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Tasks are the fundamental unit of work within the Asana Work Graph. Within tasks, users can assign owners, set due dates and times, attach documents, break the work into subtasks, and define custom fields for information about the task so that everyone knows who is doing what by when and has the information needed to complete their work. Custom fields are metadata that help users organize and track their work. Collaboration including comments, @-mentions, image markups, and text-to-subtask creation are natively built into tasks, ensuring that relevant updates and context stay with the work at hand. Changes in task information made in one view are automatically updated across all views where the task is visible so that all users don’t have to re-enter information.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Projects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project consists of a set of tasks, which can be organized into sections and arranged into dependencies that give teams clarity around priorities.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Portfolios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Portfolios let users organize projects into a centralized location, acting as the mission control so that team leads and executives have real-time visibility into how work is progressing across projects. Users can add or remove projects from the portfolio, check the status and progress of each project, view priorities, assign relevant project owners, and manage custom fields. Individuals can click on any project to see a full summary overview of the project with the ability to edit due dates, view key milestones, link to the tasks and resources available, check or add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status updates, and add comments for the team. They can also see all projects within a portfolio on the portfolio’s timeline to get a bird’s-eye view of when initiatives are kicking off and when they will be completed. Portfolio dashboards and custom field roll ups for key metrics like budget, time, and other variables, give leaders a window into the status and ROI of their investments directly from the portfolios tab. By streamlining and providing a single view of the health and status of strategic initiatives, capacity, and budgets, leaders can take actions faster to drive business outcomes. Like many of the views in Asana, the layout of portfolios can be customized based on individual preference. Portfolios can be shared broadly or with specific teams or individuals.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Goals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Goals give users a centralized place to plan, set, and track goals and the work needed to achieve them. Goals are a flexible system that supports objectives and key results (“OKRs”) and other goal management methodologies. Users can set and view goals at the organization, team, or individual level and can create goal hierarchies to drive alignment across teams. Goals are connected to the underlying work (portfolios, projects, and tasks) needed to achieve them, giving executives and team leads a single system to set goals and track progress. The progress of goals can be automatically tracked based on linked work and goals without manual updates, and goal reporting enables leaders to keep an eye on their team’s progress and spot roadblocks in real time. Goals can be connected to mission-critical tools across an organization’s tech stack to get actionable insights. Goals can be shared across every level of the organization, while preventing unintended edits with permissions functionality. Customizable views ensure that only the most relevant information is given to each teammate. Goal templates can be used at both the organization and team level to help teams kickoff work more quickly and drive standardization in how they track and measure goals and success. Goals can be kept private or made visible so all team members have clarity on the company’s priorities and see how their work contributes to the organization’s success.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Dynamic Views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platform allows individual users and teams to work the way they want with the interface that is right for them.</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Home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Home is a customizable launchpad to help users focus on their most important priorities and projects. Home helps individuals prioritize their workday, see how their tasks impact workflows, and connect with collaborators. Users can reconfigure the layout of widgets to personalize and quickly get insight into the work that matters most.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My Tasks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My tasks view provides a single, clear view of every task and due date assigned to an individual so that they start their day knowing exactly what they need to do, by when. Items can be organized, labeled, and relocated into different categories so that individuals can prioritize their part of a project or any process-related tasks. Individuals can create rules for their own ‘my tasks’ view to automate tracking their work.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Inbox</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Inbox is the notification center for Asana. It displays updates on all projects that individuals are a member of and tasks that they follow or are assigned so that they can stay on top of the work that matters.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List View</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list view of a project lets individuals sort, organize into sections, and filter a list of tasks. Tasks can be relocated, filtered, and sorted according to what matters most so that project teams can see all of the work needed to complete a project and easily drill down into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Calendar 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Calendar view displays tasks within the project on a calendar based on due date and, optionally, start and end dates, so that individuals can see how many tasks are due within a certain time period. Individuals can contribute tasks to a team calendar, plan their work on a schedule, and then easily reorder tasks to make adjustments.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Board view allows individuals to plan and organize their work as if they were organizing sticky notes in columns on a wall so that they can quickly visualize the current stage of each task within a workstream. Tasks in the project are represented as cards that display due dates, assignee, custom fields, subtasks, comments, and previews of the latest attached files.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Timeline 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Timeline view allows teams to create and visualize project plans over time so that individuals can view upcoming milestones, identify bottlenecks, and make real-time adjustments as needed. Timeline helps ensure work stays on track and all team members have clear visibility over the steps involved and progress towards the end goal.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Gantt 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Gantt view allows teams to plan complex and process-oriented projects. It shows a list of the project tasks and barcharts visualizing the task durations and dates. In addition to mapped dependencies, the critical path can be highlighted to show the chain of dependent tasks that need to be completed for the project to be finished.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Workload</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Workload provides team leads with an updated and accurate view into the workload, capacity, and trendline of each team member, so that team leads have accurate and updated information to inform resourcing decisions.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Capacity plans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Capacity plans allow team leads to allocate resources to projects over longer time horizons. These capacity plans are used to optimize resourcing decisions and highlight hiring needs. This view allows leaders to allocate individuals to entire projects and workstreams using percentages and estimated time, without requiring them to assign tasks. This gives them a high-level summary of who is working on what and if anyone is over or under capacity.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Dashboards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Dashboards provide customizable charts that auto-populate with real-time work insights like how many tasks have been completed and who is overloaded – all with no coding or search queries required.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Automated Workflows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Workflow Builder</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creation of workflow builder, only IT or system administrators could build workflows. We have democratized that power with workflow builder, a point-and-click tool that makes it easy for every knowledge worker to create automated workflows.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Users can also add everyday apps — like Google Workspace, Microsoft 365, Slack, Adobe Creative Cloud, Salesforce, and Zoom – right into their workflows. This means Asana can serve as the connective tissue across existing best-of-breed collaboration solutions.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template library is where users can save, share, and reuse their most successful workflows. It also features industry-approved templates made in collaboration with leading global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Rules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Rules help automate tedious and repetitive tasks so that teams can reduce manual work and spend more time on the work that matters. Individuals can select from suggested template rules from the rules gallery or they can create a custom rule. A rule consists of one or more triggers, conditions, and actions, enabling an individual to create logic and multiple actions around business scenarios. Actions in third-party applications that are integrated with Asana, such as Gmail, Microsoft, Slack, Jira, HubSpot, and Dropbox can also trigger rules, making it easy to automate manual work across applications.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Forms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Forms enable users to standardize work intake across teams and tools. Forms can be used with internal and external teams to consolidate information, ensuring that project teams have the important details needed to execute the work. Individuals can automatically assign work and action next steps based on the form responses. They can also ensure that stakeholders are informed on the status of the request, by automatically enabling form submitters to be added as collaborators.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 Fields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Custom fields let users capture additional data in Asana tasks, so they can easily sort, filter, and report on work. Individuals can choose between different field types like dates, people, text, or numbers to capture important information like priority, status, request type, etc. With formula custom fields, they can also run calculations for insights such as time or costs. Custom fields can be local to a single project or portfolio, or added to a company-wide library to maintain consistency across work. To save time through automations, individuals can use custom fields with other Asana features such as forms, rules, reporting, or bundles.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Workflow Bundles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Workflow bundles standardize automated workflows at scale, saving time and maintaining consistency. Workflow bundles allow individuals to package together any combination of rules, fields, sections, and task templates, applying them across multiple projects or processes at once. Every time an individual edits or updates the workflow bundle, these changes are reflected in all in-flight projects or processes using that specific bundle. Different permission levels enable varying levels of access to editing, updating, or deleting workflow bundles.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Universal Reporting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Asana's Universal Reporting gives real-time, actionable insights into teams’ progress across the entire organization. Powered by the Asana Work Graph, users can create charts on any stream of work or goals and click through any section to see the underlying data and understand where work stands. Individuals can use this information to communicate progress to stakeholders with status reports or build comprehensive project dashboards to monitor and track the health of their workflows.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users need to find specific information, advanced search allows individuals to use search parameters to find tasks, projects, and messages quickly and easily. Search criteria can then be saved and easily referenced with a single click.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Integrations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Integrations connect applications to Asana, which provides a central hub for managing work. Teams save time and reduce duplicative efforts by eliminating the need to switch between apps. By providing this centralized hub, Asana ensures that cross-functional work in other tools is tracked and completed.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Asana platform includes out-of-the-box integrations with over 300 third-party applications including:</w:t>
      </w:r>
    </w:p>
    <w:p>
      <w:pPr>
        <w:spacing w:after="0" w:line="171"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Microsoft 365 apps such as Teams, Outlook, OneDrive, SharePoint, Power Automate, Power BI, and Entra ID (formerly known as Azure Active Directory);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Google Workspace apps such as Gmail, Calendar, Drive, Docs, Sheets, Chat, and Looker;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IT apps such as Splunk, Okta, Entra ID (formerly known as Azure Active Directory), MuleSoft, ServiceNow, Exterro, and Workato;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design apps such as Adobe Creative Cloud, Canva, Figma, HubSpot, Mailchimp, Lucidchart, and InVision;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apps such as Microsoft Teams, Slack, Zoom, Google Chat, Vimeo, Wistia, Intercom, and Loom;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sharing apps such as Google Drive, Microsoft OneDrive, Box, Dropbox, and Bynder;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service apps such as Salesforce, ServiceNow, Zendesk, HubSpot, Freshdesk, and Zoho;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Developer apps such as GitHub, Jira Cloud and Server, PagerDuty, and ServiceNow;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and business intelligence apps such as Tableau, Microsoft Power BI, Looker, and Google Sheets;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data protection, and security compliance apps such as Splunk, Nightfall, Exterro, Netskope, and OneTrust;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Connector apps such as MuleSoft, Zapier, Workato, Microsoft Power Automate, and tray.io.</w:t>
      </w:r>
    </w:p>
    <w:p>
      <w:pPr>
        <w:spacing w:after="0" w:line="171" w:lineRule="exact"/>
        <w:rPr>
          <w:sz w:val="20"/>
          <w:szCs w:val="20"/>
          <w:color w:val="auto"/>
        </w:rPr>
      </w:pPr>
    </w:p>
    <w:p>
      <w:pPr>
        <w:ind w:right="1060" w:firstLine="324"/>
        <w:spacing w:after="0" w:line="438" w:lineRule="auto"/>
        <w:rPr>
          <w:sz w:val="20"/>
          <w:szCs w:val="20"/>
          <w:color w:val="auto"/>
        </w:rPr>
      </w:pPr>
      <w:r>
        <w:rPr>
          <w:rFonts w:ascii="Times New Roman" w:cs="Times New Roman" w:eastAsia="Times New Roman" w:hAnsi="Times New Roman"/>
          <w:sz w:val="18"/>
          <w:szCs w:val="18"/>
          <w:color w:val="auto"/>
        </w:rPr>
        <w:t xml:space="preserve">Our app ecosystem also consists of over 200 custom-built integrations via customers and developers using our APIs and developer tools. </w:t>
      </w:r>
      <w:r>
        <w:rPr>
          <w:rFonts w:ascii="Times New Roman" w:cs="Times New Roman" w:eastAsia="Times New Roman" w:hAnsi="Times New Roman"/>
          <w:sz w:val="18"/>
          <w:szCs w:val="18"/>
          <w:b w:val="1"/>
          <w:bCs w:val="1"/>
          <w:color w:val="auto"/>
        </w:rPr>
        <w:t>Admin Management</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Organizations can manage their use of Asana through the admin console, which allows an admin of the organization to manage users and teams, see seat utilization and update their plan, or to gain insights into platform usage. The admin console also allows organizations to oversee app access and configure security settings to match their privacy, data protection, and security posture.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architecture we have built to power Asana is secure and scalable, offering users a customized experience that is easy to navigate while handling complex data management behind the scenes. We designed our systems to allow flexible access to the Asana Work Graph, allowing us to build rich new functionality quickly and innovate in the work management space.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Extensible, Efficient Technology Platform</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cloud-native platform includes proprietary software services built on top of infrastructure provided by our preferred cloud provider Amazon Web Services. We shard customer data in our distributed datastore (located in several data centers around the world) to achieve high scale, availability, performance, as well as redundancy to protect against data loss. Our platform services keep track of connected devices and data requests, automatically sending updates to devices as data is refreshed. This allows our client software to surface real-time information efficiently and provides a fast, responsive experience to our customers.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provide our software as a service to customers, so the technology we build includes deployment tools to ensure we can publish software updates rapidly and safely, as well as monitoring and automation tools.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Commitment to Privacy, Data Protection, and Security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Upholding the trust that we have established with our customers and gaining the trust of new customers remains a priority for us and as a result, we have implemented safeguards designed to protect the confidentiality and security of customer data. Our security program includes conducting risk assessments of our systems that process the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store in Asana; monitoring for security events; maintaining incident response, disaster recovery, and business continuity plans that explicitly address and provide guidance to our employees in furtherance of the security, confidentiality, integrity, and availability of customer data; and having a qualified third party perform security assessments on a periodic basis to test against security standards and practices.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security program considers the American Institute of Certified Public Accountants (“AICPA”) Trust Services Criteria for Security, Availability, and Confidentiality as well as the ISO 27001:2013 standards for the systems that process the data our customers store in Asana. We issue a SOC 2 Type II report on an annual basis and are certified against ISO 27001:2013, and ISO 27017:2015. This means that independent third parties have both validated our processes and practices with respect to these standards, and confirmed our ability to maintain compliance with controls we have implemented.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built our platform with security features, integrations, and infrastructure that are designed to be scalable as we develop and introduce new functionality. We have implemented a variety of safeguards designed to protect the security of our platform, including encrypting user data in transit and at rest, replicating our databases to support reliability of the platform, and controlling access to our facilities and office network. Asana also offers Enterprise and Enterprise+ customers the additional visibility and control with capabilities such as multi-factor authentication, audit logs, security information event management (“SIEM”), data governance, and international data residency, designed to further the security and privacy of their teams’ data. Enterprise and Enterprise+ customers can also purchase Enterprise Key Management to gain more control over their data and meet their organization’s most critical compliance needs.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security, we are committed to protecting the privacy rights of our customers. We have established a comprehensive privacy and data protection compliance program, aligning our practices with regulations such as the European Union’s General Data Protection Regulation 2016/679 (“EU GDPR”) and the California Consumer Privacy Act of 2018, as amended by the California Privacy Rights Act of 2020 (“CPRA”) (collectively, “CCPA”). Asana also aligns its privacy program for the systems that process the data our customers store in Asana to privacy certifications such as ISO/IEC 27701:2019 and ISO 27018:2019. We deliver periodic training to our employees on privacy practices, review and map the data we collect, use, and share, and have created a global customer rights program to reply to customer requests pertaining to data privacy. Additionally, Enterprise customers can purchase a version of Asana that is compliant with the U.S. Health Insurance Portability and Accountability Act (“HIPAA”). We strive to be transparent about our privacy and data protection practices. Law and regulatory guidance continues to evolve when it comes to privacy and data protection. As data protection authorities and regulators interpret and issue guidance on the EU GDPR, along with other new and existing privacy, data protection, and security laws around the world, we will continue to follow developments and enhance our privacy program as needed.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process confidential, proprietary, and sensitive information, including personal information. Accordingly, we are, or may become, subject to numerous privacy, data protection, and security requirements, including federal, state, local, and foreign laws, and regulations related to privacy, data protection, and security. Such obligations may include, without limitation, the Federal Trade Commission Act, the CCPA, the Canadian Personal Information Protection and Electronic Documents Act, Canada’s Anti-Spam Legislation, the EU GDPR, the EU GDPR as it forms part of United Kingdom (“UK”) law by virtue of section 3 of the European Union (Withdrawal) Act 2018 (“UK GDPR”), and the Payment Card Industry Data Security Standard (“PCI DSS”). Several states within the United States have enacted or proposed privacy, data protection, and security laws and we expect more states to pass similar laws in the future. Additionally, we are, or may become, subject to various U.S. federal and state consumer protection laws which require us to publish statements that accurately and fairly describe how we handle personal information and choices individuals may have about the way we handle their personal information.</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CCPA and EU GDPR are examples of the increasingly stringent and evolving regulatory frameworks related to personal information processing that may increase our compliance obligations and exposure for any noncompliance. For example, the CCPA imposes obligations on covered businesses to provide specific disclosures related to a business’s collection, use, and disclosure of personal information and to respond to certain requests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California residents related to their personal information (for example, requests to know of the business’s personal information processing activities, to delete the individual’s personal information, and to opt out of certain personal information disclosures). Also, the CCPA provides for civil penalties and a private right of action for data breaches which may include an award of statutory damages.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Foreign privacy, data protection,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information in connection with the offering of goods or services to data subjects in the EEA or the monitoring of the behavior of data subjects in the EEA. These obligations may include limiting personal information processing to only what is necessary for specified, explicit, and legitimate purposes; requiring a legal basis for personal information processing; complying with specific requirements to process health-related data; requiring the appointment of a data protection officer in certain circumstances; increasing transparency obligations to data subjects; requiring data protection impact assessments in certain circumstances; limiting the collection and retention of personal information; increasing rights for data subjects; formalizing a heightened and codified standard of data subject consents; requiring the implementation and maintenance of technical and organizational safeguards for personal information; mandating notice of certain personal information breaches to the relevant supervisory authorities and affected individuals; and mandating the appointment of representatives in the UK and/or the EU in certain circumstances.</w:t>
      </w:r>
    </w:p>
    <w:p>
      <w:pPr>
        <w:spacing w:after="0" w:line="13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additional information about some of the laws and regulations to which we may become subject and about the risks to our business associated with such laws and regulations.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As of January 31, 2024, we had over 150,000 paying customers globally, representing an increase of more than 11,000 from January 31, 2023 and an increase of approximately 31,000 from January 31, 2022. Of those paying customers, 21,646 were Core customers, representing an increase of 2,214 paying customers from January 31, 2023 and an increase of 6,209 paying customers from January 31, 2022. Additionally, 607 of those paying customers spent $100,000 or more with us on an annualized basis, representing an increase of 101 paying customers from January 31, 2023 and an increase of 267 paying customers from January 31, 2022.</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current customer base spans numerous industry categories, including technology, retail, education, non-profit, government, healthcare, hospitality, media, manufacturing, professional services, and financial services, and includes many category leaders across these diverse industries.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employ a hybrid go-to-market approach, combining a product-led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Product-led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demonstrate the value of our platform to potential paying customers, we provide free trials of our paid Asana Advanced offering, in addition to our free Personal offering, for teams of up to 10 people. As individuals, teams, and their guests realize the productivity benefits we provide, Asana becomes an integral part of their day-to-day work and critical to helping them achieve their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 Sales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our product-led model, we have a targeted direct sales team focused on promoting new use cases, expanding our footprint within our existing customer base, and landing large enterprise accounts with a top-down motion. Our direct sales force has a global presence, and consists of sales teams focused primarily on accounts with expansion opportunities including department-specific and organization-wide use cases such as strategic planning, employee onboarding, and goal setting and tracking.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Marketing and Customer Success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market our platform through owned properties, such as our website, first-party events like the Work Innovation Summit, third-party events, social media channels, media coverage, paid acquisition, and word of mouth to promote discovery and adoption. Every month millions of people visit asana.com, and hundreds of thousands of people register for the product. Our customers also have the ability to invite external parties to collaborate on specific Asana projects, which supports viral adoption of our platform.</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engage in thought leadership through The Work Innovation Lab – a think tank by Asana that develops human-centered research to help businesses evolve today to meet the growing needs and challenges of the future of work.</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global Asana community connects over 500,000 users to Asana and each other online and offline, and creates champions to help spread the word about Asana. Through the community, Asana users can become Ambassadors to deepen their Asana knowledge and inspire their teams, connect with peers in the online Forum, and attend in-person and online Asana on Tour community events to improve their Asana expertise.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Key to our success is the time, attention, and investment we place on continued innovation in our platform. We will continue to invest in expanding our product offerings and enhancing the features and functionality of our platform, particularly in the areas of AI, integrations, automation, functional workflows, security, and organization-wide use cases. We leverage the breadth of our customer base, and the diverse ways in which they use our platform, to recognize their needs quickly and guide future product development and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for work management platforms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portfolio management, work management, goal management, and workflow management categories, including, but not limited to, solutions around collaboration, communication, and coordination.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competitors fall into the following groups: companies specifically offering work management solutions; companies offering productivity suites; and companies specializing in vertical, department-specific solutions.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Asana Work Graph®, our unique and differentiated data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adaptability to a broad range of use cases;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functionality of platform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enhancements of work management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performance, price, and reliability of solutions, including AI-powered features;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and security;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strength;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easy to use integrations for, and robust, effective partnerships with, other larger enterprise software solutions and tools.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certain parts of our service. As a result, open source development and licensing practices can limit the value of our software copyright assets.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January 31, 2024, we had been granted 71 U.S. patents, had 72 U.S. patent applications pending, and four notices of allowance. Our issued patents expire between January 2031 and May 2043.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aim to be the change we want to see in the workplace. This strategy makes us a better company and contributes to the type of culture we want to work in: one of high impact and deep belonging.</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firmly believe that a strong and positive culture is the foundation for driving exceptional business results. As of January 31, 2024, our Glassdoor overall score sat at 4.2 out of 5.0, including an 87% approval rating of our CEO, and a 81% 5-star ratings distribution. During 2023, we were recognized with the following awards that highlight our unwavering dedication to co-creating an environment where our employees thrive and ultimately, drive the growth and success of our customers.</w:t>
      </w:r>
    </w:p>
    <w:p>
      <w:pPr>
        <w:spacing w:after="0" w:line="12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Fortune and Great Place to Work’s Best Workplace in Technology, for the sixth year in a row (#19 for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Fortune and Great Place to Work’s Best Workplace for Millennials, for the sixth year in a row (#8 for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Fortune and Great Place to Work’s Best Workplace in the Bay Area, for the seventh year in a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Inc’s Best Workplaces, for the sixth year in a row;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Company’s 2023 Best Workplaces for Innovators in the Enterprise category, and finally;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Magazine’s Companies Who Care (#90 for 2023).</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our most recent global employee engagement survey, 74% of our employees indicated they would recommend Asana as a great place to work and 74% reported feeling an overall sense of belonging.</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Asana employed 1,840 people as of January 31, 2024, of which approximately 78% were located in the United States and approximately 22% were located internationally.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Diversity, Inclusion, and Belonging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building a diverse, inclusive, and equitable workplace. We believe this drives employee engagement and growth, which helps us to achieve our business outcomes. In 2015, we created a dedicated diversity, inclusion, and belonging (“DIB”) function. Our DIB programs support every employee at Asana to thrive, enabling us to better serve the needs of our diverse customer base. Our DIB strategy can be broken down into three elements:</w:t>
      </w:r>
    </w:p>
    <w:p>
      <w:pPr>
        <w:spacing w:after="0" w:line="12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strong foundation of support and resources for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developing talent from traditionally underrepresented groups and backgrounds,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 environment that allows our employees to thrive and do their best work.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Build: We’re intentional about laying a foundation of support and resources for our employees to be successful including:</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DIB onboarding curriculum for new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anti-harassment training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Bias awareness training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Psychological safety workshops for managers and their teams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leadership workshops for managers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weeks of parental leave, regardless of gender identity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fertility health and family forming benefits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Represent: We believe hiring and developing talent from underrepresented groups and backgrounds is a shared responsibility. Some examples of how we have taken on some of that responsibility here at Asana are detailed below.</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representation goals related to race/ethnicity and gender, across our functions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Auditing and building equitable hiring processes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individual careers through AsanaUp, our apprenticeship program focused on providing pathways to roles at Asana for individuals from historically marginalized communities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Inclusivity, Diversity, and Equity for Asana Leadership (“IDEAL”) Interviewing Policy, which ensures we interview at least one candidate from a traditionally underrepresented group and one non-male candidate for every leadership role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Sponsorship and peer mentorship programs to support career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Thrive: Our goal is to create an environment so inclusive that every employee of Asana feels confident bringing the parts of themselves to work that they need to in order to thrive in their role. We have taken several steps to cultivate an inclusive company culture including:</w:t>
      </w:r>
    </w:p>
    <w:p>
      <w:pPr>
        <w:spacing w:after="0" w:line="108"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Thriving online communities that connect through social engagement and open conversations. This includes facilitating discussions on issues that are important to our communities, including race, sexuality, mental health and allyship, promoting belonging and psychological safety.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and funding seven Employee Resource Groups (“ERGs”) each supported by an ERG Lead Sponsor (a senior member of our leadership team): AsanaWomen, AsanaWomen EMEA, Asanapac, Blacsana, Gradient, Raíz, and Team Rainbow. All ERG Leads also participate in an ERG Leadership Development program designed to strengthen leadership skills.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robust mental health and wellness benefits, including free therapy and mental health coaching sessions for all employees.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DIB Council, an internal group of cross-functional stakeholders including executive leaders that weigh in on and provide perspectives on various initiatives undertaken by the DIB team.</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DIB initiatives have helped us cultivate a diverse and inclusive workforce. As of January 31, 2024, of our global workforce approximately 42% identify as Caucasian, 36% identify as Asian, 6% identify as Hispanic or Latinx, 5% identify as Black or African American, 1% identify as Middle Eastern, 1% identify as Pacific Islander, and 1% identify as Native American, Alaskan, Indigenous. Additionally, of our global workforce, as of January 31, 2024, approximately 46% of our employees identify as female, 53% identify as male, and 1% identify as TGNC, which includes the categories of agender, gender non-conforming, genderqueer, transgender, and non-binary.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Additional information regarding our commitment to diversity and inclusion can be found on our website at </w:t>
      </w:r>
      <w:r>
        <w:rPr>
          <w:rFonts w:ascii="Times New Roman" w:cs="Times New Roman" w:eastAsia="Times New Roman" w:hAnsi="Times New Roman"/>
          <w:sz w:val="18"/>
          <w:szCs w:val="18"/>
          <w:u w:val="single" w:color="auto"/>
          <w:color w:val="auto"/>
        </w:rPr>
        <w:t>https://asana.com/diversity-and-inclusion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incorporated by reference into this Annual Report on Form 10-K.</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future success largely depends upon our continued ability to attract and retain highly skilled employees. We provide our employees with competitive cash compensation, opportunities for equity ownership at all levels of the organization, development programs that enable continued learning and growth and a robust employment package that promotes well-being across all aspects of their lives, including health care, retirement savings vehicles, and paid time off. Our compensation programs are designed to align employee interests with the long-term success of the company and to foster cross-business collaboration. As part of our promotion and retention efforts, we invest in ongoing leadership development through programs such as our Conscious Leadership training program, and encourage managers to utilize development offerings in our learning and development platform. In addition, we regularly conduct employee surveys to gauge employee engagement and identify areas of focus.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 Equity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run a regression-based analysis of our pay by gender identity globally (where we are legally allowed to collect this data) and our pay by race/ethnicity in North America to ensure our compensation practices are equitable. We run this analysis in conjunction with our annual compensation review program conducted with the assistance of a third-party pay equity firm. We thoroughly investigate any inconsistencies identified in this analysis and have a dedicated budget maintained to remediate pay gaps that may be discovered in the course of these studies.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December 2008. Our principal executive offices are located at 633 Folsom Street, Suite 100, San Francisco, CA 94107. Our telephone number is (415) 525-3888. Our website address is https://asana.com. Information contained on, or that can be accessed through, our website is not incorporated by reference into this Annual Report on Form 10-K. The Asana logo, “Asana,” “Work Graph,” and our other registered or common law trademarks, service marks or trade names appearing in this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 on Form 10-K are the property of Asana, Inc. Other trade names, trademarks, and service marks used in this Annual Report on Form 10-K are the property of their respective owners.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investors.asana.com as soon as reasonably practicable after we file such material with, or furnish it to, the SEC.</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announce material information to the public using SEC filings, press releases, public conference calls, and on the investor relations page of our website at https://investors.asana.com. We use these channels, as well as social media, including our X (formerly Twitter) account (@asana), our LinkedIn page (www.linkedin.com/company/asana), our Instagram account (@asana), our Facebook page (www.facebook.com/asana/), and Threads profiles (@asana and @moskov),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together with the other information in this Annual Report on Form 10-K, including the section titled “Management’s Discussion and Analysis of Financial Condition and Results of Operations” and our consolidated financial statements and related notes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our recent growth rates may not be indicative of our future growth.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experienced rapid growth in recent periods and we may not be able to achieve similar revenue growth rates in the future. Further, as we continue to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individuals, teams, and organizations as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or maintain our dollar-based net retention rate, expand usage within organizations, and sell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package our subscription plans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individuals, teams, and organizations on our free and trial versions into paying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widespread acceptance and use of our platform, including in markets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expand our direct sales force and leverage our existing sales capacity;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features and capabilities of our platform, including the successful deployment of AI features in our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excellent customer experience and customer support;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privacy, and reliability of our platform or systems that process confidential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established companies and new market entrants, as well as existing software tools;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1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been growing rapidly in recent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In particular, advancements in technology such as AI and machine learning are changing the way people work by automating tasks, enhancing communication, and improving decision-making processes, and businesses that are slow to adopt these new technologies may face a competitive disadvantage. We have encountered, and will continue to encounter, risks and uncertainties frequently experienced by growing companies in evolving industries. In addition, our future growth rate is subject to a number of uncertainties, such as general macroeconomic and market conditions, including rising interest rates, inflation, actual or anticipated bank failures, instability in financial markets, and economic downturns or recessions in the regions in which we do business.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not be able to achieve profitability or, if achieved, sustain profitability.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fiscal year since our founding. We generated net losses of $257.0 million and $407.8 million for the fiscal years ended January 31, 2024 and January 31, 2023, respectively. As of January 31, 2024, we had an accumulated deficit of $1,494.6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to continue to make future investments and expenditures related to the growth of our business, including:</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 in our sales and marketing activities;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investments in research and development to introduce new features and enhancements to our platform, including integration of AI in our product;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employees necessary to support our goals;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operations across our multiple geographies;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general and administrative organization.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1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our long-term value as a company will be greater if we focus on growth, which may negatively impact our profitability in the near and medium term.</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significant part of our business strategy and culture is to focus on long-term growth and customer success over short-term financial results. As a result, in the near and medium term, we may continue to operate at a loss, or our near- and medium-term profitability may be lower than it would be if our strategy were to maximize near- and medium-term profitability. We expect to continue making expenditures on sales and marketing efforts, and expenditures to grow our platform and develop new features, integrations, 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meet our expectations or those of investors or securities analysts.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12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dollar-based net retention rate, expand usage within organizations, and sell subscriptions;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features, integrations, capabilities, and enhancements by us to our platform, or by our competitors to their products, including the development and deployment of AI driven features, or any other changes in the competitive landscape of our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widespread acceptance and use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our forecasting of the demand for our platform, which would lead to lower revenues, increased costs, or both;</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technical difficulties, or interruptions to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other dispute-related settlement payments, or other litigation-related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employees hired;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grant or vesting of equity awards to employees, directors, or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for software spending;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values of foreign currencies relative to the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global interest rates, which may affect our customers’ spending patterns and our return on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inflation on our costs and on customer spending;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continuing uncertainty in relation to, the legislative or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 costs in new and existing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expenses related to the potential acquisition of businesses, talent, technologies, or intellectual property, including potentially significant amortization costs and possible write-downs;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influenza, and other highly communicable diseases or viruses;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either domestic or international markets, including geopolitical uncertainty and instability and their effects on software spending.</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12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 plans. Additionally, we seek to expand within organizations by adding new customers, having organizations upgrade to our Advanced, Enterprise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 organizations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If our efforts to sell to organizations of all sizes are not successful or do not generate additional revenues, our business, results of operations, and financial condition would suffer.</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and packaging, adequate quality testing, integration with new and existing technologies, including AI,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We may have limited insight into the privacy, data protection, or security practices of third-party data suppliers for our AI algorithms.</w:t>
      </w:r>
    </w:p>
    <w:p>
      <w:pPr>
        <w:spacing w:after="0" w:line="14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their subscription plan.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including a downturn or recession, rising inflation and rising interest rates, or customers’ budgetary constraints. If customers do not renew their subscriptions, renew on less favorable terms, or fail to add more individuals, teams, and organizations, or if we fail to upgrade individuals, teams, and organizations from our free or trial plans to our paid subscription plans, or expand the adoption of our platform within organizations, our revenues may decline or grow less quickly than anticipated, which would harm our business, results of operations, and financial condition. The current macroeconomic environment, including rising interest rates, instability in financial markets, bank failures, and headwinds for technology customers, may impact the adoption of our platform generally and our success in engaging with new customers and expanding relationships with existing customers may be impacted by these conditions. If our customers are materially negatively impacted by these factors, such as being unable to access their existing cash to fulfill their payment obligation to us due to future bank failures, our business could be negatively impacted. As a result of these macroeconomic conditions, and any corresponding actions customers may take to manage costs, we have experienced and may continue to experience longer sales cycles, and we may continue to experience a reduction in renewal rates,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macroeconomic uncertainties may not be fully reflected in our operating results and overall financial performance until future periods. If we fail to predict customer demands, fail to sufficiently account for the impact of macroeconomic conditions on our sales projections, or fail to attract new customers and maintain and expand new and existing customer relationships, our revenues may grow more slowly than expected, may not grow at all, or may decline,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of our marketing strategies is to offer free and trial subscription plans, and we may not be able to continue to realize the benefits of this strategy.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free and trial subscription plans to promote brand awareness and organic adoption of our platform.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and expect to continue to derive, substantially all of our revenues from a single solution.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derive, and expect to continue to derive, substantially all of our revenues from a single solution.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including features, integrations, or capabilities that utilize AI; price, product, and service changes by us or our competitors; technological changes and developments within the markets we serve; growth, contraction, and rapid evolution of our market; and general economic conditions and trends including a downturn or recession, rising inflation, and rising interest rates.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work management solutions develops more slowly than we expect or declines, our business would be adversely affected.</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including the successful integration of AI in our product, weakening economic conditions, privacy, data protection, or security concerns, competing technologies and products, decreases in corporate spending, or otherwise, it could result in decreased revenues, and our business, results of operations, and financial condition would be adversely affected.</w:t>
      </w:r>
    </w:p>
    <w:p>
      <w:pPr>
        <w:spacing w:after="0" w:line="13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competition presents an ongoing threat to the success of our business. Our ability to compete and ensure our success requires developments in our technology, including the successful deployment of artificial intelligence in our product.</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spending resources to smaller companies. Our competition addresses the project portfolio management, work management, goal management, and workflow management categories, including, but not limited to, solutions around collaboration, communication, and coordination. Our competitors generally fall into the following groups: companies specifically offering work management solutions, companies offering productivity suites, and companies specializing in vertical solutions that address a portion of our market.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ability to compete depends upon many factors both within and beyond our control, including the following:</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developments in our technology, including the successful deployment of AI in our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adaptability of our platform to a broad range of use cases;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market acceptance of our platform and the timing and market acceptance of new features and enhancements to our platform or the offerings of our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performance, price, security, and reliability of solutions developed either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strength;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efforts, including our ability to grow our market share domestically and internationally;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diversity of our customer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efforts;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create easy to use integrations for, and robust, effective partnerships with, other larger enterprise software solutions and tools.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incorporate AI or machine learning to more significantly improve their product offerings,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 Our competitors may also offer their products and services at a lower price, may offer price concessions, delayed payment terms, financing terms, or other terms and conditions that are more enticing to potential customers.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one of these competitive pressures in our market, or our failure to compete effectively, may result in price reductions; fewer customers; reduced revenues, gross profit, and gross margin; increased net losses; and loss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share. Any failure to meet and address these factors would harm our business, results of operations, and financial condition.</w:t>
      </w:r>
    </w:p>
    <w:p>
      <w:pPr>
        <w:spacing w:after="0" w:line="16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leverage our direct sales capabilities would harm our ability to expand usage of our platform within our customer base and achieve broader market acceptance of our platform.</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leverage our direct sales force, both domestically and internationally, to expand use of our platform within our customer base, and reach larger teams and organizations. We may additionally make strategic investments in expanding our sales capabilities in the future. We have invested and continue to invest financial and other resources to train and develop our direct sales force in order to complement our product-led go-to-market approach. Our business, results of operations, and financial condition will be harmed if our efforts do not generate a corresponding increase in revenues. We may not achieve anticipated revenue growth from our direct sales force if we are unable to leverage and develop talented direct sales personnel, if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and that developing and growing the skills of these personnel takes significant time and resources. Our ability to achieve revenue growth will depend, in large part, on our success in attracting, training, and retaining sufficient numbers of capable sales personnel to support our growth.</w:t>
      </w:r>
    </w:p>
    <w:p>
      <w:pPr>
        <w:spacing w:after="0" w:line="13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upon which we rely, or our data are or were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Operating our business and platform involves the collection, processing, storage, and transmission of sensitive, regulated, proprietary and confidential information, including our personal information and business information and those of our customers. As a result, we and the third parties upon which we rely face a variety of evolving threats, including but not limited to ransomware attacks, which could cause security incidents. Security incidents can compromise the confidentiality, integrity, and availability of this information or our systems. Such incidents could include, but are not limited to, cyber-attacks, software bugs and vulnerabilities, malicious internet-based activity, online and offline fraud, server malfunctions, software or hardware failures, malicious code, malware (including as a result of advanced persistent threat intrusion), viruses, social engineering (including through deep fakes, which may become increasingly more difficult to identify, and phishing attacks), ransomware, supply chain attacks and vulnerabilities through our third-party partners, denial-of-service attacks, credential stuffing, credential harvesting, loss of data or other information technology assets, adware, telecommunications failures, earthquakes, fire, floods, attacks enhanced or facilitated by AI, and other similar threats, efforts by individuals or groups of hackers and sophisticated organizations, including state-sponsored organizations, threat actors, “hacktivists,” organized criminal threat actors, errors or malfeasance of our personnel, misconfiguration, and security vulnerabilities in the software or systems on which we rely.</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Ransomware attacks, including those perpetrated by organized criminal threat actors, nation-states, and nation-state-supported actors, are becoming increasingly prevalent and severe and can lead to significant interruptions in our operations and our ability to provide our products or services, loss of confidential, proprietary, and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 Threats such as these are constantly evolving and therefore grow increasingly sophisticated and complex, which in turn increases the difficulty of detecting and successfully defending against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privacy, data protection, and security obligations may require us to implement and maintain specific security measures or industry-standard or reasonable security measures to protect our information technology systems and confidential, proprietary, and sensitive information.</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or remediate for a security incident, there can be no assurance that these measures will be effective. We take steps designed to detect, mitigate, and remediate vulnerabilities in our information systems. We may not, however, be able to detect and remediate all vulnerabilities including on a timely basis. Further, we may experience delays in developing and deploying remedial measures designed to address any such identified vulnerabilities. Vulnerabilities could be exploited and result in a security incident. Additionally, we rely on or partner with third-party vendors and systems that have made representations as to their security measures but there can be no assurance that they will maintain their own security measures appropriately. Breaches of our security measures or those of our third-party service providers, including supply chain attacks or other threats to our business operations, could result in unauthorized access to our sites, networks, systems, and accounts; unauthorized access to, and misappropriation of, individuals’ personal information or other sensitive,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or our ability to provide our services;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w:t>
      </w:r>
    </w:p>
    <w:p>
      <w:pPr>
        <w:spacing w:after="0" w:line="3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liabilities, such as investigations, fines, penalties, audits, inspections, injunctions, additional oversight, or restrictions or bans on processing personal information. Actual or anticipated security breaches or attacks may cause us to incur increasing costs, including costs to deploy additional personnel and protection technologies, train employees, and engage third-party experts and consultants.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from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compromise or breach of our security measures, or those of our third-party service providers, could also violate applicable privacy, data protection, security, and other laws, and cause significant legal and financial exposure, adverse publicity, and a loss of confidence in our security measures, which could have a material adverse effect on our business, results of operations, and financial condition. Applicable privacy, data protection, and security obligations may also require us to notify relevant stakeholders, such as governmental authorities, partners, customers, investors, and affected individuals, of security breaches or incidents. Such notifications may involve inconsistent requirements and are costly, and the notifications or the failure to comply with such requirements could lead to adverse consequences.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information); litigation (including class claims); indemnification obligations; negative publicity; reputational harm; monetary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our contracts may not contain limitations of liability, and even when they do, there can be no assurance that the limitations of liability in our contracts are sufficient to protect us from liabilities, claims, or damages if we fail to comply with applicable obligations related to privacy, data protection, or security. We also cannot be sure that our insurance coverage will be adequate or sufficient to protect us from or to mitigate liabilities arising out of our privacy, data protection, and security practices, that such coverage will continue to be available on commercially reasonable terms or at all, or that such coverage will pay future claims.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proprietary, or confidential information could be leaked, disclosed, or revealed as a result of or in connection with our employees’ or vendors’ use of generative AI technologies.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any sensitive information (including regulated, proprietary and confidential information, including personal information and business information) that we input into a third-party generative artificial intelligence platform could be leaked or disclosed to others, including if sensitive information is used to train the third parties’ artificial intelligence model. Additionally, where an artificial intelligence model ingests personal information and makes connections using such information, those technologies may reveal other personal or sensitive information generated by the model.</w:t>
      </w:r>
    </w:p>
    <w:p>
      <w:pPr>
        <w:spacing w:after="0" w:line="12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AI and machine learning technologies in our product and operations gives rise to legal, business, and operational risks. Legal, regulatory, social and ethical issues relating to the use of AI and machine learning technologies in our product and business may result in reputational harm and liability.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platform integrates generative AI and machine learning technology into certain features that we offer to our customers. The rapid evolution of AI and machine learning technologies require dedicated resources to develop, test, and maintain our product offerings and to help responsibly integrate such technologies into certain features to minimize unintended or harmful impacts to our customers. Uncertainty around new and emerging AI and machine learning technologies may require additional investment in the development of proprietary datasets, machine learning models, and systems to test for accuracy, bias, and other variables, which are often complex, may be costly, and could impact our profit margin as we expand the use of AI and machine learning technologies in our products. There are significant risks involved in developing, maintaining, and deploying these technologies internally and/or to customers and there can be no assurance that such technologies will enhance our products or benefit our customers or business.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continue to develop or use such technologies may be dependent on our access to technology offered by vendors and specific third-party software and infrastructure providers, such as processing hardware or third-party AI models, and we cannot control the quality, availability, or cost of such vendor offerings or third-party software and infrastructure offerings. We face competition from other companies in our industry who use similar machine learning technologies. Failure to offer or deploy new AI or machine learning technologies as quickly or effectively as our competitors could adversely affect our business.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market acceptance and consumer perceptions of AI and machine learning technologies are currently fast-evolving and therefore remain uncertain. For example, AI technologies, including generative AI, may create content or information that appears correct but is factually inaccurate or flawed. The use of AI technologies also presents emerging ethical and social issues. If we enable or offer solutions that draw scrutiny or controversy due to their perceived or actual negative impact on our customers, we may experience brand or reputational harm, competitive disadvantages, consumer complaints, legal liability, and other adverse consequences, any of which could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and may in the future experience, system slowdowns and interruptions.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Moreover, Amazon Web Services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vulnerabilities, or bugs in our platform would harm our business, results of operations, and financial condition.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information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application programming interfaces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3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discontinues or limits our access to its software or APIs;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its terms of service or other policies, including fees charged to, or other restrictions on us, or other application developers;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how information is accessed by us or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more favorable relationships with one or more of our competitors;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or otherwise favors its own competitive offerings over our platform.</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our platform includes both a mobile and a desktop application to enable individuals, teams, and organizations to access our platform on multiple device types. If either our mobile or desktop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13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personnel, in particular our co-founder, President, Chief Executive Officer, and Chair, Dustin Moskovitz, would harm our business.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 and key employees are employed on an at-will basis. We currently do not have “key person” insurance on any of our employees. The loss of key personnel, including our co-founder, President, Chief Executive Officer, and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Dustin Moskovitz, and other key members of management, as well as our product development, engineering, sales, and marketing personnel, would disrupt our operations and have an adverse effect on our ability to grow our business. Changes in our senior management team may also cause disruptions in, and harm to, our business, results of operations, and financial condition.</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continue to attract and retain highly qualified personnel in very competitive markets to continue to execute on our business strategy and growth plans.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equity awards, or by other compensation arrangements, may not be as effective as in the past. Additionally, increased inflation rates can adversely affect us by increasing our costs, including labor and employee benefit costs. Employee salaries and benefits expenses have increased as a result of economic growth and increased demand for business services among other wage-inflationary pressures and we cannot assure you that they will not continue to rise. Many of the companies with which we compete for experienced personnel have greater resources than we have. Our recruiting efforts may also be limited by laws and regulations, such as restrictive immigration laws, and restrictions on travel imposed by certain governments, as well as delays in processing or a lack of availability of visas. In addition, our past and future restructuring efforts may adversely affect our ability to attract and retain employees. If we do not succeed in attracting excellent personnel or retaining or motivating existing personnel, we may be unable to innovate quickly enough to support our business model or grow effectively.</w:t>
      </w:r>
    </w:p>
    <w:p>
      <w:pPr>
        <w:spacing w:after="0" w:line="13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culture has contributed to our success, and if we cannot maintain this culture as we grow, we could lose the employee engagement fostered by our culture, which could harm our business.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and reputation will suffer.</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105"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 We are subject to requirements imposed by marketplaces such as Apple and Google, who may change their technical requirements or policies in a manner that adversely impacts, among other things, the way in which we or our partners collect, use and share data from users through our mobile application. If we do not comply with these requirements, we could lose access to the mobile application marketplace and users, and our business, results of operations, and financial condition may be harmed.</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Apple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11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and our international operations expose us to risks inherent in international sales and operations.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fiscal year ended January 31, 2024, 39% of our revenues were generated from customers outside the United States. We have operations in multiple cities globally. Operating in international markets requires significant resources and management attention and subjects us to regulatory, economic, and political risks that are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those in the United States. In addition, we will face risks in doing business internationally that could adversely affect our business and results of operations, including:</w:t>
      </w:r>
    </w:p>
    <w:p>
      <w:pPr>
        <w:spacing w:after="0" w:line="10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our platform for specific countries, including translation into foreign languages and associated expenses;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that impose different and potentially conflicting obligations with respect to how personal information is processed or require that customer data be stored in a designated territory;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other delays and difficulties in setting up foreign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longer accounts receivable payment cycles, and collections issues;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sanctions, privacy, data protection, and security laws and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values of foreign currencies relative to the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potential outcomes of any claims or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or similar issues, such as a pandemic or epidemic;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and local economic and political conditions, such as global economic downturns or recessions in the regions in which we do business, bank failures, as well as macroeconomic and policy impacts of political instability and armed conflicts.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armed conflicts such as Russia’s military invasion of Ukraine and the armed conflict in Israel and the Gaza Strip have created potential global security concerns that could impact operations in our global offices in affected regions and could also impact regional and global economies, either of which could adversely affect our business.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Continuing to leverage our existing international operations and any potential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3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to expand our platform and grow our business in response to changing technologies, customer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Legal Matters, including Taxation and Intellectual Property</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3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or maintain the right to use certain of our intellectual property would negatively affect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demands, and claims that arise in the ordinary course of business. We (including our officers and directors) could be sued or face regulatory action for a number of issues, including defamation, civil rights infringement, breach of fiduciary duty, negligence, intellectual property rights infringement, violations of privacy, data protection or security laws,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portion of the technologies we use in our platform and mobile application incorporates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12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industry standards, policies and other obligations related to artificial intelligence, privacy, data protection,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receive, process, store, and use business and personal information belonging to individuals who interact with Asana, including our users and prospective, current, and former customers. There are numerous federal, state, local, and foreign laws and regulations regarding privacy, data protection, security and the storing, sharing, use, processing, disclosure, and protection of business and personal information. These laws continue to evolve in scope and are subject to differing interpretations, and may contain inconsistencies or pose conflicts with other legal requirements. Preparing for and attempting to comply with these laws and other obligations requires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resources and, potentially, changes to our technologies, systems, and practices and those of any third parties that process personal information on our behalf.</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seek to comply with applicable laws, regulations, policies, legal obligations, contracts, and industry standards and have developed privacy notices and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notices and policies, privacy-related obligations to users, customers, or other third parties, or our privacy-related legal obligations, or any data compromise that results in the accidental or unauthorized release, misuse, or transfer of business or personal information or other user or customer data, may result in domestic or foreign governmental enforcement actions, investigations, penalties, audits, inspections, fines, injunctions,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Foreign privacy, data protection, and security laws have become more stringent in recent years, are undergoing a period of rapid change, and may increase the costs and complexity of offering our products and services in new and existing geographies. For example, the European Union’s General Data Protection Regulation 2019/679 (“the EU GDPR”), the EU GDPR as it forms part of United Kingdom (“UK”) law by virtue of section 3 of the European Union (Withdrawal) Act 2018 (“UK GDPR”), Australia’s Privacy Act, and Canada’s Personal Information Protection and Electronic Documents Act, impose strict requirements for processing personal information. European privacy, data protection, and security laws, including the EU GDPR and UK GDPR impose significant and complex burdens on processing personal information, provide for robust regulatory enforcement, and contemplate significant penalties for noncompliance. Non-compliance with the EU GDPR and UK GDPR can trigger fines of up to the greater of €20 million (£17.5 million for the UK GDPR) or 4% of our global revenues, restrictions or prohibitions on data processing, and exposure to private right of action and enforcement mechanisms including extensive audit and inspection rights, or private litigation related to processing of personal information brought by classes of data subjects or consumer protection organizations authorized at law to represent their interests.</w:t>
      </w:r>
    </w:p>
    <w:p>
      <w:pPr>
        <w:spacing w:after="0" w:line="14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Globally, certain jurisdictions have enacted data residency or data localization laws and have imposed requirements for cross-border transfers of personal information. For example, the cross-border transfer landscape in Europe is currently unstable and other countries outside of Europe have enacted or are considering enacting cross-border data transfer restrictions and laws requiring data residency or other restrictions around the location of the storage and processing of data, which could increase the cost and complexity of doing business. The EU GDPR generally restricts the transfer of personal information to countries outside of the EEA, such as the United States, which are not considered by the European Commission to provide an adequate level of privacy, data protection, and security. In addition, Swiss and UK law contain similar data transfer restrictions as the EU GDPR. Although there are currently valid mechanisms available to transfer data from the EEA and the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remains some uncertainty regarding the future of these cross-border data transfers. If we cannot implement a valid compliance mechanism for cross-border personal information transfers, we may face increased exposure to regulatory actions, substantial fines, and injunctions against processing or transferring personal information from the EEA, UK, or elsewhere. Inability to import personal information to the United States may significantly and negatively impact our business operations, including limiting our ability to collaborate with service providers, contractors, and other companies subject to European and other privacy, data protection, and security laws; or requiring us to increase our data processing capabilities in Europe or elsewhere at significant expense.</w:t>
      </w:r>
    </w:p>
    <w:p>
      <w:pPr>
        <w:spacing w:after="0" w:line="1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rules regarding the use of online cookies and similar online trackers in the European Union are becoming more stringent in terms of the advance consent companies must obtain from data subjects before such trackers can be placed on browsers. Other regions of the world have likewise adopted privacy regulations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result in increased restrictions on cookie collection and use, and fines for noncompliance. These developments may impact our analytics and advertising activities and our ability to analyze how users interact with our services.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European Union, a growing number of other global jurisdictions, such as Brazil, Japan, India and Canada, are considering or have passed legislation implementing privacy, data protection, and security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EU GDPR.</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Domestic privacy, data protection, security, and consumer protection legislation is also becoming increasingly common in the United States.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such as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requires companies that process information of consumers, business representatives, and employees who are California residents to provide specific disclosures in privacy notices and honor requests of such individuals to exercise certain individual privacy rights. The CCPA provides for fines of up to $7,500 per intentional violation and allows private litigants affected by certain data breaches to recover significant statutory damages. Similar laws are being considered in other states and at the federal and local levels, and we expect more states to pass similar laws in the future. The enactment of such laws could have potentially conflicting requirements that would make compliance challenging, and increase legal risk and compliance costs for us and the third parties upon whom we rely.</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Federal Trade Commission and many state attorneys general continue to enforce federal and state consumer protection laws against companies and individuals for online data collection, use, dissemination, and security and privacy practices that appear to be unfair or deceptive. We also publish privacy policies, marketing materials, and other statements, such as compliance with certain certifications or self-regulatory principles, regarding privacy, data protection, and security. If these policies, materials or statements are found to be deficient, lacking in transparency, deceptive, unfair, or misrepresentative of our practices, we may become subject to investigation, enforcement actions by regulators, or other adverse consequences.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future laws, regulations, and standards may have on our business.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privacy, data protection, and security laws, we are or may become contractually subject to industry standards adopted by industry groups and may become subject to such obligations in the future. We are also bound by other contractual obligations related to privacy, data protection, and security, and our efforts to comply with such obligations may not be successful.</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use artificial intelligence, including generative artificial intelligence, in our products and services. The development and use of artificial intelligence present various privacy, data protection, and security risks that may impact our business. Artificial intelligence technology is subject to existing privacy, data protection, and security laws, and may be subject to additional new laws and regulations. For example, several countries, states and localities have proposed or enacted measures related to the use of artificial intelligence technologies in products and services, including the EU’s AI Act. The effects of these regulations are difficult to predict and we expect other jurisdictions to adopt similar laws. Additionally, certain privacy laws extend rights to consumers (such as the right to delete certain personal information) and regulate automated decision making, which may be incompatible with our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artificial intelligence. These obligations may make it harder for us to conduct our business using artificial intelligence, lead to regulatory fines or penalties, require us to change our business practices, retrain our artificial intelligence, or prevent or limit our use of artificial intelligence. For example, the FTC has required other companies to turn over (or disgorge) valuable insights or trainings generated through the use of artificial intelligence where they allege the company has violated privacy and/or consumer protection laws. If we cannot use artificial intelligence or that use is restricted, our business may be less efficient, or we may be at a competitive disadvantage.</w:t>
      </w:r>
    </w:p>
    <w:p>
      <w:pPr>
        <w:spacing w:after="0" w:line="1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anti-corruption and anti-bribery and similar laws, such as the U.S. Foreign Corrupt Practices Act of 1977, as amended,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34"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export, import, and trade and economic sanction laws and regulations that could impair our ability to compete in international markets and subject us to liability for noncompliance.</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activities are subject to various export, import, and trade and economic sanction laws and regulations, including, among others, the U.S. Export Administration Regulations, administered by the Department of Commerce’s Bureau of Industry and Security (“BIS”), and economic and trade sanctions regulations maintained by the U.S. Department of the Treasury’s Office of Foreign Assets Control (“OFAC”)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have implemented controls designed to promote and achieve compliance with applicable Trade Controls, in the past we may have inadvertently provided certain services to some customers in apparent violation of U.S. sanctions laws and exported software and source code prior to submitting required filings and obtaining authorization from BIS regarding exports of our software. As a result, we submitted voluntary self-disclosures concerning these activities to OFAC and BIS. On June 29, 2020, BIS determined not to pursue a civil monetary penalty against us and issued a warning letter to resolve our voluntary self-disclosure regarding past apparent inadvertent violations of the U.S. Export Administration Regulations. On February 25, 2021, OFAC determined not to pursue a civil monetary penalty against us or take other enforcement action and issued a cautionary letter to resolve our voluntary self-disclosure regarding past apparent inadvertent violations of the Iranian Transactions and Sanctions Regulations, the Syrian Sanctions Regulations, the Cuban Assets Control Regulations, and the Sudanese Sanctions Regulations. While the letters from BIS and OFAC represent final enforcement responses in each case, they do not preclude either BIS or OFAC from taking future enforcement actions under their respective authorities.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of export privileges. Further, obtaining the necessary authorizations, including any required licenses, for particular transactions or uses of our platform may be time-consuming, is not guaranteed, and may result in the delay or loss of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Finally, changes in our platform or future changes in Trade Controls, such as those we have seen issued by the United States and other governments in response to the invasion of Ukraine by Russia and the armed conflict in Israel and the Gaza Strip,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spacing w:after="0" w:line="1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sales, use, value added,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be subject to taxation in several jurisdictions around the world with increasingly complex tax laws, the application of which can be uncertain. Although we have only been required to pay income and value-added taxes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filings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harmed if we are required to collect sales, value added, or other related taxes for subscriptions to our platform in jurisdictions where we have not historically done so.</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collect sales taxes and value added taxes in a number of jurisdictions. One or more states or countries may seek to impose incremental or new sales, use, value added, or other tax collection obligations on us. A successful assertion by a state, country, or other jurisdiction that we should have been or should be collecting additional sales, use, value added, or other taxes could, among other things, result in substantial tax payments, create significant administrative burdens for us, discourage potential customers from subscribing to our platform due to the incremental cost of any such sales, value added, or other related taxes, or otherwise harm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expect to become profitable in the near future, may never achieve profitability, and have incurred substantial net operating losses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ownership change generally occurs where the aggregate change in stock ownership by one or more stockholders or groups of stockholders owning at least 5% of a corporation’s stock exceeds more than 50 percentage points over a three-year period. We have experienced ownership changes since inception and our utilization of net operating loss carryforwards will be subject to annual limitations. However, it is not expected that the annual limitations will result in the expiration of tax attribute carryforwards prior to utilization. We may experience additional ownership changes in connection with subsequent shifts in our stock ownership (some of which shifts are outside our control). As a result, even if we attain profitability, we may be unable to use a material portion of our NOLs and other tax attributes.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Allocation Strategy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sure that additional financing will be available.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competitions, or unforeseen circumstances, or for other reasons. On an ongoing basis, we are evaluating sources of financing and may need to raise additional capital in the future. Our ability to obtain additional capital will depend on our development efforts, business plans, investor demand, operating performance, the condition of the capital markets, and other factors. If the overall economy is negatively impacted for an extended period, our results of operations, financial position and cash flows may be materially adversely affected. In addition, a severe prolonged economic downturn could result in a variety of risks to the business, including weakening our ability to develop potential businesses and a decreased ability to raise additional capital when needed on acceptable terms, if at all.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competition, or unforeseen circumstances would be adversely affected.</w:t>
      </w:r>
    </w:p>
    <w:p>
      <w:pPr>
        <w:spacing w:after="0" w:line="13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indebtedness under our November 2022 Senior Secured Credit Facility, and we may be required to repay the outstanding indebtedness in an event of default, which would have an adverse effect on our business. Additionally, future operational challenges on the part of our lender could impact our ability to quickly access additional liquidity.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7, 2022, we entered into an agreement with several banks and other financial institutions or entities for which Silicon Valley Bank (“SVB”) acted as issuing lender, administrative agent and collateral agent, under which we may incur loans in an aggregate principal amount not to exceed $150 million, consisting of a term loan facility in an aggregate principal amount equal to $50 million and a revolving loan facility in an aggregate principal amount of up to $100 million, including a $30 million letter of credit sub-facility (collectively and as amended on April 13, 2023, the “November 2022 Senior Secured Credit Facility”). On March 27, 2023, First Citizens BancShares, Inc. (“First Citizens”) announced that it had entered into an agreement to purchase assets and liabilities of SVB, inclusive of our November 2022 Senior Secured Credit Facility. We continue to have the ability to make additional borrowings under the November 2022 Senior Secured Credit Facility, which is now held by SVB as a division of First Citizens.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November 2022 Senior Secured Credit Facility includes customary conditions to borrowing and covenants, including restrictions on our ability to incur liens,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that require us to maintain a consolidated adjusted quick ratio of 1.25 to 1.00, as well as a minimum cash adjusted EBITDA, each tested on a quarterly basis. The November 2022 Senior Secured Credit Facility contains customary events of default relating to, among other things, payment defaults, breach of covenants, cross acceleration to material indebtedness, bankruptcy-related defaults, judgment defaults, and the occurrence of certain change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control events. Non-compliance with one or more of the covenants and restrictions or the occurrence of an event of default could result in the full or partial principal balance of the November 2022 Senior Secured Credit Facility becoming immediately due and payable and termination of the commitments. Our business may be adversely affected by these restrictions on our ability to operate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generally accepted accounting principles (“GAAP”), we believe certain non-GAAP measures may be useful in evaluating our operating performance. We present certain non-GAAP financial measures in this Annual Report on Form 10-K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(“NYSE”) or the Long-Term Stock Exchange (“LTSE”). We are required to provide an annual management report on the effectiveness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is required to formally attest to the effectiveness of our internal control over financial reporting and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foreign currency exchange rate fluctuations.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have historically transacted in U.S. dollars with the majority of our customers and vendors, we have also transacted in foreign currencies and for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The results of these estimates form the basis for making judgments about the carrying values of assets, liabilities, and equity, and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expenses that are not readily apparent from other sources. Significant assumptions and estimates used in preparing our consolidated financial statements include those related to the useful lives and carrying values of long-lived assets,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health epidemics, or geopolitical conflicts may disrupt our 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Natural disasters or other catastrophic events may cause damage or disruption to our operations, international commerce, and the global economy, and thus could harm our business. In particular, health crises, such as the COVID-19 pandemic, and international conflicts, such as the invasion of Ukraine by Russia or the armed conflict in Israel and the Gaza Strip, including the reactions of governments, markets, and the general public, may result in a number of adverse consequences for our business, operations, and results of operations, both worldwide and in our offices in affected regions, many of which are beyond our control.</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could decline significantly and rapidly.</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could continue to be subject to wide fluctuations in response to numerous factors in addition to the ones described in the preceding Risk Factors, many of which are beyond our control, including:</w:t>
      </w:r>
    </w:p>
    <w:p>
      <w:pPr>
        <w:spacing w:after="0" w:line="10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the economy as a whole, and macroeconomic factors such as inflationary pressures;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projections we may provide to the public or our failure to meet these projections;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of subscription plans to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that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of acquisitions, strategic partnerships, joint ventures, or capital-raising activities or commitments, by us or by our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board members, management, or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privacy, data protection, and security in the United States or globally;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bank failures, war, incidents of terrorism, or responses to these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influenza, and other highly communicable diseases or viruses;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purchases, or expectations with respect to such transactions, of shares of our Class A common stock by us or our security holders, particularly by our founders, directors, executive officers, and principal stockholders, none of whom are subject to any contractual lock-up agreement or other contractual restrictions on transfer.</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For example, despite our revenue growing year over year, our stock price has experienced significant volatility in the past year due to general downturns and increased instability in the equity markets.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largest stockholder will have the ability to influence the outcome of director elections and other matters requiring stockholder approval.</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Dustin Moskovitz, our co-founder, President, Chief Executive Officer, Chair, and largest stockholder, beneficially owns a significant percentage of our outstanding Class A common stock and Class B common stock, together representing a majority of the voting power of our capital stock as of January 31, 2024.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which is the stock listed on the NYSE and the LTSE has one vote per share. Our founders, directors, executive officers, and their affiliates hold a majority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 Moskovitz, or (iii) the later of the date that is</w:t>
      </w:r>
    </w:p>
    <w:p>
      <w:pPr>
        <w:spacing w:after="0" w:line="3" w:lineRule="exact"/>
        <w:rPr>
          <w:sz w:val="20"/>
          <w:szCs w:val="20"/>
          <w:color w:val="auto"/>
        </w:rPr>
      </w:pPr>
    </w:p>
    <w:p>
      <w:pPr>
        <w:jc w:val="both"/>
        <w:ind w:firstLine="8"/>
        <w:spacing w:after="0" w:line="253"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21, 2030 and (y) the date that Mr. Moskovitz no longer serves as our Chief Executive Officer or as a member of our board of directors.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dual class structure may have on the trading price of our Class A common stock.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trading price of our Class A common stock on the NYSE and the LTSE, in adverse publicity, or other adverse consequences. For example, certain index providers have announced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Under such policies, the dual class structure of our common stock may make us ineligible for inclusion in certain indices. As a result, mutual funds, exchange-traded funds, and other investment vehicles that attempt to passively track those indices may not invest in our Class A common stock if we are not included and the trading price of our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could be adversely affected. Previously, S&amp;P Dow Jones also excluded companies utilizing dual or multi-class capital structures from its indices, including the S&amp;P 500, the S&amp;P MidCap 400, and the S&amp;P SmallCap 600, which together make up the S&amp;P Composite 1500. However, in April 2023, it reversed this policy and announced that companies with dual or multi-class capital structures will again be eligible for inclusion on its indices. We cannot be sure that this policy, or the policies of other indices, will not change further and make us ineligible for inclusion on indices in the future.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institutional investors and certain investment funds may also be precluded, reluctant or unwilling to invest in entities with multiple class structures due to a lack of ability to meaningfully influence corporate affairs had policies through voting. Such restrictions, reluctance and unwillingness may make our Class A common stock less attractive to investors and, as a result, the market price of our Class A common stock could be adversely affected.</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public markets, or the perception that sales might occur, could cause the trading price of our Class A common stock to decline.</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certain of our security holders have rights, subject to some conditions, to require us to file registration statements for the public resale of the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issue our capital stock or securities convertible into our capital stock from time to time in connection with a financing, acquisition, investments, or otherwise. Any such issuance could result in significant dilution to our existing stockholders and cause the trading price of our Class A common stock to decline.</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3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assure you that any equity research analysts will adequately provide research coverage about our company and of our Class A common stock. A lack of adequate research coverage may harm the liquidity and trading price of our Class A common stock. To the extent equity research analysts do provide research coverage of our company and our Class A common stock, we will not have any control over the content and opinions included in their reports. The trading price of our Class A common stock could decline if one or more of these analysts downgrade our stock or publish inaccurate or unfavorable commentary or research. If one or more of these analysts cease coverage of our company, or fail to regularly publish reports on us, the demand for our Class A common stock could decrease, which in turn could cause our trading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0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listing standards of the NYSE and the LTSE,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a public company that is subject to these new rules and regulations has made and will continue to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November 2022 Senior Secured Credit Facility contains restrictions on our ability to pay dividends. Accordingly, investors must rely on sales of their Class A common stock as the only way to realize any future gains, if any, on their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stock issuances could result in significant dilution to our stockholders.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the exercise of stock options to purchase our stock and the settlement of RSUs will result in further dilution. The amount of dilution could be substantial depending upon the size of the issuance or exercise. For example, on September 7, 2022, we issued and sold 19,273,127 shares of our Class A common stock to our CEO and co-founder, Dustin Moskovitz, in a private placement transaction, at a purchase price of $18.16 per share, based on the closing trading price of the Company’s Class A common stock on September 2, 2022, for aggregate gross proceeds of approximately $350 million. Any future such transactions, notes or issuances could result in substantial dilution to our existing stockholders and cause the trading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provisions in our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12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of directors are elected at one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number of directors and to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only be removed for cause;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cumulative voting for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 super-majority to amend some provisions in our restated certificate of incorporation and amended and restated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of our stockholders to call special meetings of stockholders;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actions by written consent, thereby requiring that all stockholder actions be taken at a meeting of our stockholders.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 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instances,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implemented and maintain a formal information security management program designed to identify, assess, and manage material risks from cybersecurity threats to our critical networks, services, and data. Our information security management program includes a dedicated security team led by our Head of Security that is responsible for implementing security controls and monitoring for suspicious activity. Our information security management program also includes a cybersecurity risk management process which aims to identify and assess material risks from cybersecurity threats, including from vulnerabilities within Asana systems and new and emerging threats to Company operations by using automated and manual tools, subscribing to and analyzing reports and services that identify certain cybersecurity threats, conducting scans of certain environments, evaluating our and our industry’s risk profile, evaluating threats reported to us, and conducting audits and threat assessments.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consider our information security management program and the cybersecurity governance structure described below to be part of our overall enterprise risk management program.</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Depending on the nature of the environment, system and/or data, we implement and maintain various technical and organizational measures, processes, standards and/or policies designed to manage and mitigate cybersecurity risks, including, for example, as may be appropriate: employee training, software design review, static code analysis, coordinated vulnerability disclosure and bug bounty program, penetration testing performed by an outside assessment firm, vulnerability scanning and management, endpoint and network security monitoring, access controls, vendor risk management, asset management, and software updates and patching.</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as applicable to our environments, systems, and data. These third-party service providers may include, but are not limited to, cybersecurity consultants, cybersecurity software providers, cybersecurity assessment firms, and forensic investigators.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operate our business, we also use third-party vendors to perform a variety of functions, including but not limited to, developing aspects of our platform, hosting and delivering our platform and related services, supporting the sale and marketing of our products and services, and providing technical and customer support. Depending on the nature of the services provided, the sensitivity of the systems and data at issue, and the identity of the vendor, our vendor management process may involve different measures designed to help identify, assess, and manage cybersecurity risks associated with the vendor, such as conducting risk assessments and re-assessments, reviewing of the vendor’s security program, and imposing contractual cybersecurity-related obligations on the vendor.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example, our security, privacy, and IT teams may review the vendor’s security protocols, data retention policies and privacy policies, privacy practices, and security track record, and advise on implementation best practices.</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Item IA. Risk Factors</w:t>
      </w:r>
      <w:r>
        <w:rPr>
          <w:rFonts w:ascii="Times New Roman" w:cs="Times New Roman" w:eastAsia="Times New Roman" w:hAnsi="Times New Roman"/>
          <w:sz w:val="18"/>
          <w:szCs w:val="18"/>
          <w:color w:val="auto"/>
        </w:rPr>
        <w:t>, including “If our information technology systems, or those of third parties upon which we rely, or our data are or were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 for additional information about the risks from cybersecurity threats that may materially affect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of Directors is responsible for assisting the Board in overseeing the Company’s risk assessment and risk management processes, including risks related to cybersecurity and data privacy. Our Head of Security, who reports to our Head of Engineering and works with other members of management, manages the Company’s cybersecurity program. Our Head of Security holds a master’s degree in computer engineering from the Rochester Institute of Technology and has over 15 years of cybersecurity experience. Our Head of Engineering holds a master’s degree in computer science from the University of Illinois Urbana-Champaign and has nearly two decades of leadership experience at technology companies overseeing key engineering functions. Our Head of Security provides regular updates to the Audit Committee and the Board on cybersecurity risks faced by the Company and the Company’s processes for risk identification, assessment, and management.</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team is involved in assessing and managing the Company’s material risks from cybersecurity threats, including by hiring appropriate personnel, considering cybersecurity risk in our enterprise risk management strategy, helping prepare for cybersecurity incidents, and participating in the cybersecurity incident response and remediation process for incidents escalated to it including determining materiality. Our management that is involved in these processes includes our Head of Security, Head of Global Privacy, Head of Engineering, Head of Enterprise Technology &amp; IT, Chief Business Officer, Chief Financial Officer, and General Counsel. Management also escalates, as appropriate, reports relating to cybersecurity incidents or threats to the Audit Committee.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San Francisco, California, where we lease approximately 266,000 square feet of office space pursuant to a lease that expires in October 2033. We began occupying this space during fiscal 2022 as our new corporate headquarters.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maintain additional offices in North America and internationally in APAC and EMEA.</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procure additional space in the future if we add employees or expand geographically. We believe our facilities are adequate and suitable for our current needs and that, should it be needed, suitable additional or alternative space will be available to accommodate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Our Class A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Class A common stock has been listed on the NYSE under the symbol “ASAN” since September 30, 2020. Prior to that date, there was no public trading market for our Class A common stock. Since August 26, 2021, our Class A common stock has also been listed on the LTSE under the symbol “ASAN.”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1, 2024, we had 122 holders of record of our Class A common stock and 14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Security Ownership of Certain Beneficial Owners and Management and Related Stockholder Matters</w:t>
      </w:r>
      <w:r>
        <w:rPr>
          <w:rFonts w:ascii="Times New Roman" w:cs="Times New Roman" w:eastAsia="Times New Roman" w:hAnsi="Times New Roman"/>
          <w:sz w:val="18"/>
          <w:szCs w:val="18"/>
          <w:color w:val="auto"/>
        </w:rPr>
        <w:t xml:space="preserve"> for information regarding securities authorized for issuance.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graph compares (i) the cumulative total stockholder return on our Class A common stock from September 30, 2020 (the date our Class A common stock commenced trading on the NYSE) through January 31, 2024 with (ii) the cumulative total return of the Standard &amp; Poor's (S&amp;P) 500 Index and the Standard &amp; Poor’s Information Technology Index over the same period, assuming the investment of $100 in our Class A common stock and in both of the other indices on September 30, 2020 and the reinvestment of dividends. The graph uses the closing market price on September 30, 2020 of $28.80 per share as the initial value of our Class A common stock. As discussed above, we have never declared or paid a cash dividend on our Class A common stock and do not anticipate declaring or paying a cash dividend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805815</wp:posOffset>
            </wp:positionV>
            <wp:extent cx="5263515" cy="3257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6351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2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appearing elsewhere in this Annual Report on Form 10-K. As described in the section titled “Special Note Regarding Forward-Looking Statements,” the following discussion and analysis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 statements that involve risks and uncertainties, as well as assumptions that, if they never materialize or prove 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above in this report. Our fiscal year ends on January 31.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Asana is a leading work management software platform with an enterprise focus that helps organizations drive strategic initiatives and automate work in one place. Over 150,000 paying customers use Asana to automate complex operational workflows like product launches and employee onboarding, resource planning, tracking company-wide strategic initiatives and more. Our secure and scalable platform with AI-powered features adds structure to unstructured work, creating clarity, accountability, and impact for everyone within an organization—executives, department heads, team leads, and individuals—so everyone understands exactly who is doing what, by when, and why.</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Asana is flexible and applicable to virtually any use case across departments and organizations of all sizes. We designed our platform to be easy to use and intuitive to all users, regardless of role or technical proficiency. Our platform allows users to work the way they want with the interface that is right for them, using lists, calendars, boards, timelines, and workload, all while providing trusted scalability and reliability.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experienced rapid growth in recent periods. Our revenues were $652.5 million, $547.2 million, and $378.4 million for fiscal 2024, fiscal 2023, and fiscal 2022, respectively, representing growth of 19% and 45% for fiscal 2024 and fiscal 2023, respectively. As of January 31, 2024, we had 1,840 employees, representing growth of 3% since January 31, 2023. We had a net loss of $257.0 million, $407.8 million, and $288.3 million for fiscal 2024, fiscal 2023, and fiscal 2022, respectively.</w:t>
      </w:r>
    </w:p>
    <w:p>
      <w:pPr>
        <w:spacing w:after="0" w:line="13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Since our inception, over 55.0 million users have registered on Asana and millions of teams in virtually every country around the world have used Asana. As of January 31, 2024, we had over 3 million paid users.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growth and financial performance are dependent upon many factors, including the key factors described below.</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Paying Customers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and specifically on growing the number of customers spending over $5,000 on an annualized basis (“Core customers”), and those spending over $100,000 on an annualized basis. Our operating results and growth opportunity depend, in part, on our ability to attract new customers and scale within those same organizations. We believe we have significant greenfield opportunities among addressable customers worldwide and we will continue to invest in our research and development and our sales and marketing organizations to address this opportunity.</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customers spending over $5,000 and $100,000 as those organizations on a paid subscription plan that had $5,000 or more or $100,000 or more in annualized GAAP revenues in a given quarter, respectively, inclusive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discounts. As customers realize the productivity benefits we provide, our platform often becomes critical to managing their work and achieving their objectives, which drives further adoption and expansion opportunities, and results in higher annualized contract values. We believe that our ability to increase the number of these customers is an important indicator of the components of our business, including: the continued acquisition of new customers, retaining and expanding our user base within existing customers, our continued investment in product development and functionality required by larger organizations, and the strategic expansion of our direct sales force.</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2024, we had 21,646 Core customers contributing approximately 71% of revenues for the fiscal year then ended. As of January 31, 2023, we had 19,432 Core customers who contributed approximately 70% of revenue for the fiscal year then ended.</w:t>
      </w:r>
    </w:p>
    <w:p>
      <w:pPr>
        <w:spacing w:after="0" w:line="108" w:lineRule="exact"/>
        <w:rPr>
          <w:sz w:val="20"/>
          <w:szCs w:val="20"/>
          <w:color w:val="auto"/>
        </w:rPr>
      </w:pPr>
    </w:p>
    <w:p>
      <w:pPr>
        <w:ind w:left="340" w:right="1780"/>
        <w:spacing w:after="0" w:line="438" w:lineRule="auto"/>
        <w:rPr>
          <w:sz w:val="20"/>
          <w:szCs w:val="20"/>
          <w:color w:val="auto"/>
        </w:rPr>
      </w:pPr>
      <w:r>
        <w:rPr>
          <w:rFonts w:ascii="Times New Roman" w:cs="Times New Roman" w:eastAsia="Times New Roman" w:hAnsi="Times New Roman"/>
          <w:sz w:val="18"/>
          <w:szCs w:val="18"/>
          <w:color w:val="auto"/>
        </w:rPr>
        <w:t xml:space="preserve">As of January 31, 2024 and 2023, we had 607 and 506 customers spending over $100,000 on an annualized basis, respectively. </w:t>
      </w:r>
      <w:r>
        <w:rPr>
          <w:rFonts w:ascii="Times New Roman" w:cs="Times New Roman" w:eastAsia="Times New Roman" w:hAnsi="Times New Roman"/>
          <w:sz w:val="18"/>
          <w:szCs w:val="18"/>
          <w:b w:val="1"/>
          <w:bCs w:val="1"/>
          <w:i w:val="1"/>
          <w:iCs w:val="1"/>
          <w:color w:val="auto"/>
        </w:rPr>
        <w:t>Dollar-based Net Retention Rate</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derive a portion of our revenue growth from expansion within our existing customer base, where we have an opportunity to expand adoption of Asana across teams, departments, and organizations. We believe that our dollar-based net retention rate demonstrates our opportunity to further expand within our existing customer base, particularly those that generate higher levels of annual revenues.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due to a number of factors, including the expected growth of our revenue base, the level of penetration within our customer base, our ability to retain our customers, and the macroeconomic environment. For example, current macroeconomic headwinds have impacted customers’ renewal decisions and we expect this trend to continue into fiscal year 2025.</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2024 and 2023, our dollar-based net retention rate was over 100% and over 115%, respectively.</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2024 and 2023, our dollar-based net retention rate for our Core customers was 105% and over 120%, respectively. Our dollar-based net retention rate for customers spending over $100,000 on an annualized basis for the same periods was 115% and over 135%,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Economic Conditions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Global macroeconomic events including elevated inflation, the U.S. Federal Reserve raising interest rates, bank failures, supply chain disruptions, fluctuations in currency exchange rates, and geopolitical unrest have led to economic uncertainty. These macroeconomic conditions have and are likely to continue to have adverse effects on the rate of global IT spending, including the buying patterns of our customers and prospective customers, and the length of our sales cycles. While the current macroenvironment is challenging and may continue for the near term, we are encouraged by the future of work that we are building at Asana, where every organization can work from a shared system driving clarity and accountability powered by the Asana platform.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subscription revenues from paying customers accessing our cloud-based platform. Subscription revenues are driven primarily by the number of paying customers, the number of paying users within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 and the level of subscription plan. We recognize revenues ratably over the related contractual term beginning on the date that the platform is made available to a customer.</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ease of implementation of our platform, revenues from professional services have been immaterial to date.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the cost of providing our platform to free users and paying customers and is comprised of third-party hosting fees, personnel-related expenses for our operations and support personnel including allocated overhead costs for facilities and shared IT-related expenses, third-party implementation services partner fees, credit card processing fees, and amortization of our capitalized internal-use software costs.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we acquire new customers and existing customers increase their use of our cloud-based platform, we expect that our cost of revenues will continue to increase.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subscription gross margin to remain relatively consistent over the long term.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Personnel-related expenses are the most significant component of operating expenses and consist of salaries, employer payroll taxes,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These expenses also include product design costs, third-party services and consulting expenses, software subscriptions and computer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and as a result, we expect research and development expenses to continue to increase in dollar amount but to decrease as a percentage of revenues over time.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expenses and expenses for performance marketing, brand marketing, pipeline generation,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make strategic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quarter to quarter and year to year depending on the extent and timing of our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and expensed computer equipment, certain tax, license, and insurance-related expenses, and allocated overhead costs.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recognized and will continue to recognize certain expenses as part of being a publicly traded company, consisting of professional fees and other expenses. As a public company, we incur additional costs associated with accounting, compliance, insurance, and investor relations. We expect our general and administrative expenses to continue to increase in dollar amount for the foreseeable future but to generally decrease as a percentage of our revenues, although the percentage may fluctuate from period to period depending on the timing and amount of our general and administrative expenses.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 and Interest Expense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 net consists of income earned on our marketable securities and investments, in addition to foreign currency transaction gains and losses.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of contractual interest expense and amortization of the debt discount on the senior mandatory convertible promissory notes we issued in January and June 2020 to a trust affiliated with our CEO, and interest expense from our term loan and revolving credit facility.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Provision for income taxes consists primarily of income taxes in certain foreign jurisdictions in which we conduct business. To date, we have not recorded a material provision for income taxes for any of the periods presented other than for foreign income tax. We have recorded deferred tax assets for which we provide a full valuation allowance, which primarily include net operating loss carryforwards and research and development tax credit carryforwards. We expect to maintain this full valuation allowance for the foreseeable future as it is more likely than not the deferred tax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547,212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378,437</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339,540</w:t>
            </w:r>
          </w:p>
        </w:tc>
        <w:tc>
          <w:tcPr>
            <w:tcW w:w="0" w:type="dxa"/>
            <w:vAlign w:val="bottom"/>
          </w:tcPr>
          <w:p>
            <w:pPr>
              <w:spacing w:after="0"/>
              <w:rPr>
                <w:sz w:val="1"/>
                <w:szCs w:val="1"/>
                <w:color w:val="auto"/>
              </w:rPr>
            </w:pPr>
          </w:p>
        </w:tc>
      </w:tr>
      <w:tr>
        <w:trPr>
          <w:trHeight w:val="209"/>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203,124</w:t>
            </w:r>
          </w:p>
        </w:tc>
        <w:tc>
          <w:tcPr>
            <w:tcW w:w="0" w:type="dxa"/>
            <w:vAlign w:val="bottom"/>
          </w:tcPr>
          <w:p>
            <w:pPr>
              <w:spacing w:after="0"/>
              <w:rPr>
                <w:sz w:val="1"/>
                <w:szCs w:val="1"/>
                <w:color w:val="auto"/>
              </w:rPr>
            </w:pPr>
          </w:p>
        </w:tc>
      </w:tr>
      <w:tr>
        <w:trPr>
          <w:trHeight w:val="229"/>
        </w:trPr>
        <w:tc>
          <w:tcPr>
            <w:tcW w:w="57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282,897</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118,703</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604,724</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(269,997)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(265,184)</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0" w:type="dxa"/>
            <w:vAlign w:val="bottom"/>
          </w:tcPr>
          <w:p>
            <w:pPr>
              <w:spacing w:after="0"/>
              <w:rPr>
                <w:sz w:val="1"/>
                <w:szCs w:val="1"/>
                <w:color w:val="auto"/>
              </w:rPr>
            </w:pPr>
          </w:p>
        </w:tc>
      </w:tr>
      <w:tr>
        <w:trPr>
          <w:trHeight w:val="22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(253,325)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(285,105)</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2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6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(257,030)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(407,768)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(288,342)</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7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include stock-based compensation expense as follows: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6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57,480</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29,631</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0" w:type="dxa"/>
            <w:vAlign w:val="bottom"/>
          </w:tcPr>
          <w:p>
            <w:pPr>
              <w:spacing w:after="0"/>
              <w:rPr>
                <w:sz w:val="1"/>
                <w:szCs w:val="1"/>
                <w:color w:val="auto"/>
              </w:rPr>
            </w:pPr>
          </w:p>
        </w:tc>
      </w:tr>
      <w:tr>
        <w:trPr>
          <w:trHeight w:val="288"/>
        </w:trPr>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Total stock-based compensation expense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104,561</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3" w:lineRule="exact"/>
        <w:rPr>
          <w:sz w:val="20"/>
          <w:szCs w:val="20"/>
          <w:color w:val="auto"/>
        </w:rPr>
      </w:pPr>
    </w:p>
    <w:p>
      <w:pPr>
        <w:jc w:val="both"/>
        <w:ind w:firstLine="8"/>
        <w:spacing w:after="0" w:line="260" w:lineRule="auto"/>
        <w:tabs>
          <w:tab w:leader="none" w:pos="64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table above includes $0.9 million of stock-based compensation expense for the fiscal year ended January 31, 2023 that was incurred as a result of the restructuring. See </w:t>
      </w:r>
      <w:r>
        <w:rPr>
          <w:rFonts w:ascii="Times New Roman" w:cs="Times New Roman" w:eastAsia="Times New Roman" w:hAnsi="Times New Roman"/>
          <w:sz w:val="16"/>
          <w:szCs w:val="16"/>
          <w:i w:val="1"/>
          <w:iCs w:val="1"/>
          <w:color w:val="auto"/>
        </w:rPr>
        <w:t>Note 17. Restructuring</w:t>
      </w:r>
      <w:r>
        <w:rPr>
          <w:rFonts w:ascii="Times New Roman" w:cs="Times New Roman" w:eastAsia="Times New Roman" w:hAnsi="Times New Roman"/>
          <w:sz w:val="16"/>
          <w:szCs w:val="16"/>
          <w:color w:val="auto"/>
        </w:rPr>
        <w:t xml:space="preserve"> to our consolidated financial statements included in </w:t>
      </w:r>
      <w:r>
        <w:rPr>
          <w:rFonts w:ascii="Times New Roman" w:cs="Times New Roman" w:eastAsia="Times New Roman" w:hAnsi="Times New Roman"/>
          <w:sz w:val="16"/>
          <w:szCs w:val="16"/>
          <w:i w:val="1"/>
          <w:iCs w:val="1"/>
          <w:color w:val="auto"/>
        </w:rPr>
        <w:t>Item 8. Financial Statements and Supplementary Data</w:t>
      </w:r>
      <w:r>
        <w:rPr>
          <w:rFonts w:ascii="Times New Roman" w:cs="Times New Roman" w:eastAsia="Times New Roman" w:hAnsi="Times New Roman"/>
          <w:sz w:val="16"/>
          <w:szCs w:val="16"/>
          <w:color w:val="auto"/>
        </w:rPr>
        <w:t xml:space="preserve"> in this Annual Report on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statements of operations data, for each of the periods presented, as a percentage of revenues.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(percent of revenues)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
        </w:trPr>
        <w:tc>
          <w:tcPr>
            <w:tcW w:w="5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1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 Less than 1%</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Note: Certain figures may not sum due to rounding.</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January 31, 2024 and 2023</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2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5"/>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652,504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547,212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105,292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increased $105.3 million, or 19%, during fiscal 2024 compared to fiscal 2023. The increase in revenues was primarily due to the addition of new paying customers and a continued shift in our sales mix toward our higher priced subscription plans, such as Business, Advanced, Enterprise and Enterprise+ plans.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9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2"/>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64,524</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56,559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revenues increased $8.0 million, or 14%, during fiscal 2024 compared to fiscal 2023. The increase was primarily due to an increase of $4.8 million in third-party hosting costs as we increased capacity to support customer usage and growth of our customer base, an increase of $2.5 million in infrastructure and application performance monitoring costs, an increase of $1.6 million in credit card processing fees, and an increase of $1.5 million in amortization of capitalized software development costs, partially offset by a decrease of $2.1 million in personnel-related costs due to decreased headcount and a decrease of $0.5 million in fees to third party support vendors.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gross margin stayed consistent during fiscal 2024 compared to fiscal 2023.</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5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6"/>
              </w:rPr>
              <w:t>27,479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(43,006)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(24,975)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898,479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rPr>
              <w:t>(40,502)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$27.5 million, or 9%, during fiscal 2024 compared to fiscal 2023. The increase was primarily due to an increase of $28.9 million in personnel-related expenses driven by higher headcount, an increase of $5.5 million in allocated overhead costs as a result of increased overall costs to support the growth of our business and related infrastructure, and an increase of $0.9 million in fees to third party support vendors, partially offset by an increase of $6.3 million in capitalized internal-use software, a decrease of $1.0 million in cloud computing and related costs, and a decrease of $0.8 million in equipment and related costs.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$43.0 million, or 10%, during fiscal 2024 compared to fiscal 2023. The decrease was due to a decrease of $38.7 million in fees to marketing vendors, a decrease of $3.1 million in fees to third party support vendors, a decrease of $2.7 million in personnel-related expenses as a result of decreased headcount, and a decrease of $1.2 million in allocated overhead costs, partially offset by an increase of $2.4 million in travel and entertainment costs and an increase of $0.3 million in professional services.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$25.0 million, or 15%, during fiscal 2024 compared to fiscal 2023. The decrease was primarily due to a decrease of $13.8 million in personnel-related costs due to decreased headcount, a decrease of $4.7 million in fees to third party support vendors, a decrease of $4.4 million in value-added tax reserves, a decrease of $3.5 million in allocated overhead costs, a decrease of $3.2 million in professional services, and a decrease of $1.9 million in insurance expenses, partially offset by an increase of $5.0 million in impairment charges related to subleased office space, an increase of $1.1 million in local taxes, and an increase of $1.0 million in provision for credit losses.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38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2380" w:type="dxa"/>
            <w:vAlign w:val="bottom"/>
            <w:tcBorders>
              <w:top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20,624</w:t>
            </w:r>
          </w:p>
        </w:tc>
        <w:tc>
          <w:tcPr>
            <w:tcW w:w="92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13,691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(3,952)</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 net increased $13.7 million during fiscal 2024 compared to fiscal 2023 due primarily to an increase in interest income from our investments in marketable securities. Interest expense increased $2.0 million during fiscal 2024 compared to fiscal 2023 primarily due to an increase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January 31, 2023 and 2022</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a comparison of our results of operations for the fiscal years ended January 31, 2023 and 2022, see </w:t>
      </w:r>
      <w:r>
        <w:rPr>
          <w:rFonts w:ascii="Times New Roman" w:cs="Times New Roman" w:eastAsia="Times New Roman" w:hAnsi="Times New Roman"/>
          <w:sz w:val="18"/>
          <w:szCs w:val="18"/>
          <w:i w:val="1"/>
          <w:iCs w:val="1"/>
          <w:color w:val="auto"/>
        </w:rPr>
        <w:t>Part II— Item 7. 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in our Annual Report on Form 10-K for the fiscal year ended January 31, 2023,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on March 24,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(207,280)</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(157,055)</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(207,222)</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(162,915)</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(159,550)</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(87,624)</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Loss From Operations and Non-GAAP Net Loss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non-GAAP loss from operations as loss from operations plus stock-based compensation expense and the related employer payroll tax associated with RSUs, impairment of long-lived assets, as well as non-recurring costs, such as restructuring costs and direct listing expenses. The amount of employer payroll tax-related items on employee stock transactions is dependent on our stock price and other factors that are beyond our control and that do not correlate to the operation of the business. The restructuring costs are related to the reduction of our global workforce during the fiscal year ended January 31, 2023, which resulted in expenses related to severance, benefits, and other related items. When evaluating the performance of our business and making operating plans, we do not consider these items (for example, when considering the impact of equity award grants, we place a greater emphasis on overall stockholder dilution rather than the accounting charges associated with such grants). We believe it is useful to exclude these expenses in order to better understand the long-term performance of our core business, to facilitate comparison of our results to those of peer companies, and to facilitate comparison over multiple periods.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non-GAAP net loss as net loss plus stock-based compensation expense and the related employer payroll tax associated with RSUs, amortization of discount and non-cash contractual interest expense related to our senior mandatory convertible promissory notes, impairment of long-lived assets, and non-recurring costs such as restructuring costs and direct listing expenses.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loss from operations and non-GAAP net loss in conjunction with traditional GAAP measures to evaluate our financial performance. We believe that non-GAAP loss from operations and non-GAAP net loss provide our management and investors consistency and comparability with our past financial performance and facilitates period-to-period comparisons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free cash flow as net cash from operating activities less cash used for purchases of property and equipment and capitalized internal-use software costs, plus non-recurring expenditures such as capital expenditures from the purchases of property and equipment associated with the build-out of our corporate headquarters in San Francisco, restructuring costs, and direct listing expenses.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 adjusted for non-recurring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35" w:lineRule="exact"/>
        <w:rPr>
          <w:sz w:val="20"/>
          <w:szCs w:val="20"/>
          <w:color w:val="auto"/>
        </w:rPr>
      </w:pPr>
    </w:p>
    <w:p>
      <w:pPr>
        <w:ind w:left="340" w:right="1260"/>
        <w:spacing w:after="0" w:line="458" w:lineRule="auto"/>
        <w:rPr>
          <w:sz w:val="20"/>
          <w:szCs w:val="20"/>
          <w:color w:val="auto"/>
        </w:rPr>
      </w:pPr>
      <w:r>
        <w:rPr>
          <w:rFonts w:ascii="Times New Roman" w:cs="Times New Roman" w:eastAsia="Times New Roman" w:hAnsi="Times New Roman"/>
          <w:sz w:val="18"/>
          <w:szCs w:val="18"/>
          <w:color w:val="auto"/>
        </w:rPr>
        <w:t xml:space="preserve">The following tables reconcile the most directly comparable GAAP financial measure to each of these non-GAAP financial measures. </w:t>
      </w:r>
      <w:r>
        <w:rPr>
          <w:rFonts w:ascii="Times New Roman" w:cs="Times New Roman" w:eastAsia="Times New Roman" w:hAnsi="Times New Roman"/>
          <w:sz w:val="18"/>
          <w:szCs w:val="18"/>
          <w:i w:val="1"/>
          <w:iCs w:val="1"/>
          <w:color w:val="auto"/>
        </w:rPr>
        <w:t>Non-GAAP Loss From Operations</w:t>
      </w: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(269,997)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(265,184)</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and related employer payroll tax associated with</w:t>
            </w: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108,129</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 for: restructuring costs (benefit)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(207,280)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(157,055)</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Non-GAAP Net Loss</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7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(257,030)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(288,342)</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and related employer payroll tax associated with</w:t>
            </w: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108,129</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 on convertible notes</w:t>
            </w:r>
          </w:p>
        </w:tc>
        <w:tc>
          <w:tcPr>
            <w:tcW w:w="10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 for: restructuring costs (benefit)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(207,222)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(162,915)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6" w:lineRule="exact"/>
        <w:rPr>
          <w:sz w:val="20"/>
          <w:szCs w:val="20"/>
          <w:color w:val="auto"/>
        </w:rPr>
      </w:pPr>
    </w:p>
    <w:p>
      <w:pPr>
        <w:jc w:val="both"/>
        <w:ind w:firstLine="8"/>
        <w:spacing w:after="0" w:line="258" w:lineRule="auto"/>
        <w:tabs>
          <w:tab w:leader="none" w:pos="64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Restructuring costs for the fiscal year ended January 31, 2023 were composed of severance and related charges of $8.4 million and stock-based compensation expense of $0.9 million. These charges are non-recurring and not reflective of underlying trends in our business. See </w:t>
      </w:r>
      <w:r>
        <w:rPr>
          <w:rFonts w:ascii="Times New Roman" w:cs="Times New Roman" w:eastAsia="Times New Roman" w:hAnsi="Times New Roman"/>
          <w:sz w:val="16"/>
          <w:szCs w:val="16"/>
          <w:i w:val="1"/>
          <w:iCs w:val="1"/>
          <w:color w:val="auto"/>
        </w:rPr>
        <w:t>Note 17. Restructuring</w:t>
      </w:r>
      <w:r>
        <w:rPr>
          <w:rFonts w:ascii="Times New Roman" w:cs="Times New Roman" w:eastAsia="Times New Roman" w:hAnsi="Times New Roman"/>
          <w:sz w:val="16"/>
          <w:szCs w:val="16"/>
          <w:color w:val="auto"/>
        </w:rPr>
        <w:t xml:space="preserve"> to our consolidated financial statements included in </w:t>
      </w:r>
      <w:r>
        <w:rPr>
          <w:rFonts w:ascii="Times New Roman" w:cs="Times New Roman" w:eastAsia="Times New Roman" w:hAnsi="Times New Roman"/>
          <w:sz w:val="16"/>
          <w:szCs w:val="16"/>
          <w:i w:val="1"/>
          <w:iCs w:val="1"/>
          <w:color w:val="auto"/>
        </w:rPr>
        <w:t>Item 8. Financial Statements and Supplementary Data</w:t>
      </w:r>
      <w:r>
        <w:rPr>
          <w:rFonts w:ascii="Times New Roman" w:cs="Times New Roman" w:eastAsia="Times New Roman" w:hAnsi="Times New Roman"/>
          <w:sz w:val="16"/>
          <w:szCs w:val="16"/>
          <w:color w:val="auto"/>
        </w:rPr>
        <w:t xml:space="preserve"> in this Annual Report on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61"/>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(289,135)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Borders>
              <w:bottom w:val="single" w:sz="8" w:color="auto"/>
            </w:tcBorders>
          </w:tcPr>
          <w:p>
            <w:pPr>
              <w:jc w:val="right"/>
              <w:ind w:right="834"/>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16,777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381,391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37,210</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(83,785)</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(41,587)</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 paid</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for build-out of corporate headquarters</w:t>
            </w:r>
          </w:p>
        </w:tc>
        <w:tc>
          <w:tcPr>
            <w:tcW w:w="10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38,610</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listing expenses paid</w:t>
            </w:r>
          </w:p>
        </w:tc>
        <w:tc>
          <w:tcPr>
            <w:tcW w:w="10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4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the issuance of senior mandatory convertible promissory notes in January and June 2020 to a trust affiliated with our CEO, cash generated from the sale of subscriptions to our platform, and financing activities including the private placement transaction with our CEO. We have generated losses from our operations as reflected in our accumulated deficit of $1,494.6 million as of January 31, 2024 and negative cash flows from operating activities for fiscal 2024, fiscal 2023, and fiscal 2022.</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2024, our principal sources of liquidity were cash, cash equivalents, and marketable securities of $519.5 million.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2022, we entered into a four-year credit agreement with SVB, which provided for a senior secured credit facilities in the aggregate principal amount of up to $150.0 million, consisting of a term loan facility in the aggregate principal amount of $50.0 million and a revolving loan facility in an aggregate principal amount of up to $100.0 million, including a $30.0 million letter of credit sub-facility (as amended on April 13, 2023, the “November 2022 Senior Secured Credit Facility”). The November 2022 Senior Secured Credit Facility refinanced our prior credit agreement with SVB (the “April 2020 Senior Secured Term Loan”) and terminates on November 7, 2026.</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Borrowings under the November 2022 Senior Secured Credit Facility may be designated as ABR Loans or SOFR Loans, subject to certain terms and conditions under the agreement. Interest will accrue on any outstanding balance at a floating rate tied to the adjusted term SOFR, the prime rate, or the federal funds effective rate. Interest is payable monthly in arrears. Pursuant to the terms of the revolving credit facility, we are required to pay an annual commitment fee that accrues at a rate of 0.15% per annum on the unused portion of the borrowing commitments under the revolving credit facility. Refer to </w:t>
      </w:r>
      <w:r>
        <w:rPr>
          <w:rFonts w:ascii="Times New Roman" w:cs="Times New Roman" w:eastAsia="Times New Roman" w:hAnsi="Times New Roman"/>
          <w:sz w:val="18"/>
          <w:szCs w:val="18"/>
          <w:i w:val="1"/>
          <w:iCs w:val="1"/>
          <w:color w:val="auto"/>
        </w:rPr>
        <w:t xml:space="preserve">Note 7. Debt </w:t>
      </w:r>
      <w:r>
        <w:rPr>
          <w:rFonts w:ascii="Times New Roman" w:cs="Times New Roman" w:eastAsia="Times New Roman" w:hAnsi="Times New Roman"/>
          <w:sz w:val="18"/>
          <w:szCs w:val="18"/>
          <w:color w:val="auto"/>
        </w:rPr>
        <w:t>for further details.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2024, under the November 2022 Senior Secured Credit Facility there was $50.0 million drawn and $46.9 million was outstanding under the term loan, no amounts outstanding under the revolving credit facility and an aggregate $21.4 million in letters of credit issued under the credit sub-facility. Our total available borrowing capacity under the revolving credit facility was $78.6 million as of January 31, 2024.</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27, 2023, First Citizens BancShares, Inc. (“First Citizens”) announced that it had entered into an agreement to purchase assets and liabilities of SVB, inclusive of our November 2022 Senior Secured Credit Facility. We continue to have the ability to make additional borrowings under the November 2022 Senior Secured Credit Facility which is now held by SVB as a division of First Citizens.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September 2022, we issued and sold 19,273,127 shares of our Class A common stock to our CEO in a private placement transaction at a purchase price of $18.16 per share, based on the closing trading price of our Class A common stock on September 2, 2022, for aggregate proceeds of approximately $350 million. Refer to </w:t>
      </w:r>
      <w:r>
        <w:rPr>
          <w:rFonts w:ascii="Times New Roman" w:cs="Times New Roman" w:eastAsia="Times New Roman" w:hAnsi="Times New Roman"/>
          <w:sz w:val="18"/>
          <w:szCs w:val="18"/>
          <w:i w:val="1"/>
          <w:iCs w:val="1"/>
          <w:color w:val="auto"/>
        </w:rPr>
        <w:t>Note 11. Stockholders’ Equity (Deficit)</w:t>
      </w:r>
      <w:r>
        <w:rPr>
          <w:rFonts w:ascii="Times New Roman" w:cs="Times New Roman" w:eastAsia="Times New Roman" w:hAnsi="Times New Roman"/>
          <w:sz w:val="18"/>
          <w:szCs w:val="18"/>
          <w:color w:val="auto"/>
        </w:rPr>
        <w:t xml:space="preserve"> for details.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substantial source of our cash provided by operating activities is our customer billings for subscription to our platform. Deferred revenue consists of the unearned portion of billed fees for our subscriptions, which is included on our consolidated balance sheets as a liability and is recorded as revenues over the term of the subscription agreement. As of January 31, 2024 and January 31, 2023, we had $271.2 million and $233.6 million, respectively, of deferred revenue of which $265.3 million and $226.4 million, respectively, were recorded as a current liability. This deferred revenue will be recognized as revenues when all of the revenue recognition criteria are met.</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assess our liquidity primarily through our cash on hand as well as the projected timing of billings under contract with our paying customers and related collection cycles. We believe our current cash, cash equivalents, marketable securities, and amounts available under our November 2022 Senior Secured Credit Facility will be sufficient to meet our working capital and capital expenditure requirements for at least the next 12 months. Our future capital requirements will depend on many factors, including our revenue growth rate, subscription renewal activity, billing frequency, our dollar-based-net-retention rate, the timing and extent of spending to support our research and development efforts, particularly for the introduction of new and enhanced products and features, the performance of sales and marketing activities, costs associated with international expansion, additional capital expenditures to invest in existing and new office spaces, as well as increased general and administrative expenses to support being a publicly traded company. We may, in the future, enter into arrangements to acquire or invest in complementary businesses, services, and technologies, including intellectual property rights. We may seek to raise additional funds at any time through equity, equity-linked arrangements, and debt. If we are unable to raise additional capital when desired and at reasonable rates, our business, results of operations, and financial condition would be adversely affected. Additionally, cash from operations could also be affected by various risks and uncertainties in connection with the impact of an economic downturn or recession, significant market volatility in the global economy, timing and ability to collect payments from our customers and other risks detailed in </w:t>
      </w:r>
      <w:r>
        <w:rPr>
          <w:rFonts w:ascii="Times New Roman" w:cs="Times New Roman" w:eastAsia="Times New Roman" w:hAnsi="Times New Roman"/>
          <w:sz w:val="18"/>
          <w:szCs w:val="18"/>
          <w:i w:val="1"/>
          <w:iCs w:val="1"/>
          <w:color w:val="auto"/>
        </w:rPr>
        <w:t>Part I—Item 1A. Risk Factors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rPr>
              <w:t>(83,785)</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(289,135)</w:t>
            </w:r>
          </w:p>
        </w:tc>
        <w:tc>
          <w:tcPr>
            <w:tcW w:w="18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64,492</w:t>
            </w:r>
          </w:p>
        </w:tc>
        <w:tc>
          <w:tcPr>
            <w:tcW w:w="480" w:type="dxa"/>
            <w:vAlign w:val="bottom"/>
          </w:tcPr>
          <w:p>
            <w:pPr>
              <w:spacing w:after="0"/>
              <w:rPr>
                <w:sz w:val="19"/>
                <w:szCs w:val="19"/>
                <w:color w:val="auto"/>
              </w:rPr>
            </w:pPr>
          </w:p>
        </w:tc>
        <w:tc>
          <w:tcPr>
            <w:tcW w:w="1360" w:type="dxa"/>
            <w:vAlign w:val="bottom"/>
          </w:tcPr>
          <w:p>
            <w:pPr>
              <w:jc w:val="center"/>
              <w:ind w:left="635"/>
              <w:spacing w:after="0"/>
              <w:rPr>
                <w:sz w:val="20"/>
                <w:szCs w:val="20"/>
                <w:color w:val="auto"/>
              </w:rPr>
            </w:pPr>
            <w:r>
              <w:rPr>
                <w:rFonts w:ascii="Times New Roman" w:cs="Times New Roman" w:eastAsia="Times New Roman" w:hAnsi="Times New Roman"/>
                <w:sz w:val="18"/>
                <w:szCs w:val="18"/>
                <w:color w:val="auto"/>
                <w:w w:val="96"/>
              </w:rPr>
              <w:t>27,561</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16,777</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381,391</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37,210</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 and the issuance of convertible notes.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of $17.9 million for fiscal 2024 reflects our net loss of $257.0 million, adjusted by non-cash items such as stock-based compensation expense of $202.4 million, amortization of deferred contract acquisition costs of $22.0 million, non-cash lease expense of $18.1 million, depreciation and amortization of $14.3 million, impairment of long-lived assets of $5.0 million, and provision for expected credit losses of $3.1 million, partially offset by net accretion of discount on marketable securities of $3.4 million and net cash outflows of $22.6 million from changes in our operating assets and liabilities. The net cash outflows from changes in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primarily consisted of a $25.6 million increase in prepaid expenses and other current assets related to an increase in deferred contract acquisition costs, a $18.9 million decrease in operating lease liabilities, a $9.5 million increase in accounts receivable due to higher customer billings, a $5.2 million decrease in accrued expenses and other liabilities primarily from decreases in accrued payroll liabilities, a $0.6 million decrease in accounts payable, and a $0.5 million increase in other assets. These amounts were partially offset by a $37.6 million increase in deferred revenue resulting from increased billings for subscriptions.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$160.1 million for fiscal 2023 reflects our net loss of $407.8 million, adjusted by non-cash items such as stock-based compensation expense of $189.0 million, non-cash lease expense of $15.6 million, amortization of deferred contract acquisition costs of $15.1 million, depreciation and amortization of $12.7 million, provision for expected credit losses of $1.9 million, and net cash inflows of $13.4 million from changes in our operating assets and liabilities. The net cash inflows from changes in operating assets and liabilities primarily consisted of a $59.4 million increase in deferred revenue resulting from increased billings for subscriptions and a $25.5 million increase in accrued expenses and other liabilities primarily from increases in accrued sales and value-added taxes and other liabilities. These amounts were partially offset by a $25.2 million increase in accounts receivable due to higher customer billings, a $24.0 million increase in prepaid expenses and other current assets related to an increase in deferred contract acquisition costs, $13.8 million decrease in operating lease liabilities, a $4.4 million decrease in accounts payable, and a $4.1 million increase in other assets.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$289.1 million for fiscal 2024 consisted of $319.1 million in purchases of marketable securities, $7.7 million in purchases of property and equipment, and $5.4 million in capitalized internal-use software costs, partially offset by $43.1 million in maturities of marketable securities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$64.5 million for fiscal 2023 consisted of $143.9 million in maturities of marketable securities, partially offset by $72.2 million in purchases of marketable securities, $5.4 million in purchases of property and equipment from leasehold improvements, and $1.8 million in capitalized internal-use software costs.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$16.8 million for fiscal 2024 consisted of $15.1 million in proceeds from our employee stock purchase plan and $4.8 million in proceeds from the exercise of stock options, partially offset by $3.1 million for the repayment of our April 2020 Senior Secured Term Loan.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$381.4 million for fiscal 2023 consisted of $347.3 million in proceeds from the private placement financing net of offering costs, $49.6 million in net proceeds from the November 2022 Senior Secured Credit Facility, $17.1 million in proceeds from our employee stock purchase plan, and $5.8 million in proceeds from the exercise of stock options, partially offset by $38.3 million for the repayment of our April 2020 Senior Secured Term Loan.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January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3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3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196"/>
        </w:trPr>
        <w:tc>
          <w:tcPr>
            <w:tcW w:w="37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9"/>
        </w:trPr>
        <w:tc>
          <w:tcPr>
            <w:tcW w:w="3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160,924</w:t>
            </w:r>
          </w:p>
        </w:tc>
      </w:tr>
      <w:tr>
        <w:trPr>
          <w:trHeight w:val="229"/>
        </w:trPr>
        <w:tc>
          <w:tcPr>
            <w:tcW w:w="3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160,924</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340" w:right="20" w:hanging="332"/>
        <w:spacing w:after="0" w:line="253"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future non-cancelable minimum rental payments under operating leases for our offices. For further information regarding operating lease commitments, refer to </w:t>
      </w:r>
      <w:r>
        <w:rPr>
          <w:rFonts w:ascii="Times New Roman" w:cs="Times New Roman" w:eastAsia="Times New Roman" w:hAnsi="Times New Roman"/>
          <w:sz w:val="16"/>
          <w:szCs w:val="16"/>
          <w:i w:val="1"/>
          <w:iCs w:val="1"/>
          <w:color w:val="auto"/>
        </w:rPr>
        <w:t>Note 9. Leases</w:t>
      </w:r>
      <w:r>
        <w:rPr>
          <w:rFonts w:ascii="Times New Roman" w:cs="Times New Roman" w:eastAsia="Times New Roman" w:hAnsi="Times New Roman"/>
          <w:sz w:val="16"/>
          <w:szCs w:val="16"/>
          <w:color w:val="auto"/>
        </w:rPr>
        <w:t>.</w:t>
      </w:r>
    </w:p>
    <w:p>
      <w:pPr>
        <w:ind w:left="340" w:hanging="332"/>
        <w:spacing w:after="0" w:line="275"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a 60-month contract with Amazon Web Services for hosting-related services and other non-cancellable purchase commitments with various parties primarily for software-based services. Refer to </w:t>
      </w:r>
      <w:r>
        <w:rPr>
          <w:rFonts w:ascii="Times New Roman" w:cs="Times New Roman" w:eastAsia="Times New Roman" w:hAnsi="Times New Roman"/>
          <w:sz w:val="16"/>
          <w:szCs w:val="16"/>
          <w:i w:val="1"/>
          <w:iCs w:val="1"/>
          <w:color w:val="auto"/>
        </w:rPr>
        <w:t>Note 8. Commitments and Contingencies</w:t>
      </w:r>
      <w:r>
        <w:rPr>
          <w:rFonts w:ascii="Times New Roman" w:cs="Times New Roman" w:eastAsia="Times New Roman" w:hAnsi="Times New Roman"/>
          <w:sz w:val="16"/>
          <w:szCs w:val="16"/>
          <w:color w:val="auto"/>
        </w:rPr>
        <w:t xml:space="preserve"> for further details on related commitments.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new lease agreement for office space in San Francisco, which commenced in May 2020 and expires in October 2033. As part of the agreement, we were required to issue a $17.0 million letter of credit upon access to the office space, which occurred in the year ended January 31, 2021. Future minimum lease payments related to this lease as of January 31, 2024 were $309.7 million. Our CEO acts as a personal guarantor to the lease for the full rent payments over the entire term of the lease should we default on our obligations.</w:t>
      </w:r>
    </w:p>
    <w:p>
      <w:pPr>
        <w:spacing w:after="0" w:line="12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further information on our commitments and contingencies, refer to </w:t>
      </w:r>
      <w:r>
        <w:rPr>
          <w:rFonts w:ascii="Times New Roman" w:cs="Times New Roman" w:eastAsia="Times New Roman" w:hAnsi="Times New Roman"/>
          <w:sz w:val="18"/>
          <w:szCs w:val="18"/>
          <w:i w:val="1"/>
          <w:iCs w:val="1"/>
          <w:color w:val="auto"/>
        </w:rPr>
        <w:t>Note 8. Commitments and Contingencies</w:t>
      </w:r>
      <w:r>
        <w:rPr>
          <w:rFonts w:ascii="Times New Roman" w:cs="Times New Roman" w:eastAsia="Times New Roman" w:hAnsi="Times New Roman"/>
          <w:sz w:val="18"/>
          <w:szCs w:val="18"/>
          <w:color w:val="auto"/>
        </w:rPr>
        <w:t xml:space="preserve"> in the consolidated financial statements contained within this Annual Report on Form 10-K.</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November 2022, we entered into the November 2022 Senior Secured Credit Facility with SVB, as discussed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above.</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more fully described in </w:t>
      </w:r>
      <w:r>
        <w:rPr>
          <w:rFonts w:ascii="Times New Roman" w:cs="Times New Roman" w:eastAsia="Times New Roman" w:hAnsi="Times New Roman"/>
          <w:sz w:val="18"/>
          <w:szCs w:val="18"/>
          <w:i w:val="1"/>
          <w:iCs w:val="1"/>
          <w:color w:val="auto"/>
        </w:rPr>
        <w:t>Note 2. Basis of Presentation and Summary of Significant Accounting Policies</w:t>
      </w:r>
      <w:r>
        <w:rPr>
          <w:rFonts w:ascii="Times New Roman" w:cs="Times New Roman" w:eastAsia="Times New Roman" w:hAnsi="Times New Roman"/>
          <w:sz w:val="18"/>
          <w:szCs w:val="18"/>
          <w:color w:val="auto"/>
        </w:rPr>
        <w:t xml:space="preserve"> to our Consolidated Financial Statements in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xml:space="preserve"> of this Annual Report on Form 10-K, we believe that the accounting estimates described below have the most significant impact.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Acquisition Costs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commissions earned by our sales force and bonuses earned by executives, as well as related payroll taxes, are considered to be incremental and recoverable costs of obtaining a contract with a customer. As a result,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have been capitalized as deferred contract acquisition costs within prepaid and other current assets and other assets on the consolidated balance sheets.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 We elected to apply the practical expedient to recognize commissions paid for incremental sales to existing customers as an expense if the amortization period of the asset would have been one year or less.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Software development costs consist of certain payroll and stock compensation costs incurred to develop functionality for our cloud-based platform and internally built software platforms, as well as certain upgrades and enhancements that are expected to result in enhanced functionality.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Costs incurred in the preliminary stages of development are expensed as incurred. Once software has reached the development stage, internal and external costs, if direct and incremental, are capitalized until the software is substantially complete and ready for its intended use. Capitalization ceases upon completion of all substantial testing. Costs incurred for the maintenance and minor upgrade and enhancement of Company’s software platform without adding additional functionality are expensed as incurred. There is judgment involved in estimating the stage of development as well as estimating time allocated to a particular project.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Capitalized software development costs are recorded as part of property and equipment and amortized on a straight-line basis over the technology’s estimated useful life, which is generally three years. 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measure stock-based compensation expense related to our restricted stock units, or RSUs, based on the fair value of the underlying shares on the date of grant. RSUs are subject to time-based vesting, which generally occurs over a period of four years.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expense related to our 2020 Employee Stock Purchase Plan (“ESPP”) purchase rights based on the estimated grant date fair value, which is calculated using the Black-Scholes option pricing model and the aggregate number of shares of our common stock expected to be purchased under each offering. The assumptions used to determine the fair value of the ESPP purchase rights, including the expected term of the awards, the expected volatility of the price of our common stock, risk-free interest rates, and the expected dividend yield of our common stock, represent management’s best estimates. These estimates involve inherent uncertainties and the application of management’s judgment. We account for modifications to employee contributions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stock-based compensation expense ratably over the requisite service period, which is generally the vesting period of the respective award. We account for forfeitures as they occur. We recognize stock-based compensation expense related to ESPP on a straight-line basis over the term of each ESPP offering period, which is generally two years.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assumptions are based on the following for each of the years presented:</w:t>
      </w:r>
    </w:p>
    <w:p>
      <w:pPr>
        <w:spacing w:after="0" w:line="169" w:lineRule="exact"/>
        <w:rPr>
          <w:sz w:val="20"/>
          <w:szCs w:val="20"/>
          <w:color w:val="auto"/>
        </w:rPr>
      </w:pPr>
    </w:p>
    <w:p>
      <w:pPr>
        <w:jc w:val="both"/>
        <w:ind w:left="660" w:hanging="328"/>
        <w:spacing w:after="0" w:line="26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Expected volatility is a measure of the amount by which the stock price is expected to fluctuate. Since we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Expected term represents the period that our stock-based awards are expected to be outstanding. The expected term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determined based on the vesting terms, exercise terms, and contractual lives of the options. The expected term of the ESPP represents the period of time that purchase rights are expected to be outstanding.</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rate—</w:t>
      </w:r>
      <w:r>
        <w:rPr>
          <w:rFonts w:ascii="Times New Roman" w:cs="Times New Roman" w:eastAsia="Times New Roman" w:hAnsi="Times New Roman"/>
          <w:sz w:val="18"/>
          <w:szCs w:val="18"/>
          <w:color w:val="auto"/>
        </w:rPr>
        <w:t>We use the U.S. Treasury yield for our risk-free interest rate that corresponds with the expected term.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We utilize a dividend yield of zero, as we do not currently issue dividends, nor do we expect to do so in the future.</w:t>
      </w:r>
    </w:p>
    <w:p>
      <w:pPr>
        <w:spacing w:after="0" w:line="17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Prior to our direct listing, we estimated the fair value of common stock; see</w:t>
      </w:r>
      <w:r>
        <w:rPr>
          <w:rFonts w:ascii="Times New Roman" w:cs="Times New Roman" w:eastAsia="Times New Roman" w:hAnsi="Times New Roman"/>
          <w:sz w:val="18"/>
          <w:szCs w:val="18"/>
          <w:i w:val="1"/>
          <w:iCs w:val="1"/>
          <w:color w:val="auto"/>
        </w:rPr>
        <w:t xml:space="preserve"> Common Stock Valuations </w:t>
      </w:r>
      <w:r>
        <w:rPr>
          <w:rFonts w:ascii="Times New Roman" w:cs="Times New Roman" w:eastAsia="Times New Roman" w:hAnsi="Times New Roman"/>
          <w:sz w:val="18"/>
          <w:szCs w:val="18"/>
          <w:color w:val="auto"/>
        </w:rPr>
        <w:t>below.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common stock for purposes of ESPP purchases is based on the stock price on the first date of the respective offering period.</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Prior to our direct listing, the fair value of our common stock underlying our stock-based awards was historically determined by our board of directors, in accordance with the guidelines outlined in the </w:t>
      </w:r>
      <w:r>
        <w:rPr>
          <w:rFonts w:ascii="Times New Roman" w:cs="Times New Roman" w:eastAsia="Times New Roman" w:hAnsi="Times New Roman"/>
          <w:sz w:val="18"/>
          <w:szCs w:val="18"/>
          <w:i w:val="1"/>
          <w:iCs w:val="1"/>
          <w:color w:val="auto"/>
        </w:rPr>
        <w:t>American Institute of Certified Public Accountants, 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Issued as Compensation </w:t>
      </w:r>
      <w:r>
        <w:rPr>
          <w:rFonts w:ascii="Times New Roman" w:cs="Times New Roman" w:eastAsia="Times New Roman" w:hAnsi="Times New Roman"/>
          <w:sz w:val="18"/>
          <w:szCs w:val="18"/>
          <w:color w:val="auto"/>
        </w:rPr>
        <w:t>guide. Each fair value estimate was based on a variety of factors, which included the following:</w:t>
      </w:r>
    </w:p>
    <w:p>
      <w:pPr>
        <w:spacing w:after="0" w:line="12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an unrelated third-party valuation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preferred stock relative to those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outlook;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key personnel and the experience of our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and the timing of the introduction of new applications and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a merger or acquisition of our business given prevailing market conditions;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using valuation methods they deemed appropriate under the circumstances applicable at the 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 determined, which was applied to our operating results to estimate the enterprise value of our company. When applicable, we also used the option pricing model to backsolve the value of the security from our most recent round of financing, which implies a total equity value as well as a per share common stock value.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valuations prior to January 31, 2020, once the enterprise value was determined under the market approach, we used the option pricing model to allocate that value among the various classes of securities to arrive at the fair value of the common stock.</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valuations as of and subsequent to January 31, 2020 and before our direct listing, we used a hybrid method utilizing a combination of the option pricing model and the probability-weighted expected return method (“PWERM”) in estimating the fair value of our common stock. Using the PWERM, the value of our common stock is estimated based upon a probability-weighted analysis of varying values for our common stock assuming possible future events for our company, including a scenario assuming we become a publicly traded company and a scenario assuming we continue as a privately held company.</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valuations after our direct listing, our board of directors determined the fair value of each share of underlying Class A common stock based on the closing price of our Class A common stock as reported on the date of grant.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inception by determining if the contract conveys the right to control the use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we consider only payments that are fixed and determinable at the time of commencement. As our leases do not provide an implicit rate, we use the incremental borrowing rate based on the information available at commencement date in determining the present value of lease payments. The incremental borrowing rate is a hypothetical rate based on our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we will exercise such options. The lease agreements may contain variable costs such as common area maintenance, insurance, real estate taxes or other costs. Variable lease costs are expensed as incurred on the consolidated statements of operations. Our lease agreements generally do not contain any residual value guarantees, restrictions, or covenants.</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lease agreements with lease and non-lease components. We have elected to combine lease and non-lease components as a single lease component for all classes of underlying assets. We have also elected to keep leases with an initial term of 12 months or less off the balance sheet and recognize the associated lease payments in the consolidated statements of operations on a straight-line basis over the lease term.</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ROU assets, operating lease liabilities, current, and operating lease liabilities, noncurrent on the consolidated balance sheets.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subleases certain of its unoccupied facilities to third parties. Any impairment to the associated right-of-use assets, leasehold improvements, or other assets as a result of a sublease is recognized in the period the sublease is executed and recorded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Basis of Presentation and Summary of Significant Accounting Policies</w:t>
      </w:r>
      <w:r>
        <w:rPr>
          <w:rFonts w:ascii="Times New Roman" w:cs="Times New Roman" w:eastAsia="Times New Roman" w:hAnsi="Times New Roman"/>
          <w:sz w:val="18"/>
          <w:szCs w:val="18"/>
          <w:color w:val="auto"/>
        </w:rPr>
        <w:t xml:space="preserve"> to our consolidated financial statements included elsewhere in this Annual Report on Form 10-K for more information regarding recent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certain market risks in the ordinary course of our business.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cash, cash equivalents, and marketable securities primarily consist of cash on hand and highly liquid investments in money market funds, U.S. government securities, corporate bonds, and commercial paper. As of January 31, 2024 and January 31, 2023, we had cash and cash equivalents of $236.7 million and $526.6 million, respectively, and marketable securities of $282.8 million and $2.7 million, respectively. We do not enter into investments for trading or speculative purposes. Our investments are exposed to market risk due to fluctuations in interest rates, which may affect our interest income and the fair value of our investments. As of January 31, 2024, a hypothetical increase in interest rates by 100 basis points would not have a material impact on our consolidated financial statements.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borrowings under the revolving credit facility bear interest at a variable rate tied to the adjusted term SOFR, the prime rate, or the federal funds effective rate. As of January 31, 2024, we had $46.9 million outstanding under the credit facility. We do not have any other long-term debt or financial liabilities with floating interest rates that would subject us to interest rate fluctuations. As of January 31, 2024, a hypothetical increase of 100 basis points in interest rates would not have a material impact on our consolidated financial statements.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The majority of our subscription agreements are denominated in U.S. dollars, with the remainder generated in Euros, British Pounds, Australian Dollars, Japanese Yen, Mexican Pesos, Brazilian Reais, Canadian Dollars, and South Korean Won.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Icelandic Krona, Singapore Dollar, Swiss Franc, and Polish Zloty. Our results of operations and cash flows are, therefore, subject to fluctuations in foreign currency exchange rates that are unrelated to our operating performance.</w:t>
      </w:r>
    </w:p>
    <w:p>
      <w:pPr>
        <w:spacing w:after="0" w:line="1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exchange rates may fluctuate significantly between periods, our non-U.S. dollar denominated revenue and operating expenses may also experience significant fluctuations between periods as we convert these to U.S. dollars. Volatile market conditions arising from the macro environment have and may in the future result in significant changes in exchange rates, and in particular a weakening of foreign currencies relative to the U.S. dollar has and may in the future negatively affect our revenue expressed in U.S. dollars. In the year ended January 31, 2024, 24%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 We disclose the impact of realized foreign currency gains and losses within </w:t>
      </w:r>
      <w:r>
        <w:rPr>
          <w:rFonts w:ascii="Times New Roman" w:cs="Times New Roman" w:eastAsia="Times New Roman" w:hAnsi="Times New Roman"/>
          <w:sz w:val="18"/>
          <w:szCs w:val="18"/>
          <w:i w:val="1"/>
          <w:iCs w:val="1"/>
          <w:color w:val="auto"/>
        </w:rPr>
        <w:t>Note 13. Interest Income and Other Income (Expense), Net</w:t>
      </w:r>
      <w:r>
        <w:rPr>
          <w:rFonts w:ascii="Times New Roman" w:cs="Times New Roman" w:eastAsia="Times New Roman" w:hAnsi="Times New Roman"/>
          <w:sz w:val="18"/>
          <w:szCs w:val="18"/>
          <w:color w:val="auto"/>
        </w:rPr>
        <w:t>. A hypothetical 10% change in foreign currency rates would not have resulted in material gains or losses for the years ended January 31, 2024 and 2023.</w:t>
      </w:r>
    </w:p>
    <w:p>
      <w:pPr>
        <w:spacing w:after="0" w:line="1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impact of foreign currency exchange rates are not projected to be material to our operating results, we have not entered into derivative or hedging transactions, but we may do so in the future if our exposure to foreign currency becomes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0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c>
          <w:tcPr>
            <w:tcW w:w="60" w:type="dxa"/>
            <w:vAlign w:val="bottom"/>
          </w:tcPr>
          <w:p>
            <w:pPr>
              <w:spacing w:after="0"/>
              <w:rPr>
                <w:sz w:val="19"/>
                <w:szCs w:val="19"/>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60" w:type="dxa"/>
            <w:vAlign w:val="bottom"/>
            <w:gridSpan w:val="5"/>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960" w:type="dxa"/>
            <w:vAlign w:val="bottom"/>
            <w:gridSpan w:val="5"/>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w:t>
            </w:r>
            <w:r>
              <w:rPr>
                <w:rFonts w:ascii="Times New Roman" w:cs="Times New Roman" w:eastAsia="Times New Roman" w:hAnsi="Times New Roman"/>
                <w:sz w:val="18"/>
                <w:szCs w:val="18"/>
                <w:color w:val="000000"/>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60" w:type="dxa"/>
            <w:vAlign w:val="bottom"/>
          </w:tcPr>
          <w:p>
            <w:pPr>
              <w:spacing w:after="0"/>
              <w:rPr>
                <w:sz w:val="18"/>
                <w:szCs w:val="18"/>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280" w:type="dxa"/>
            <w:vAlign w:val="bottom"/>
            <w:gridSpan w:val="3"/>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60" w:type="dxa"/>
            <w:vAlign w:val="bottom"/>
          </w:tcPr>
          <w:p>
            <w:pPr>
              <w:spacing w:after="0"/>
              <w:rPr>
                <w:sz w:val="18"/>
                <w:szCs w:val="18"/>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620" w:type="dxa"/>
            <w:vAlign w:val="bottom"/>
            <w:gridSpan w:val="3"/>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76" w:name="page77"/>
    <w:bookmarkEnd w:id="76"/>
    <w:p>
      <w:pPr>
        <w:spacing w:after="0" w:line="1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Asana,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Asana, Inc. and its subsidiaries (the “Company”) as of January 31, 2024 and 2023, and the related consolidated statements of operations, of comprehensive loss, of stockholders' equity (deficit) and of cash flows in each of the three years in the period ended January 31, 2024, including the related notes (collectively referred to as the “consolidated financial statements”). We also have audited the Company's internal control over financial reporting as of January 31, 2024, based on criteria established in Internal Control - Integrated Framework (2013) issued by the Committee of Sponsoring Organizations of the Treadway Commission (COSO).</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January 31, 2024 and 2023, and the results of its operations and its cash flows for each of the three years in the period ended January 31, 2024 in conformity with accounting principles generally accepted in the United States of America. Also in our opinion, the Company maintained, in all material respects, effective internal control over financial reporting as of January 31, 2024, based on criteria established in Internal Control - Integrated Framework (2013) issued by the COSO.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derives its revenues from monthly or annual subscription fees earned from customers accessing the platform. The Company accounts for revenue contracts with customers by applying the requirements of ASC 606, Revenue from Contracts with Customers. The Company’s subscription agreements generally have monthly or annual contractual terms and are billed in advance.</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For the year ended January 31, 2024, the Company’s revenue was $652.5 million.</w:t>
      </w:r>
    </w:p>
    <w:p>
      <w:pPr>
        <w:spacing w:after="0" w:line="13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are a high degree of audit effort in performing audit procedures and evaluating audit evidence related to the Company’s revenue recognition.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initiation, billing and recording of new and recurring subscriptions and the related subscription revenue. These procedures also included, among others, (i) testing revenue transactions on a sample basis by tracing revenue transactions to source documents, including customer contracts, orders, invoices, and cash receipts, where applicable; (ii) testing management’s reconciliation of invoices to cash received; and (iii) recalculating the deferred revenue balance.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526,563</w:t>
            </w:r>
          </w:p>
        </w:tc>
        <w:tc>
          <w:tcPr>
            <w:tcW w:w="0" w:type="dxa"/>
            <w:vAlign w:val="bottom"/>
          </w:tcPr>
          <w:p>
            <w:pPr>
              <w:spacing w:after="0"/>
              <w:rPr>
                <w:sz w:val="1"/>
                <w:szCs w:val="1"/>
                <w:color w:val="auto"/>
              </w:rPr>
            </w:pPr>
          </w:p>
        </w:tc>
      </w:tr>
      <w:tr>
        <w:trPr>
          <w:trHeight w:val="23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82,363</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48,726</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659,716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660,391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176,189</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961,960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954,963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83,488</w:t>
            </w: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265,306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226,443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0" w:type="dxa"/>
            <w:vAlign w:val="bottom"/>
          </w:tcPr>
          <w:p>
            <w:pPr>
              <w:spacing w:after="0"/>
              <w:rPr>
                <w:sz w:val="1"/>
                <w:szCs w:val="1"/>
                <w:color w:val="auto"/>
              </w:rPr>
            </w:pPr>
          </w:p>
        </w:tc>
      </w:tr>
      <w:tr>
        <w:trPr>
          <w:trHeight w:val="223"/>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332,316</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635,564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598,389</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Common stock, $0.00001 par value; 1,500,000 shares authorized as of January 31, 2024 and January</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31, 2023; 224,728 and 214,293 shares issued and outstanding as of January 31, 2024 and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 respectively</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1,821,216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1,595,001</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(1,494,586)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(1,237,556)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326,396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356,574</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961,960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954,963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378,437</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38,897</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339,540</w:t>
            </w: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203,124</w:t>
            </w: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282,897</w:t>
            </w: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118,703</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604,724</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(269,997)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(265,184)</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(253,325)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(285,105)</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(257,030)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(407,768)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(288,342)</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calculating net loss per share:</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220,406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200,034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176,401</w:t>
            </w:r>
          </w:p>
        </w:tc>
      </w:tr>
      <w:tr>
        <w:trPr>
          <w:trHeight w:val="21"/>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(257,030)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(288,342)</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unrealized gains (losses) on marketable securities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ind w:left="506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9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2"/>
        </w:trPr>
        <w:tc>
          <w:tcPr>
            <w:tcW w:w="522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800" w:type="dxa"/>
            <w:vAlign w:val="bottom"/>
            <w:vMerge w:val="restart"/>
          </w:tcPr>
          <w:p>
            <w:pPr>
              <w:jc w:val="center"/>
              <w:ind w:right="81"/>
              <w:spacing w:after="0" w:line="12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5"/>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161,480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(541,446)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(12,789)</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the exercise of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16,323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the vesting and settlement of restricted</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employee share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13,350</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conversion of convertible notes—</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368,459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368,459</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105,154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(288,342)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(288,342)</w:t>
            </w: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188,298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1,034,252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(829,788)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203,840</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82" w:name="page83"/>
    <w:bookmarkEnd w:id="82"/>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9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2"/>
        </w:trPr>
        <w:tc>
          <w:tcPr>
            <w:tcW w:w="524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780" w:type="dxa"/>
            <w:vAlign w:val="bottom"/>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2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188,298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(829,788)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203,840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the exercise of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the vesting and settlement of restricted</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employee share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private placement—related party, net</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issuance costs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347,289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347,289</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189,898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(407,768)</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2023</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214,293</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1,595,001</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(1,237,556)</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356,574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the exercise of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the vesting and settlement of restricted</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employee share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206,204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(257,030)</w:t>
            </w:r>
          </w:p>
        </w:tc>
        <w:tc>
          <w:tcPr>
            <w:tcW w:w="0" w:type="dxa"/>
            <w:vAlign w:val="bottom"/>
          </w:tcPr>
          <w:p>
            <w:pPr>
              <w:spacing w:after="0"/>
              <w:rPr>
                <w:sz w:val="1"/>
                <w:szCs w:val="1"/>
                <w:color w:val="auto"/>
              </w:rPr>
            </w:pPr>
          </w:p>
        </w:tc>
      </w:tr>
      <w:tr>
        <w:trPr>
          <w:trHeight w:val="234"/>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1,821,216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(1,494,586)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326,396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(288,342)</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104,527</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(accretion) of premium (discount) on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discount on convertible notes and credit facility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w:t>
            </w: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(23,652)</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23,682</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68,339</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(83,785)</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(62,394)</w:t>
            </w:r>
          </w:p>
        </w:tc>
      </w:tr>
      <w:tr>
        <w:trPr>
          <w:trHeight w:val="22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132,301</w:t>
            </w: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(41,587)</w:t>
            </w:r>
          </w:p>
        </w:tc>
      </w:tr>
      <w:tr>
        <w:trPr>
          <w:trHeight w:val="230"/>
        </w:trPr>
        <w:tc>
          <w:tcPr>
            <w:tcW w:w="6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term loan, net of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term loan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private placement — related party, net of offering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37,210</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286,160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(19,475)</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259,878</w:t>
            </w:r>
          </w:p>
        </w:tc>
      </w:tr>
      <w:tr>
        <w:trPr>
          <w:trHeight w:val="221"/>
        </w:trPr>
        <w:tc>
          <w:tcPr>
            <w:tcW w:w="67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236,663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526,563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240,403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conversion of convertible notes — related party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368,459</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for software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bl>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Asana, Inc. (“Asana” or the “Company”) was incorporated in the state of Delaware on December 16, 2008. Asana is a leading work management software platform with an enterprise focus that helps organizations orchestrate work, from daily tasks to cross-functional strategic initiatives. The Company is headquartered in San Francisco, California.</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Basis of Presentation and Summary of 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and include the accounts of the Company’s wholly-owned subsidiaries. All intercompany transactions and balances have been eliminated on consolidation.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For example, references to fiscal 2024, 2023, and 2022 refer to the fiscal year ended January 31, 2024, January 31, 2023, and January 31, 2022,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Class A and Class B Common Stock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23, 2020, the Company amended and restated its certificate of incorporation to effect a reclassification of the Company’s Class A common stock to Class B common stock, and vice versa. There were no changes to the rights, preferences, and privileges of each class of common stock at this time. All references to Class A common stock have been recast to Class B common stock, and all references to Class B common stock have been recast to Class A common stock, in these consolidated financial statements to give retrospective effect to the reclassification for all periods presented.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consolidated financial statements in conformity with GAAP requires management to make estimates and assumptions that affect the amounts reported and disclosed in the consolidated financial statements and accompanying notes. Estimates and assumptions reflected in the consolidated financial statements include, but are not limited to, revenue recognition, the useful lives and carrying values of long-lived assets, the fair value of the Convertible Notes (as defined in </w:t>
      </w:r>
      <w:r>
        <w:rPr>
          <w:rFonts w:ascii="Times New Roman" w:cs="Times New Roman" w:eastAsia="Times New Roman" w:hAnsi="Times New Roman"/>
          <w:sz w:val="18"/>
          <w:szCs w:val="18"/>
          <w:i w:val="1"/>
          <w:iCs w:val="1"/>
          <w:color w:val="auto"/>
        </w:rPr>
        <w:t>Note 6. Convertible Notes—Related Party</w:t>
      </w:r>
      <w:r>
        <w:rPr>
          <w:rFonts w:ascii="Times New Roman" w:cs="Times New Roman" w:eastAsia="Times New Roman" w:hAnsi="Times New Roman"/>
          <w:sz w:val="18"/>
          <w:szCs w:val="18"/>
          <w:color w:val="auto"/>
        </w:rPr>
        <w:t>), the fair value of common stock for periods prior to the Direct Listing, stock-based compensation expense, the period of benefit for deferred contract acquisition costs, income taxes, and the valuation of right-of-use assets. Actual results could differ from those estimates.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Global macroeconomic events including elevated inflation, the U.S. Federal Reserve raising interest rates, bank failures, supply chain disruptions, fluctuations in currency exchange rates, the Russian invasion of Ukraine, the current armed conflict in Israel and the Gaza Strip, and the residual impact of the COVID-19 pandemic have led to economic uncertainty. These macroeconomic conditions have and are likely to continue to have adverse effects on the rate of global IT spending, including the buying patterns of the Company’s customers and prospective customers.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conditions caused by the aforementioned macroeconomic events have affected and could continue to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and affect contraction or attrition rates of the Company’s customers, all of which could adversely affect the Company’s business, results of operations, and financial condition. As of the date of issuance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statements, the Company is not aware of any specific event or circumstance related to the aforementioned macroeconomic events that would require it to update its estimates or judgments or adjust the carrying value of its assets or liabilities. Actual results could differ from those estimates and any such differences may be material to the consolidated financial statements.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its revenues from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includes the following steps:</w:t>
      </w:r>
    </w:p>
    <w:p>
      <w:pPr>
        <w:spacing w:after="0" w:line="12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revenues when, or as, the Company satisfies a performance obligation.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non-refundable in the event of cancellations.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expenses are charged to sales and marketing expense in the consolidated statements of operations as incurred. Advertising expenses were $79.4 million, $118.1 million, and $87.4 million for the years ended January 31, 2024, 2023, and 2022, respectively.</w:t>
      </w:r>
    </w:p>
    <w:p>
      <w:pPr>
        <w:spacing w:after="0" w:line="67"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-43815</wp:posOffset>
            </wp:positionV>
            <wp:extent cx="6413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stock-based compensation expense for all stock-based awards, including stock options, purchase rights issued under the 2020 Employee Stock Purchase Plan, and restricted stock units, made to employees, non-employees, and directors based on estimated fair values recognized over the requisite service period. The fair value of stock options granted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expected dividend yield input is zero as it has not historically paid, nor does it expect in the future to pay, cash dividends on its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RSUs is measured based on the fair value of the underlying shares on the date of grant.</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recognized as expense over the requisite service period, which is generally the vesting period of the respective award. The Company uses the straight-line method for expense attribution. The Company accounts for forfeitures as they occur.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equity (deficit) as a component of accumulated other comprehensive income (loss). Adjustments that arise from foreign currency exchange rate changes on transactions denominated in a currency other than the functional currency are included in interest income and other income (expense), net on the consolidated statements of operations and were not material for the years ended January 31, 2024, 2023, and 2022.</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For information regarding the Company’s revenues and long-lived assets by geographic area,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15. Geographic Information</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at the date of purchase of three months or less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stated at cost, which approximates fair value.</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as reported in the Company’s consolidated statements of cash flows includes the aggregate amounts of cash and cash equivalents as shown on the consolidated balance sheets.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Marketable securities are partially comprised of U.S. government securities, commercial paper, corporate bonds, and agency bonds with an original contractual maturity or a remaining maturity at the time of purchase of greater than three months and no more than 37 months. The Company classifies its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securities with stated maturities beyond twelve months, within current assets in the condensed consolidated balance sheets.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Available-for-sale securities are carried at fair value with unrealized gains and losses reported in accumulated other comprehensive income (loss) as a separate component of stockholders’ equity (deficit). Unrealized gains and losses for any marketable securities that management intends to sell or is more likely than not that management will be required to sell prior to their anticipated recovery are recorded in interest income and other income (expense), net. Interest receivable on these securities is presented in prepaid expenses and other current assets on the consolidated balance sheets. Realized gains and losses, other-than-temporary impairments (prior to the Company’s adoption of ASU No. 2016-13 on February 1, 2021), and the recognition of expected credit losses (subsequent to the Company’s adoption of ASU No. 2016-13 on February 1, 2021), if any, on available-for-sale securities are recognized upon sale and are included in interest income and other income (expense), net in the consolidated statements of operations. The cost of securities sold is based on the specific identification method. Marketable securities are reviewed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periodically to identify possible other-than-temporary impairments or expected credit losses. No impairment or credit loss has been recorded on the Company’s marketable securities during the years ended January 31, 2024, 2023, or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are stated at realizable value, net of allowance for expected credit losses. The allowance for expected credit losses is based on the Company’s assessment of the collectability of its accounts receivable, which considers the Company’s historical write-offs of uncollectible accounts, an analysis of the aging of outstanding accounts receivable, specific customers with known adverse financial conditions, and considers other relevant factors, including contractual terms and current and future economic conditions. The Company also considers current market conditions and current and future economic conditions in reviewing the adequacy of the allowance. The Company reassesses the adequacy of the allowance for credit losses each reporting period.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allowance for expected credit losses was $2.3 million as of January 31, 2024 and 2023.</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cash equivalents, and marketable securities. The Company deposits its cash and cash equivalents with financial institutions that management believes are of high credit quality, although such deposits may, at times, exceed federally insured limits. The Company has not experienced any losses on its deposits of cash and cash equivalents to date. Cash equivalents are invested in highly rated securities.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grants credit to customers in the normal course of business. For the years ended January 31, 2024, 2023, and 2022, there were no individual customers that accounted for 10% or more of the Company’s revenues. The Company had no customers that accounted for 10% or more of accounts receivable at January 31, 2024 and 2023.</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exit price that would be received to sell an asset or paid to transfer a liability in an orderly transaction between market participants at the reporting date. As such, fair value is a market-based measurement that should be determined based on assumptions that market participants would use in pricing an asset or liability. Fair value is estimated by utilizing a three-tier fair value hierarchy, which prioritizes the inputs used in measuring fair value as follows:</w:t>
      </w:r>
    </w:p>
    <w:p>
      <w:pPr>
        <w:spacing w:after="0" w:line="126"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Level 1</w:t>
        <w:tab/>
        <w:t>Observable inputs comprised of quoted prices for identical assets or liabilities in active markets.</w:t>
      </w:r>
    </w:p>
    <w:p>
      <w:pPr>
        <w:spacing w:after="0" w:line="171"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the quoted prices in active markets that are observable either directly or indirectly.</w:t>
      </w:r>
    </w:p>
    <w:p>
      <w:pPr>
        <w:spacing w:after="0" w:line="171"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Level 3</w:t>
        <w:tab/>
        <w:t>Unobservable inputs in which there is little or no market data and that are significant to the fair value of the assets or liabilities.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fair value, a financial instrument’s classification within the three-tier fair value hierarchy is based on the lowest level of input that is significant to the fair value measurement. The Company utilizes valuation techniques that maximize the use of observable inputs and minimize the use of unobservable inputs to the extent possible, as well as considers counterparty credit risk in its assessment of fair value.</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certain financial instruments, including cash, accounts receivable, accounts payable, and accrued liabilities approximates their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by determining if the contract conveys the right to control the use of an identified asset for a period of time in exchange for consideration and other facts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circumstances. Right-of-use assets and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elects to combine lease and non-lease components as a single lease component for all classes of underlying assets. The Company elects to not record leases with an initial term of 12 months or less on the balance sheet and the associated lease payments are recognized in the consolidated statements of operations on a straight-line basis over the lease term.</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ROU assets, operating lease liabilities, current, and operating lease liabilities, noncurrent on the consolidated balance sheets.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its property and equipment at cost. Depreciation is computed on the straight-line method over the estimated useful lives of two to five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gridSpan w:val="2"/>
          </w:tcPr>
          <w:p>
            <w:pPr>
              <w:ind w:left="248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5540" w:type="dxa"/>
            <w:vAlign w:val="bottom"/>
          </w:tcPr>
          <w:p>
            <w:pPr>
              <w:jc w:val="right"/>
              <w:ind w:right="2334"/>
              <w:spacing w:after="0"/>
              <w:rPr>
                <w:sz w:val="20"/>
                <w:szCs w:val="20"/>
                <w:color w:val="auto"/>
              </w:rPr>
            </w:pPr>
            <w:r>
              <w:rPr>
                <w:rFonts w:ascii="Times New Roman" w:cs="Times New Roman" w:eastAsia="Times New Roman" w:hAnsi="Times New Roman"/>
                <w:sz w:val="14"/>
                <w:szCs w:val="14"/>
                <w:b w:val="1"/>
                <w:bCs w:val="1"/>
                <w:color w:val="auto"/>
              </w:rPr>
              <w:t>Life (Years)</w:t>
            </w: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Desktop and other computer equipment</w:t>
            </w:r>
          </w:p>
        </w:tc>
        <w:tc>
          <w:tcPr>
            <w:tcW w:w="100" w:type="dxa"/>
            <w:vAlign w:val="bottom"/>
            <w:shd w:val="clear" w:color="auto" w:fill="CCEEFF"/>
          </w:tcPr>
          <w:p>
            <w:pPr>
              <w:spacing w:after="0"/>
              <w:rPr>
                <w:sz w:val="19"/>
                <w:szCs w:val="19"/>
                <w:color w:val="auto"/>
              </w:rPr>
            </w:pPr>
          </w:p>
        </w:tc>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estimated useful life</w:t>
            </w:r>
          </w:p>
        </w:tc>
      </w:tr>
      <w:tr>
        <w:trPr>
          <w:trHeight w:val="23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cash flows expected to be generated by the asset group. If such assets are considered to be impaired, the impairment recognized is measured by the amount by which the carrying amount of the assets exceeds the fair value of the assets. Assets to be disposed of are reported at the lower of the carrying amount or fair value less costs to sell. The Company recorded a $5.0 million impairment charge during the year ended January 31, 2024. No impairment losses were recorded during the years ended January 31, 2023, and 2022. The $5.0 million impairment charge incurred during the year ended January 31, 2024 related to the right-of-use (“ROU”) assets and underlying property and equipment associated with the Company’s subleased office spaces is further described in </w:t>
      </w:r>
      <w:r>
        <w:rPr>
          <w:rFonts w:ascii="Times New Roman" w:cs="Times New Roman" w:eastAsia="Times New Roman" w:hAnsi="Times New Roman"/>
          <w:sz w:val="18"/>
          <w:szCs w:val="18"/>
          <w:i w:val="1"/>
          <w:iCs w:val="1"/>
          <w:color w:val="auto"/>
        </w:rPr>
        <w:t>Note 9. Leases</w:t>
      </w:r>
      <w:r>
        <w:rPr>
          <w:rFonts w:ascii="Times New Roman" w:cs="Times New Roman" w:eastAsia="Times New Roman" w:hAnsi="Times New Roman"/>
          <w:sz w:val="18"/>
          <w:szCs w:val="18"/>
          <w:color w:val="auto"/>
        </w:rPr>
        <w:t xml:space="preserv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unless it is more likely than not that they will be realized. If there is significant negative evidence that the near-term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performs a comprehensive review of potential uncertain tax positions in each jurisdiction in which the Company operates. The Company accounts for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prescribes a recognition threshold and measurement attribute for the financial statement recognition and measurement of a tax provision that an entity takes or expects to take in a tax return.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entitled to receive a non-cumulative dividend on a pari passu basis in the event that a dividend is paid on the common stock. The holders of the redeemable convertible preferred stock do not have a contractual obligation to share in the Company’s losses. As such, the Company’s net losses for the years ended January 31, 2024, 2023, and 2022 were not allocated to these participating securities.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Diluted earnings per share attributable to common stockholders adjusts basic earnings per share for the potentially dilutive impact of redeemable convertible preferred stock warrants, stock options, RSUs, and redeemable convertible preferred stock. As the Company has reported losses for all periods presented, all potentially dilutive securities are anti-dilutive, and accordingly, basic net loss per share equaled diluted net loss per share.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amendments improve reportable segment disclosure requirements, primarily through enhanced disclosures about significant segment expenses. The new standard will be effective for the Company for the annual periods beginning February 1, 2024, and for interim periods beginning February 1, 2025, with early adoption permitted. Upon adoption, the guidance should be applied retrospectively to all prior periods presented in the financial statements. The Company is currently evaluating the impact of adoption of the standard on disclosures within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disaggregated information about a reporting entity’s effective tax rate reconciliation as well as information on income taxes paid. The guidance is effective for the Company’s fiscal years beginning after February 1, 2025, with early adoption permitted. The Company is currently evaluating the impact of adoption of the standard on its consolidated financial statements.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other recent accounting pronouncements, changes in accounting pronouncements or recently adopted accounting guidance during the year ended January 31, 2024 that are of significance or potential significance to the Company.</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Revenue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$227.5 million and $170.1 million of revenues during the years ended January 31, 2024 and 2023, respectively, that were included in the deferred revenue balance at the beginning of the respective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that will be recognized within the next twelve months is recorded as current deferred revenue, and the remaining portion is recorded as noncurrent. As of January 31, 2024, the Company's remaining performance obligations from subscription contracts were $349.0 million, of which the Company expects to recognize approximately 84% as revenues over the next 12 months and the remainder thereafter.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Acquisition Costs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contract acquisition costs represent gross deferred contract acquisition costs less accumulated amortization. Sales commissions earned by the Company’s sales force,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36,583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6"/>
              </w:rPr>
              <w:t>22,771</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1060" w:type="dxa"/>
            <w:vAlign w:val="bottom"/>
          </w:tcPr>
          <w:p>
            <w:pPr>
              <w:spacing w:after="0"/>
              <w:rPr>
                <w:sz w:val="19"/>
                <w:szCs w:val="19"/>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24,770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6"/>
              </w:rPr>
              <w:t>28,910</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(21,972)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(15,098)</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39,381</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6"/>
              </w:rPr>
              <w:t>36,583</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7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21,594</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6"/>
              </w:rPr>
              <w:t>18,049</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17,787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6"/>
              </w:rPr>
              <w:t>18,534</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39,381</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6"/>
              </w:rPr>
              <w:t>36,583</w:t>
            </w:r>
          </w:p>
        </w:tc>
      </w:tr>
      <w:tr>
        <w:trPr>
          <w:trHeight w:val="20"/>
        </w:trPr>
        <w:tc>
          <w:tcPr>
            <w:tcW w:w="7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contract acquisition costs, current is presented within prepaid expenses and other current assets in the consolidated balance sheets. Deferred contract acquisition costs, noncurrent is presented within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assets and liabilities measured at fair value, the respective fair value and classification by level of input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89,561</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3"/>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94,552</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bonds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162,328</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72,608</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Agency bonds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36,195</w:t>
            </w:r>
          </w:p>
        </w:tc>
      </w:tr>
      <w:tr>
        <w:trPr>
          <w:trHeight w:val="223"/>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120,473</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282,801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125,464</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377,353</w:t>
            </w: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6"/>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As of January 31, 2023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289,001</w:t>
            </w:r>
          </w:p>
        </w:tc>
      </w:tr>
      <w:tr>
        <w:trPr>
          <w:trHeight w:val="22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289,001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289,001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tcPr>
          <w:p>
            <w:pPr>
              <w:spacing w:after="0"/>
              <w:rPr>
                <w:sz w:val="19"/>
                <w:szCs w:val="19"/>
                <w:color w:val="auto"/>
              </w:rPr>
            </w:pP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223"/>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22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291,740</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financial assets or liabilities into or out of Level 3 during the years ended January 31, 2024 and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marketable securities on the consolidated balance sheets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4"/>
                <w:szCs w:val="14"/>
                <w:color w:val="auto"/>
              </w:rPr>
            </w:pPr>
          </w:p>
        </w:tc>
        <w:tc>
          <w:tcPr>
            <w:tcW w:w="12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162,328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0" w:type="dxa"/>
            <w:vAlign w:val="bottom"/>
          </w:tcPr>
          <w:p>
            <w:pPr>
              <w:spacing w:after="0"/>
              <w:rPr>
                <w:sz w:val="1"/>
                <w:szCs w:val="1"/>
                <w:color w:val="auto"/>
              </w:rPr>
            </w:pPr>
          </w:p>
        </w:tc>
      </w:tr>
      <w:tr>
        <w:trPr>
          <w:trHeight w:val="26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282,127</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282,801</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of January 31, 2023</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4"/>
                <w:szCs w:val="14"/>
                <w:color w:val="auto"/>
              </w:rPr>
            </w:pPr>
          </w:p>
        </w:tc>
        <w:tc>
          <w:tcPr>
            <w:tcW w:w="120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the Company’s marketable securities as of January 31,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70"/>
        </w:trPr>
        <w:tc>
          <w:tcPr>
            <w:tcW w:w="76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155,743</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155,813</w:t>
            </w:r>
          </w:p>
        </w:tc>
      </w:tr>
      <w:tr>
        <w:trPr>
          <w:trHeight w:val="270"/>
        </w:trPr>
        <w:tc>
          <w:tcPr>
            <w:tcW w:w="7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126,384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126,988</w:t>
            </w:r>
          </w:p>
        </w:tc>
      </w:tr>
      <w:tr>
        <w:trPr>
          <w:trHeight w:val="289"/>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282,127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282,801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periodically evaluates its investments for expected credit losses. The unrealized losses on the available-for-sale securities were primarily due to unfavorable changes in interest rates subsequent to the initial purchase of these securities. Gross unrealized losses of the Company’s available-for-sale securities that have been in a continuous unrealized loss position for twelve months or longer were immaterial as of January 31, 2024 and January 31, 2023.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January 31, 2024 or January 31, 2023 to represent credit losses.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April 2020 and November 2022, the Company entered into credit agreements (the “April 2020 Senior Secured Term Loan” and “November 2022 Senior Secured Credit Facility” as defined in </w:t>
      </w:r>
      <w:r>
        <w:rPr>
          <w:rFonts w:ascii="Times New Roman" w:cs="Times New Roman" w:eastAsia="Times New Roman" w:hAnsi="Times New Roman"/>
          <w:sz w:val="18"/>
          <w:szCs w:val="18"/>
          <w:i w:val="1"/>
          <w:iCs w:val="1"/>
          <w:color w:val="auto"/>
        </w:rPr>
        <w:t>Note 7. Debt</w:t>
      </w:r>
      <w:r>
        <w:rPr>
          <w:rFonts w:ascii="Times New Roman" w:cs="Times New Roman" w:eastAsia="Times New Roman" w:hAnsi="Times New Roman"/>
          <w:sz w:val="18"/>
          <w:szCs w:val="18"/>
          <w:color w:val="auto"/>
        </w:rPr>
        <w:t>) with Silicon Valley Bank (“SVB”). The credit facilities are carried at amortized cost, which approximated their fair values as of January 31, 2024 and January 31, 2023. If the credit facilities were measured at fair value in the financial statements, they would be classified as Level 2 in the fair value hierarchy. On March 27, 2023, First Citizens BancShares, Inc. announced that it entered into an agreement to purchase assets and liabilities of SVB, inclusive of the November 2022 Senior Secured Credit Facility.</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Balance Sheet Components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98,264</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 and other computer equipment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gross property and equipment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126,050</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(31,066)</w:t>
            </w:r>
          </w:p>
        </w:tc>
      </w:tr>
      <w:tr>
        <w:trPr>
          <w:trHeight w:val="223"/>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94,984</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years ended January 31, 2024, 2023, and 2022 was $14.3 million, $12.7 million, and $8.5 million,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carrying value of capitalized internal-use software costs for the periods presented below are as follows (in thousands):</w:t>
      </w:r>
    </w:p>
    <w:p>
      <w:pPr>
        <w:spacing w:after="0" w:line="205"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33655</wp:posOffset>
            </wp:positionV>
            <wp:extent cx="11315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February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Capitalization of internal-use software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internal-use software costs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284" w:hanging="1284"/>
        <w:spacing w:after="0"/>
        <w:tabs>
          <w:tab w:leader="none" w:pos="12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2,353</w:t>
      </w:r>
    </w:p>
    <w:p>
      <w:pPr>
        <w:spacing w:after="0" w:line="27" w:lineRule="exact"/>
        <w:rPr>
          <w:rFonts w:ascii="Times New Roman" w:cs="Times New Roman" w:eastAsia="Times New Roman" w:hAnsi="Times New Roman"/>
          <w:sz w:val="18"/>
          <w:szCs w:val="18"/>
          <w:color w:val="auto"/>
        </w:rPr>
      </w:pPr>
    </w:p>
    <w:p>
      <w:pPr>
        <w:ind w:left="12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(1,074)</w:t>
      </w:r>
    </w:p>
    <w:p>
      <w:pPr>
        <w:spacing w:after="0" w:line="31" w:lineRule="exact"/>
        <w:rPr>
          <w:sz w:val="20"/>
          <w:szCs w:val="20"/>
          <w:color w:val="auto"/>
        </w:rPr>
      </w:pPr>
    </w:p>
    <w:p>
      <w:pPr>
        <w:ind w:left="1284" w:hanging="1284"/>
        <w:spacing w:after="0"/>
        <w:tabs>
          <w:tab w:leader="none" w:pos="12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4,035</w:t>
      </w:r>
    </w:p>
    <w:p>
      <w:pPr>
        <w:spacing w:after="0" w:line="27" w:lineRule="exact"/>
        <w:rPr>
          <w:rFonts w:ascii="Times New Roman" w:cs="Times New Roman" w:eastAsia="Times New Roman" w:hAnsi="Times New Roman"/>
          <w:sz w:val="18"/>
          <w:szCs w:val="18"/>
          <w:color w:val="auto"/>
        </w:rPr>
      </w:pPr>
    </w:p>
    <w:p>
      <w:pPr>
        <w:ind w:left="12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315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1" w:lineRule="exact"/>
        <w:rPr>
          <w:sz w:val="20"/>
          <w:szCs w:val="20"/>
          <w:color w:val="auto"/>
        </w:rPr>
      </w:pPr>
    </w:p>
    <w:p>
      <w:pPr>
        <w:ind w:left="1204" w:hanging="1204"/>
        <w:spacing w:after="0"/>
        <w:tabs>
          <w:tab w:leader="none" w:pos="12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315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315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56" w:space="720"/>
            <w:col w:w="1764"/>
          </w:cols>
          <w:pgMar w:left="320" w:top="225" w:right="339" w:bottom="1440" w:gutter="0" w:footer="0" w:header="0"/>
          <w:type w:val="continuous"/>
        </w:sectPr>
      </w:pP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25,134</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0" w:type="dxa"/>
            <w:vAlign w:val="bottom"/>
          </w:tcPr>
          <w:p>
            <w:pPr>
              <w:spacing w:after="0"/>
              <w:rPr>
                <w:sz w:val="1"/>
                <w:szCs w:val="1"/>
                <w:color w:val="auto"/>
              </w:rPr>
            </w:pPr>
          </w:p>
        </w:tc>
      </w:tr>
      <w:tr>
        <w:trPr>
          <w:trHeight w:val="223"/>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1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48,726</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5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value-added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for fringe benefits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advertising expenses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consulting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tab/>
        <w:t>Convertible Notes—Related Party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previously issued two 3.5% unsecured senior mandatory convertible promissory notes in January 2020 (“January 2020 Convertible Note”) and June 2020 (“June 2020 Convertible Note”) (collectively, the “Convertible Notes”) in principal amounts of $300.0 million and $150.0 million, respectively. The Convertible Notes were not transferable except to affiliates, contained no financial or restrictive covenants, and were expressly subordinated in right of payment to any of the Company’s existing or future secured indebtedness.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July 1, 2021, upon meeting the closing trading price criteria for optional conversion by the Company (based on the Company’s Class A common stock closing trading price during the last 30 trading days of the previous</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calendar quarter as stated in the original terms of the Convertible Notes), the Company elected to convert both of the Convertible Notes into an aggregate of 17,012,822 shares of the Company’s Class B common stock pursuant to the original terms of the embedded, substantive conversion features in the Convertible Notes. The Company accounted for the conversion by adjusting its additional paid-in capital for the net carrying amount of the Convertible Notes as of July 1, 2021 of $368.5 million (including accrued interest of $20.4 million and the unamortized debt discount of $101.9 million).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related to the Convertible Notes recorded prior to the conversion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8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8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r>
      <w:tr>
        <w:trPr>
          <w:trHeight w:val="248"/>
        </w:trPr>
        <w:tc>
          <w:tcPr>
            <w:tcW w:w="5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128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2020, the Company entered into a five-year $40.0 million term loan agreement with SVB (the “April 2020 Senior Secured Term Loan”) which provided for a senior secured term loan facility, in an aggregate principal amount of up to $40.0 million to be used for the construction of the Company’s corporate headquarters. Interest accrued and was payable monthly based on a floating rate per annum equal to the prime rate (per the Wall Street Journal) plus an applicable margin ranging from 0% to (1.0)% based on the Company’s unrestricted cash balance at the lender. The April 2020 Senior Secured Term Loan was repaid in full and terminated in November 2022.</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an agreement for a four-year credit facility (as amended on April 13, 2023, the “November 2022 Senior Secured Credit Facility”) with SVB, which refinanced the April 2020 Senior Secured Term Loan. The November 2022 Senior Secured Credit Facility provides for senior secured credit facilities in the aggregate principal amount of $150.0 million, including a senior secured term loan facility in an aggregate principal amount of $50.0 million and a revolving loan facility in an aggregate principal amount of up to $100.0 million, including a $30.0 million letter of credit sub-facility, maturing on November 7, 2026. On March 27, 2023, First Citizens BancShares, Inc. announced that it entered into an agreement to purchase assets and liabilities of SVB, inclusive of the November 2022 Senior Secured Credit Facility.</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November 2022 Senior Secured Credit Facility may be designated as ABR Loans or SOFR Loans, subject to certain terms and conditions under the agreement. ABR Loans accrue interest at a rate per annum equal to the ABR plus an applicable margin of 1.25%. Term SOFR Loans accrue interest at a rate per annum equal to the applicable adjusted term SOFR rate, which is equal to the applicable term SOFR rate plus a term SOFR adjustment of 10 basis points, provided such adjusted term SOFR rate shall not be less than zero, plus an applicable margin of 2.25%. Interest accrues and is payable on a monthly basis.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November 2022 Senior Secured Credit Facility contains customary conditions to borrowing, events of default, and covenants, including covenants that restrict the Company’s ability to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including a consolidated adjusted quick ratio of 1.25 to 1.00, as well as a minimum cash adjusted EBITDA, each tested on a quarterly basis.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November 2022 Senior Secured Credit Facility, the Company may issue letters of credit which may reduce the total amount available for borrowing under the revolving credit facility. Additionally, the Company is required to pay an annual commitment fee that accrues at a rate of 0.15% per annum on the unused portion of the borrowing commitments under the revolving credit facility. The Company had an aggregate of $21.4 million of letters of credit outstanding under the revolving credit facility as of January 31, 2024, and the Company’s total available borrowing capacity under the revolving credit facility was $78.6 million as of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2024, $50.0 million was drawn and $46.9 million was outstanding under the November 2022 Senior Secured Credit Facility. As of January 31, 2024, the Company was in compliance with all financial covenants.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conjunction with the close of the November 2022 Senior Secured Credit Facility, the Company paid upfront issuance fees of $0.4 million. The upfront fees are amortized over the remaining term of the agreement. Upfront issuance fees allocated to the revolving credit facility of $0.2 million are presented in the Company’s consolidated balance sheet within other assets.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carrying amounts of the November 2022 Senior Secured Credit Facility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loan issuance costs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carrying amount</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50,039</w:t>
            </w:r>
          </w:p>
        </w:tc>
      </w:tr>
      <w:tr>
        <w:trPr>
          <w:trHeight w:val="20"/>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7"/>
        </w:trPr>
        <w:tc>
          <w:tcPr>
            <w:tcW w:w="7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 current</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facilities, noncurrent</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46,696</w:t>
            </w:r>
          </w:p>
        </w:tc>
      </w:tr>
    </w:tbl>
    <w:p>
      <w:pPr>
        <w:spacing w:after="0" w:line="22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 carrying amount of the current portion of the term loan is presented within accrued expenses and other current liabilities in the consolidated balance sheets.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January 31, 2024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60" w:type="dxa"/>
            <w:vAlign w:val="bottom"/>
          </w:tcPr>
          <w:p>
            <w:pPr>
              <w:spacing w:after="0"/>
              <w:rPr>
                <w:sz w:val="16"/>
                <w:szCs w:val="16"/>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Contractual Maturity</w:t>
            </w:r>
          </w:p>
        </w:tc>
      </w:tr>
      <w:tr>
        <w:trPr>
          <w:trHeight w:val="23"/>
        </w:trPr>
        <w:tc>
          <w:tcPr>
            <w:tcW w:w="9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38,750</w:t>
            </w:r>
          </w:p>
        </w:tc>
      </w:tr>
      <w:tr>
        <w:trPr>
          <w:trHeight w:val="223"/>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principal payments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46,875</w:t>
            </w:r>
          </w:p>
        </w:tc>
      </w:tr>
      <w:tr>
        <w:trPr>
          <w:trHeight w:val="20"/>
        </w:trPr>
        <w:tc>
          <w:tcPr>
            <w:tcW w:w="9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2024 and 2023, the Company had several letters of credit outstanding related to its operating leases totaling $21.4 million and $23.6 million, respectively. The letters of credit expire at various dates between 2025 and 2034.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Company entered into a 60-month contract with Amazon Web Services for hosting-related services. Pursuant to the terms of the contract, the Company is required to spend a minimum of $103.5 million over the term of the agreement. The commitment may be offset by up to $7.3 million in additional credits subject to the Company meeting certain conditions of the agreement, which have been earned as of January 31, 2024. As of January 31, 2024 the Company had purchase commitments remaining of $46.5 million for hosting-related services and $12.2 million with various parties primarily for software-based services which are not reflected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years ended January 31, 2024 and 2023,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claims and other legal matters arising in the ordinary course of business. As of January 31, 2024 and 2023, the Company believes that none of its current legal proceedings would have a material adverse effect on its financial position, results of operations, or cash flows.</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tab/>
        <w:t>Leases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real estate facilities under non-cancelable operating leases with various expiration dates through fiscal 2034. The Company has no lease agreements that are classified as finance leases.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costs, lease term, and discount rate for operating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5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 (in thousands)</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36,542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36,494</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 (in thousands)</w:t>
            </w:r>
          </w:p>
        </w:tc>
        <w:tc>
          <w:tcPr>
            <w:tcW w:w="11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3,240</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 (in thousands)</w:t>
            </w:r>
          </w:p>
        </w:tc>
        <w:tc>
          <w:tcPr>
            <w:tcW w:w="1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1,452</w:t>
            </w:r>
          </w:p>
        </w:tc>
      </w:tr>
      <w:tr>
        <w:trPr>
          <w:trHeight w:val="22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costs</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47,048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41,757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41,186</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4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473"/>
        </w:trPr>
        <w:tc>
          <w:tcPr>
            <w:tcW w:w="75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are as follows (in thousands):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8"/>
        </w:trPr>
        <w:tc>
          <w:tcPr>
            <w:tcW w:w="5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
        </w:trPr>
        <w:tc>
          <w:tcPr>
            <w:tcW w:w="5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2"/>
        </w:trPr>
        <w:tc>
          <w:tcPr>
            <w:tcW w:w="5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reductions related to operating lease impairments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(net of tenant improvement receivables) under non-cancelable operating leases with initial lease terms in excess of one year included in the Company’s lease liabilities as of January 31, 2024,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 Payments</w:t>
            </w:r>
          </w:p>
        </w:tc>
      </w:tr>
      <w:tr>
        <w:trPr>
          <w:trHeight w:val="23"/>
        </w:trPr>
        <w:tc>
          <w:tcPr>
            <w:tcW w:w="9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40,608</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38,859</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39,074</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39,180</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197,049</w:t>
            </w:r>
          </w:p>
        </w:tc>
      </w:tr>
      <w:tr>
        <w:trPr>
          <w:trHeight w:val="223"/>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354,770</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(120,507)</w:t>
            </w:r>
          </w:p>
        </w:tc>
      </w:tr>
      <w:tr>
        <w:trPr>
          <w:trHeight w:val="223"/>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234,263</w:t>
            </w:r>
          </w:p>
        </w:tc>
      </w:tr>
      <w:tr>
        <w:trPr>
          <w:trHeight w:val="21"/>
        </w:trPr>
        <w:tc>
          <w:tcPr>
            <w:tcW w:w="9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January 31, 2024, the Company executed a sublease for a portion of its corporate office space in San Francisco, California. The Company evaluated the associated asset group for impairment, which included the ROU assets and underlying property and equipment for the lease. The Company compared the expected future undiscounted cash flows to the carrying value and determined the respective asset group was not recoverable. The Company calculated the fair value based on the present value of the estimated cash flows from the sublease for the remaining lease term and compared the estimated fair value to its carrying value, which resulted in a $5.0 million consolidated impairment charge. The fair value of the operating lease ROU assets and associated property and equipment was estimated as of the sublease execution date using level 3 inputs based on an income approach by converting future sublease cash inflows and outflows to a single present value. Estimated cash flows were discounted at a rate commensurate with the inherent risks associated with the asset group to arrive at an estimate of fair value. The impairment charge was included in general and administrative expenses in the consolidated statements of operations.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sublease commenced during the year ended January 31, 2024 and has a lease term of five years. The Company has classified the sublease as an operating lease. Sublease income was $0.8 million for the year ended January 31, 2024. There was no sublease income for the year ended January 31, 2023 and January 31, 2022. The Company recognizes sublease income as a reduction of lease expense in the Company’s consolidated statements of operations.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Operating lease amounts in the table above do not include sublease income payments of $8.7 million. As of January 31, 2024, the future total minimum sublease payments to be received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20" w:type="dxa"/>
            <w:vAlign w:val="bottom"/>
          </w:tcPr>
          <w:p>
            <w:pPr>
              <w:spacing w:after="0"/>
              <w:rPr>
                <w:sz w:val="13"/>
                <w:szCs w:val="13"/>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Sublease Payments to be</w:t>
            </w:r>
          </w:p>
        </w:tc>
        <w:tc>
          <w:tcPr>
            <w:tcW w:w="0" w:type="dxa"/>
            <w:vAlign w:val="bottom"/>
          </w:tcPr>
          <w:p>
            <w:pPr>
              <w:spacing w:after="0"/>
              <w:rPr>
                <w:sz w:val="1"/>
                <w:szCs w:val="1"/>
                <w:color w:val="auto"/>
              </w:rPr>
            </w:pPr>
          </w:p>
        </w:tc>
      </w:tr>
      <w:tr>
        <w:trPr>
          <w:trHeight w:val="196"/>
        </w:trPr>
        <w:tc>
          <w:tcPr>
            <w:tcW w:w="94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3"/>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sublease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multiple classes of common stock and participating securities. The rights, including the liquidation and dividend rights, of the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and Class B common stock are substantially identical, other than voting rights. Accordingly, the Class A common stock and Class B common stock share equally in the Company’s net income and losses.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(257,030)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(407,768)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(288,342)</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calculating net loss per share, basic and</w:t>
            </w:r>
          </w:p>
        </w:tc>
        <w:tc>
          <w:tcPr>
            <w:tcW w:w="10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220,406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200,034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176,401</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for the period presented because including them would have been anti-dilutive are as follows (in thousands):</w:t>
      </w:r>
    </w:p>
    <w:p>
      <w:pPr>
        <w:spacing w:after="0" w:line="14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1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w:t>
            </w:r>
          </w:p>
        </w:tc>
      </w:tr>
      <w:tr>
        <w:trPr>
          <w:trHeight w:val="229"/>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r>
      <w:tr>
        <w:trPr>
          <w:trHeight w:val="23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 exercised stock options</w:t>
            </w:r>
          </w:p>
        </w:tc>
        <w:tc>
          <w:tcPr>
            <w:tcW w:w="1860" w:type="dxa"/>
            <w:vAlign w:val="bottom"/>
            <w:gridSpan w:val="3"/>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2020 Employee Stock Purchase Plan</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3"/>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27,088</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color w:val="auto"/>
        </w:rPr>
        <w:t>Note 6. Convertible Notes—Related Party,</w:t>
      </w:r>
      <w:r>
        <w:rPr>
          <w:rFonts w:ascii="Times New Roman" w:cs="Times New Roman" w:eastAsia="Times New Roman" w:hAnsi="Times New Roman"/>
          <w:sz w:val="18"/>
          <w:szCs w:val="18"/>
          <w:color w:val="auto"/>
        </w:rPr>
        <w:t xml:space="preserve"> the Convertible Notes were converted into 17,012,822 shares of the Company’s Class B common stock in July 2021. The shares underlying the Convertible Notes were previously excluded from diluted EPS because the effect would have been anti-dilutive.</w:t>
      </w:r>
    </w:p>
    <w:p>
      <w:pPr>
        <w:spacing w:after="0" w:line="1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Stockholders’ Equity (Deficit)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two classes of common stock that total 1,500,000,000 authorized shares: 1,000,000,000 authorized shares of Class A common stock and 500,000,000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Prior to the Direct Listing, which was completed on September 30, 2020, all 73,577,455 outstanding shares of redeemable convertible preferred stock were converted into an equivalent number of shares of Class B common stock. There are 139,238,565 shares of Class A common stock and 85,489,359 shares of Class B common stock issued and outstanding as of January 31, 2024. There were 128,803,395 shares of Class A common stock and 85,489,359 shares of class B common stock issued and outstanding as of January 31, 2023.</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changes in the number of shares of common stock outstanding for the years ended January 31, 2024 and 2023, were related to changes in Class A common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Placement—Related Party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2022, the Company issued and sold 19,273,127 shares of its Class A common stock to the Company’s CEO in a private placement transaction at a purchase price of $18.16 per share, based on the closing trading price of the Company’s Class A common stock on September 2, 2022, for aggregate gross proceeds of</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$350 million. The Company incurred issuance costs related to the private placement of $2.7 million. The Company recorded the proceeds (net of issuance costs) of $347.3 million as additional paid-in capital within the consolidated statements of stockholders’ equity (deficit) for the year ended January 31, 2023.</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2009 Stock Plan (the “2009 Plan”), a 2012 Amended and Restated Stock Plan (the “2012 Plan”), and a 2020 Equity Incentive Plan (the “2020 Plan”). Each plan was initially established to grant equity awards to employees and consultants of the Company to assist in attracting, retaining, and motivating employees and consultants and to provide incentives to promote the success of the Company’s business. The number of shares reserved for issuance under the 2020 Plan increased by 9,414,923 shares of Class A common stock on February 1, 2022, by 10,714,637 shares of Class A common stock on February 1, 2023, and by 11,236,396 shares of Class A common stock on February 1, 2024 pursuant to the evergreen provisions of the 2020 Plan.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outstanding awards under the 2009 Plan, and new issuances under the 2012 Plan terminated upon completion of the Direct Listing. Awards outstanding under the 2012 Plan continue to be outstanding and are governed by the provisions of the 2012 Plan. The 2020 Plan provides for the grant of incentive stock options (“ISOs”), within the meaning of Section 422 of the Code, nonstatutory stock options (“NSOs”), stock appreciation rights, restricted stock awards (“RSUs”), performance-based stock awards, and other forms of equity compensation.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ISOs may be granted only to Company employees (including officers and directors who are also employees). NSOs may be granted to Company employees and consultants. Options under the 2020 Plan may be granted for periods of up to 10 years. The exercise price of ISOs and NSOs shall not be less than 100% of the estimated fair value of the shares on the date of grant as determined by the Company’s board of directors (the “Board of Directors”). Options granted generally vest over four years and vest at a rate of 25% upon the first anniversary of the vesting commencement date and 1/48 per month thereafter.</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outstanding RSU awards issued pursuant to the 2012 Plan and 2020 Plan. RSUs granted generally vest on a predefined rate over a period of four years contingent upon continuous service.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of common stock purchased under the 2012 Plan are subject to certain restrictions and repurchase rights.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Option activity under the Company’s combined stock plans is set forth below (in thousands, except years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040" w:type="dxa"/>
            <w:vAlign w:val="bottom"/>
          </w:tcPr>
          <w:p>
            <w:pPr>
              <w:jc w:val="center"/>
              <w:ind w:left="32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1"/>
                <w:szCs w:val="11"/>
                <w:color w:val="auto"/>
              </w:rPr>
            </w:pPr>
          </w:p>
        </w:tc>
        <w:tc>
          <w:tcPr>
            <w:tcW w:w="12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32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04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7"/>
                <w:szCs w:val="17"/>
                <w:color w:val="auto"/>
              </w:rPr>
            </w:pPr>
          </w:p>
        </w:tc>
        <w:tc>
          <w:tcPr>
            <w:tcW w:w="12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January 31,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January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January 31, 2024</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137,045</w:t>
            </w: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9,568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January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and the total intrinsic value of options exercised during the periods presented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per share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options exercised (in thousands)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52,687</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404,964</w:t>
            </w: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Options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sheets. This liability is reclassified to additional paid-in capital as the awards vest. If a stock option is early exercised, the unvested shares may be repurchased by the Company in case of employment termination at the price paid by the purchaser for such shares. No shares were subject to repurchase as of January 31, 2024 and a total of 27,864 shares were subject to repurchase as of January 31, 2023.</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RSU activity is set forth below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50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7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80" w:type="dxa"/>
            <w:vAlign w:val="bottom"/>
          </w:tcPr>
          <w:p>
            <w:pPr>
              <w:spacing w:after="0"/>
              <w:rPr>
                <w:sz w:val="17"/>
                <w:szCs w:val="17"/>
                <w:color w:val="auto"/>
              </w:rPr>
            </w:pPr>
          </w:p>
        </w:tc>
        <w:tc>
          <w:tcPr>
            <w:tcW w:w="15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January 31, 2023</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226,145</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January 31,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299,450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RSUs vested, not yet released at January 31, 2024</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vMerge w:val="continue"/>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for stock-based awards to employees and non-employees in the Company’s consolidated statements of operations for the periods below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57,480</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29,631</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16,644</w:t>
            </w: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related to options granted to non-employees for the years ended January 31, 2024, 2023, and 2022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unrecognized compensation costs related to unvested awards not yet recognized under all equity compensation plans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3"/>
          </w:tcPr>
          <w:p>
            <w:pPr>
              <w:jc w:val="right"/>
              <w:ind w:right="1044"/>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0" w:type="dxa"/>
            <w:vAlign w:val="bottom"/>
          </w:tcPr>
          <w:p>
            <w:pPr>
              <w:spacing w:after="0"/>
              <w:rPr>
                <w:sz w:val="1"/>
                <w:szCs w:val="1"/>
                <w:color w:val="auto"/>
              </w:rPr>
            </w:pPr>
          </w:p>
        </w:tc>
      </w:tr>
      <w:tr>
        <w:trPr>
          <w:trHeight w:val="23"/>
        </w:trPr>
        <w:tc>
          <w:tcPr>
            <w:tcW w:w="7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100" w:type="dxa"/>
            <w:vAlign w:val="bottom"/>
          </w:tcPr>
          <w:p>
            <w:pPr>
              <w:spacing w:after="0"/>
              <w:rPr>
                <w:sz w:val="11"/>
                <w:szCs w:val="11"/>
                <w:color w:val="auto"/>
              </w:rPr>
            </w:pPr>
          </w:p>
        </w:tc>
        <w:tc>
          <w:tcPr>
            <w:tcW w:w="17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Expected</w:t>
            </w:r>
          </w:p>
        </w:tc>
        <w:tc>
          <w:tcPr>
            <w:tcW w:w="0" w:type="dxa"/>
            <w:vAlign w:val="bottom"/>
          </w:tcPr>
          <w:p>
            <w:pPr>
              <w:spacing w:after="0"/>
              <w:rPr>
                <w:sz w:val="1"/>
                <w:szCs w:val="1"/>
                <w:color w:val="auto"/>
              </w:rPr>
            </w:pPr>
          </w:p>
        </w:tc>
      </w:tr>
      <w:tr>
        <w:trPr>
          <w:trHeight w:val="146"/>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198"/>
        </w:trPr>
        <w:tc>
          <w:tcPr>
            <w:tcW w:w="7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358,188</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358,473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3"/>
          </w:tcPr>
          <w:p>
            <w:pPr>
              <w:jc w:val="right"/>
              <w:ind w:right="1044"/>
              <w:spacing w:after="0"/>
              <w:rPr>
                <w:sz w:val="20"/>
                <w:szCs w:val="20"/>
                <w:color w:val="auto"/>
              </w:rPr>
            </w:pPr>
            <w:r>
              <w:rPr>
                <w:rFonts w:ascii="Times New Roman" w:cs="Times New Roman" w:eastAsia="Times New Roman" w:hAnsi="Times New Roman"/>
                <w:sz w:val="14"/>
                <w:szCs w:val="14"/>
                <w:b w:val="1"/>
                <w:bCs w:val="1"/>
                <w:color w:val="auto"/>
              </w:rPr>
              <w:t>As of January 31, 2023</w:t>
            </w:r>
          </w:p>
        </w:tc>
        <w:tc>
          <w:tcPr>
            <w:tcW w:w="0" w:type="dxa"/>
            <w:vAlign w:val="bottom"/>
          </w:tcPr>
          <w:p>
            <w:pPr>
              <w:spacing w:after="0"/>
              <w:rPr>
                <w:sz w:val="1"/>
                <w:szCs w:val="1"/>
                <w:color w:val="auto"/>
              </w:rPr>
            </w:pPr>
          </w:p>
        </w:tc>
      </w:tr>
      <w:tr>
        <w:trPr>
          <w:trHeight w:val="23"/>
        </w:trPr>
        <w:tc>
          <w:tcPr>
            <w:tcW w:w="7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10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Expected</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369,302</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2020, the Board of Directors adopted and approved the 2020 Employee Stock Purchase Plan which became effective on the effective date of the Company's registration statement on Form S-1 filed with the SEC in connection with the Direct Listing. The ESPP initially reserved and authorized the issuance of up to a total of 2,000,000 shares of Class A common stock to participating employees. The number of shares reserved under the ESPP was automatically increased on February 1, 2021 to 3,614,801 shares of Class A common stock, to 5,497,785 on February 1, 2022, to 7,640,712 on February 1, 2023, and to 9,887,991 on February 1, 2024 pursuant to the evergreen provisions of the ESPP.</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any limitations contained therein, the ESPP allows eligible participants to contribute, through payroll deductions, up to 15% of their eligible compensation to purchase shares of the Company’s Class A common stock at a purchase price equal to 85% of the fair market value of the Class A common stock on either the first day of the offering period or the purchase date, whichever fair market value is lower. The ESPP generally provides for consecutive 24-month offering periods, each consisting of four separate consecutive purchase periods of approximately six months in length. The ESPP also includes a two year look back in purchase price, including a reset feature. The reset feature is triggered if the price on the date of purchase is less than the price on the first day of the offering period.</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January 31, 2024, 2023, and 2022 the Company recognized $11.4 million, $12.8 million, and $8.0 million respectively, of stock-based compensation expense related to the ESPP. The Company withheld $7.2 million and $6.9 million as of January 31, 2024 and 2023, respectively, in contributions from employees. As of January 31, 2024, total unrecognized compensation cost related to the ESPP was $10.4 million, which will be amortized over a weighted average vesting term of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shares to be granted under the ESPP during the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78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- 5.5%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0.1%-0.2%</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0.5 - 2.0 years</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0.5 - 2.0 years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 years</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- 60.3%</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- 64.1%</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- 53.8%</w:t>
            </w:r>
          </w:p>
        </w:tc>
      </w:tr>
    </w:tbl>
    <w:p>
      <w:pPr>
        <w:spacing w:after="0" w:line="22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as of January 31, 2024. Additionally, the Company engages in required pension plans of respective countries in which operations exist.</w:t>
      </w:r>
    </w:p>
    <w:p>
      <w:pPr>
        <w:spacing w:after="0" w:line="1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Interest Income and Other Income (Expense),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and other income (expense), net consist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foreign currency transactions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2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 income and other income (expense), net</w:t>
            </w: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0"/>
        </w:trPr>
        <w:tc>
          <w:tcPr>
            <w:tcW w:w="5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non-operating expense consists primarily of realized foreign currency gains and losses on transactions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provision for income taxes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2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(loss) before income taxes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(262,894)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(292,759)</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w:t>
            </w: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(253,325)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(285,105)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reconciliation between the statutory federal income tax and the Company’s effective tax rates as a percentage of loss before income taxes were as follows:</w:t>
      </w:r>
    </w:p>
    <w:p>
      <w:pPr>
        <w:spacing w:after="0" w:line="14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rate</w:t>
            </w: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96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debt interest</w:t>
            </w:r>
          </w:p>
        </w:tc>
        <w:tc>
          <w:tcPr>
            <w:tcW w:w="196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major components of deferred tax assets (liabilities)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285,152</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282,705</w:t>
            </w:r>
          </w:p>
        </w:tc>
      </w:tr>
      <w:tr>
        <w:trPr>
          <w:trHeight w:val="23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87,059</w:t>
            </w:r>
          </w:p>
        </w:tc>
      </w:tr>
      <w:tr>
        <w:trPr>
          <w:trHeight w:val="22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r>
      <w:tr>
        <w:trPr>
          <w:trHeight w:val="229"/>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Reserves and accrued expenses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r>
      <w:tr>
        <w:trPr>
          <w:trHeight w:val="230"/>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52,922</w:t>
            </w:r>
          </w:p>
        </w:tc>
      </w:tr>
      <w:tr>
        <w:trPr>
          <w:trHeight w:val="229"/>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R&amp;D expense capitalization under Sec. 174</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76,765</w:t>
            </w:r>
          </w:p>
        </w:tc>
      </w:tr>
      <w:tr>
        <w:trPr>
          <w:trHeight w:val="223"/>
        </w:trPr>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585,724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520,896</w:t>
            </w: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(532,423)</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(470,548)</w:t>
            </w:r>
          </w:p>
        </w:tc>
      </w:tr>
      <w:tr>
        <w:trPr>
          <w:trHeight w:val="223"/>
        </w:trPr>
        <w:tc>
          <w:tcPr>
            <w:tcW w:w="7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50,348</w:t>
            </w: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(41,434)</w:t>
            </w:r>
          </w:p>
        </w:tc>
      </w:tr>
      <w:tr>
        <w:trPr>
          <w:trHeight w:val="22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r>
      <w:tr>
        <w:trPr>
          <w:trHeight w:val="229"/>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(51,577)</w:t>
            </w:r>
          </w:p>
        </w:tc>
      </w:tr>
      <w:tr>
        <w:trPr>
          <w:trHeight w:val="223"/>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1"/>
        </w:trPr>
        <w:tc>
          <w:tcPr>
            <w:tcW w:w="7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valuation allowance increased by $61.9 million, $113.6 million, and $174.4 million during the years ended January 31, 2024, 2023, and 2022, respectively. The increase in the valuation allowance during the years ended January 31, 2024 and 2023 were primarily driven by research and development expense capitalization under Sec. 174, loss carryforwards, and tax credits generated in the United States. The increase in the valuation allowance during the year ended January 31, 2022 was primarily driven by losses and tax credits generated in the United States. As of January 31, 2024, 2023, and 2022, the Company believes it is not more likely than not that the deferred tax assets will be fully realizable and continues to maintain a full valuation allowance against its net deferred tax assets.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2024, the Company had federal and state net operating loss carryforwards of $1,167.3 million and $665.2 million, respectively. The federal and state net operating losses, if not used, will begin to expire in 2029. Federal net operating losses generated after January 31, 2018 will carry forward indefinitely.</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2024, the Company has federal and California research and development tax credit carryforwards of $85.0 million and $54.8 million, respectively, to offset future taxable income. The federal research and development tax credits, if not used, will begin to expire in 2030, while the state tax credit carryforwards may be carried forward indefinitely.</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Tax Reform Act of 1986 limits the use of net operating loss and tax credit carryforwards in certain situations where changes occur in the stock ownership of a company. Under Section 382 of the Internal Revenue Code of 1986, as amended, the Company’s ability to utilize net operating loss carryforwards or other tax attributes in any taxable year may be limited if the Company has experienced an “ownership change.” Generally, a Section 382 “ownership change” occurs if one or more stockholders or groups of stockholders who owns at least 5% of a corporation’s stock increases its ownership by more than 50 percentage points over its lowest ownership percentage within a specified testing period. Similar rules may apply under state tax laws. The Company has completed a Section 382 study of transactions in its stock through January 31, 2020. The study concluded that the Company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Tax Cuts and Jobs Act of 2017, research and development costs are no longer fully deductible and are required to be capitalized and amortized for U.S. tax purposes effective January 1, 2022. This tax law change did not result in any U.S. federal tax liability due to the use of existing U.S. federal net operating loss carryforwards. It did result in incremental state tax liability and expense due to limitations on the use of existing state net operating loss carryforwards.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Foreign withholding taxes have not been provided for the cumulative undistributed earnings of the Company’s foreign subsidiaries as of January 31, 2024 due to the Company’s intention to permanently reinvest such earnings.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liability related to uncertain tax positions is recorded in the financial statements due to the fact the liabilities have been netted against deferred attribute carryovers.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 current period tax positions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 prior period tax positions</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 prior period tax positions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no accrued interest and penalties related to unrecognized tax benefits as of January 31, 2024 or January 31, 2023. As of January 31, 2024, there are no unrecognized tax benefits that, if recognized, would affect the Company’s effective tax rate. The Company does not expect that its uncertain tax positions will materially change in the next 12 months.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files federal and state tax returns in the United States and in various foreign jurisdictions. The Company’s tax years since inception are open to examination by federal and state taxing authorities, and the tax years 2018 and forward remain open in various foreign jurisdictions.</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Geographic Information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and long-lived assets, including operating lease ROU assets, by geographic area for the periods presented below (in thousands):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219,305</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159,132</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378,437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by geography are based on the shipping address of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265,582</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278,274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271,173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January and June 2020, the Company issued Convertible Notes to a trust affiliated with the Company’s CEO. The Company elected to convert these Convertible Notes on July 1, 2021. See </w:t>
      </w:r>
      <w:r>
        <w:rPr>
          <w:rFonts w:ascii="Times New Roman" w:cs="Times New Roman" w:eastAsia="Times New Roman" w:hAnsi="Times New Roman"/>
          <w:sz w:val="18"/>
          <w:szCs w:val="18"/>
          <w:i w:val="1"/>
          <w:iCs w:val="1"/>
          <w:color w:val="auto"/>
        </w:rPr>
        <w:t>Note 6. Convertible Notes—Related Party</w:t>
      </w:r>
      <w:r>
        <w:rPr>
          <w:rFonts w:ascii="Times New Roman" w:cs="Times New Roman" w:eastAsia="Times New Roman" w:hAnsi="Times New Roman"/>
          <w:sz w:val="18"/>
          <w:szCs w:val="18"/>
          <w:color w:val="auto"/>
        </w:rPr>
        <w:t xml:space="preserve"> for further details.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fiscal year ended January 31, 2020, the Company began leasing certain office facilities from a company affiliated with Board members of the Company. Rent payments made under these leases totaled $1.6 million and $2.0 million for the years ended January 31, 2024 and 2023, respectively. The Company has entered into various agreements with the same company and has recognized revenue of $0.9 million and $0.7 million for the years ended January 31, 2024 and 2023, respectively. There was no customer receivable amount as of January 31, 2024 and a customer receivable amount of $1.7 million as of January 31, 2023.</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an advertising agreement with a company affiliated with a Board member of the Company. Payments under this agreement totaled $1.1 million and $1.8 million for the years ended January 31, 2024 and 2023,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an advertising agreement with a company affiliated with a Board member of the Company. Payments under this agreement totaled $2.0 million and $3.2 million for the years ended January 31, 2024 and 2023, respectively.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September 2022, the Company issued and sold 19,273,127 shares of its Class A common stock to the Company’s CEO in a private placement transaction at a purchase price of $18.16 per share, based on the closing trading price of the Company’s Class A common stock on September 2, 2022, for aggregate gross proceeds of approximately $350 million. See </w:t>
      </w:r>
      <w:r>
        <w:rPr>
          <w:rFonts w:ascii="Times New Roman" w:cs="Times New Roman" w:eastAsia="Times New Roman" w:hAnsi="Times New Roman"/>
          <w:sz w:val="18"/>
          <w:szCs w:val="18"/>
          <w:i w:val="1"/>
          <w:iCs w:val="1"/>
          <w:color w:val="auto"/>
        </w:rPr>
        <w:t>Note 11. Stockholders’ Equity (Deficit)</w:t>
      </w:r>
      <w:r>
        <w:rPr>
          <w:rFonts w:ascii="Times New Roman" w:cs="Times New Roman" w:eastAsia="Times New Roman" w:hAnsi="Times New Roman"/>
          <w:sz w:val="18"/>
          <w:szCs w:val="18"/>
          <w:color w:val="auto"/>
        </w:rPr>
        <w:t xml:space="preserve"> for further details.</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17.</w:t>
        <w:tab/>
        <w:t>Restructuring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15, 2022, the Company authorized a plan to reduce its global headcount by approximately 9%. This plan was adopted as part of a restructuring intended to improve operational efficiencies and operating costs and better align the Company’s workforce with current business needs, top strategic priorities, and key growth opportunities.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Non-recurring charges in connection with the headcount reductions include notice period and severance payments, employee benefits, and related facilitation costs as well as non-cash expenditures related to the accelerated vesting of share-based awards, which resulted in $9.3 million of restructuring costs for the year ended January 31, 2023. The headcount reductions, including cash payments, were substantially completed by the end of fiscal 2023.</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balance sheet as of January 31, 2023 includes $0.9 million of restructuring costs classified in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restructuring costs are recognized in the consolidated statement of operations for the year ended January 31, 2023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Severance and Related</w:t>
            </w: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Stock-Based Compensation</w:t>
            </w:r>
          </w:p>
        </w:tc>
        <w:tc>
          <w:tcPr>
            <w:tcW w:w="140" w:type="dxa"/>
            <w:vAlign w:val="bottom"/>
          </w:tcPr>
          <w:p>
            <w:pPr>
              <w:spacing w:after="0"/>
              <w:rPr>
                <w:sz w:val="13"/>
                <w:szCs w:val="13"/>
                <w:color w:val="auto"/>
              </w:rPr>
            </w:pPr>
          </w:p>
        </w:tc>
        <w:tc>
          <w:tcPr>
            <w:tcW w:w="164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4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 (Benefit)</w:t>
            </w:r>
          </w:p>
        </w:tc>
        <w:tc>
          <w:tcPr>
            <w:tcW w:w="14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5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restructuring liabilities (in thousands):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February 1, 2023</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(benefit)</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as of January 31, 2024</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9" w:name="page110"/>
    <w:bookmarkEnd w:id="1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January 31, 2024.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concluded that, as of January 31, 2024, our disclosure controls and procedures were effective to provide reasonable assurance that information we are required to disclose in reports we file or submit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Because of its inherent limitations, internal control over financial reporting may not prevent or detect misstatements. Based on that assessment, management has concluded that our internal control over financial reporting was effective as of January 31, 2024 to provide reasonable assurance regarding the reliability of financial reporting and the preparation of financial statements for external purposes in accordance with GAAP.</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effectiveness of our internal control over financial reporting as of January 31, 2024 has been audited by PricewaterhouseCoopers LLP, an independent registered accounting firm, as stated in their report which appears in </w:t>
      </w:r>
      <w:r>
        <w:rPr>
          <w:rFonts w:ascii="Times New Roman" w:cs="Times New Roman" w:eastAsia="Times New Roman" w:hAnsi="Times New Roman"/>
          <w:sz w:val="18"/>
          <w:szCs w:val="18"/>
          <w:i w:val="1"/>
          <w:iCs w:val="1"/>
          <w:color w:val="auto"/>
        </w:rPr>
        <w:t>Part II—Item 8. 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the quarter ended January 31, 2024 that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22, 2023, Eleanor Lacey, our Corporate Secretary and General Counsel, adopted a Rule 10b5-1 trading arrangement that is intended to satisfy the affirmative defense of Rule 10b5-1(c) for the sale of up to 134,894 shares of the Company’s Class A common stock. The Rule 10b5-1 trading arrangement provides for the sale of a percentage of shares to be received upon future vesting of certain outstanding equity awards, net of any shares withheld by us to satisfy applicable taxes. The number of shares to be withheld, and thus the exact number of shares to be sold pursuant to Ms. Lacey’s Rule 10b5-1 trading arrangement, can only be determined upon the occurrence of the future vesting events. For purposes of this disclosure, we have reported the maximum aggregate number of shares to be sold without subtracting any shares to be withheld upon future vesting events. The plan terminates on June 18, 2025, or upon the earlier completion of all authorized transactions under the plan.</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26, 2023, Tim Wan, our Chief Financial Officer, modified his existing Rule 10b5-1(c) trading arrangement, originally adopted on March 20, 2023 to amend the trading schedules under the plan. The modified trading arrangement is intended to satisfy the affirmative defense of Rule 10b5-1(c) for the sale of up to 50,000 shares of the Company’s Class A common stock. The amended plan terminates on April 12, 2025, or upon the earlier completion of all authorized transactions under the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investors.asana.com.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definitive Proxy Statement for our 2024 Annual Meeting of Stockholders, which will be filed with the SEC no later than 120 days after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January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January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69"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Consolidated Financial Statements are listed in the </w:t>
      </w:r>
      <w:r>
        <w:rPr>
          <w:rFonts w:ascii="Times New Roman" w:cs="Times New Roman" w:eastAsia="Times New Roman" w:hAnsi="Times New Roman"/>
          <w:sz w:val="18"/>
          <w:szCs w:val="18"/>
          <w:i w:val="1"/>
          <w:iCs w:val="1"/>
          <w:color w:val="auto"/>
        </w:rPr>
        <w:t>Index to Consolidated Financial Statements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Part II—Item 8.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 </w:t>
      </w:r>
      <w:r>
        <w:rPr>
          <w:rFonts w:ascii="Times New Roman" w:cs="Times New Roman" w:eastAsia="Times New Roman" w:hAnsi="Times New Roman"/>
          <w:sz w:val="18"/>
          <w:szCs w:val="18"/>
          <w:color w:val="auto"/>
        </w:rPr>
        <w:t>of this Annual Report on Form 10-K.</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herein.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00" w:type="dxa"/>
            <w:vAlign w:val="bottom"/>
            <w:gridSpan w:val="18"/>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8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gridSpan w:val="18"/>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bottom w:val="single" w:sz="8" w:color="0000FF"/>
            </w:tcBorders>
            <w:gridSpan w:val="11"/>
          </w:tcPr>
          <w:p>
            <w:pPr>
              <w:spacing w:after="0" w:line="155"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Restated Certificate of Incorporation of the Registrant</w:t>
              </w:r>
            </w:hyperlink>
          </w:p>
        </w:tc>
        <w:tc>
          <w:tcPr>
            <w:tcW w:w="1720" w:type="dxa"/>
            <w:vAlign w:val="bottom"/>
            <w:gridSpan w:val="11"/>
          </w:tcPr>
          <w:p>
            <w:pPr>
              <w:spacing w:after="0"/>
              <w:rPr>
                <w:sz w:val="13"/>
                <w:szCs w:val="13"/>
                <w:color w:val="auto"/>
              </w:rPr>
            </w:pPr>
          </w:p>
        </w:tc>
        <w:tc>
          <w:tcPr>
            <w:tcW w:w="8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September 21,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Amended and Restated Bylaws of the Registrant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12, 2023</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Omnibus Amendment to Financing Agreements</w:t>
              </w:r>
            </w:hyperlink>
          </w:p>
        </w:tc>
        <w:tc>
          <w:tcPr>
            <w:tcW w:w="20" w:type="dxa"/>
            <w:vAlign w:val="bottom"/>
            <w:tcBorders>
              <w:top w:val="single" w:sz="8" w:color="0000FF"/>
            </w:tcBorders>
          </w:tcPr>
          <w:p>
            <w:pPr>
              <w:spacing w:after="0"/>
              <w:rPr>
                <w:sz w:val="17"/>
                <w:szCs w:val="17"/>
                <w:color w:val="auto"/>
              </w:rPr>
            </w:pPr>
          </w:p>
        </w:tc>
        <w:tc>
          <w:tcPr>
            <w:tcW w:w="2040" w:type="dxa"/>
            <w:vAlign w:val="bottom"/>
            <w:gridSpan w:val="12"/>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9,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Description of Securities</w:t>
              </w:r>
            </w:hyperlink>
          </w:p>
        </w:tc>
        <w:tc>
          <w:tcPr>
            <w:tcW w:w="3400" w:type="dxa"/>
            <w:vAlign w:val="bottom"/>
            <w:gridSpan w:val="19"/>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2022</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Indemnification Agreement entered into between the Registrant and each</w:t>
              </w:r>
            </w:hyperlink>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00" w:type="dxa"/>
            <w:vAlign w:val="bottom"/>
            <w:tcBorders>
              <w:top w:val="single" w:sz="8" w:color="0000FF"/>
            </w:tcBorders>
            <w:gridSpan w:val="20"/>
          </w:tcPr>
          <w:p>
            <w:pPr>
              <w:spacing w:after="0" w:line="142"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of its directors and executive officers</w:t>
              </w:r>
            </w:hyperlink>
          </w:p>
        </w:tc>
        <w:tc>
          <w:tcPr>
            <w:tcW w:w="12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8"/>
                <w:szCs w:val="18"/>
                <w:color w:val="auto"/>
              </w:rPr>
            </w:pPr>
          </w:p>
        </w:tc>
        <w:tc>
          <w:tcPr>
            <w:tcW w:w="300" w:type="dxa"/>
            <w:vAlign w:val="bottom"/>
            <w:gridSpan w:val="2"/>
          </w:tcPr>
          <w:p>
            <w:pPr>
              <w:spacing w:after="0"/>
              <w:rPr>
                <w:rFonts w:ascii="Times New Roman" w:cs="Times New Roman" w:eastAsia="Times New Roman" w:hAnsi="Times New Roman"/>
                <w:sz w:val="14"/>
                <w:szCs w:val="14"/>
                <w:color w:val="0000FF"/>
                <w:w w:val="99"/>
              </w:rPr>
            </w:pPr>
            <w:hyperlink r:id="rId142">
              <w:r>
                <w:rPr>
                  <w:rFonts w:ascii="Times New Roman" w:cs="Times New Roman" w:eastAsia="Times New Roman" w:hAnsi="Times New Roman"/>
                  <w:sz w:val="14"/>
                  <w:szCs w:val="14"/>
                  <w:color w:val="0000FF"/>
                  <w:w w:val="99"/>
                </w:rPr>
                <w:t>2009</w:t>
              </w:r>
            </w:hyperlink>
          </w:p>
        </w:tc>
        <w:tc>
          <w:tcPr>
            <w:tcW w:w="4540" w:type="dxa"/>
            <w:vAlign w:val="bottom"/>
            <w:gridSpan w:val="21"/>
          </w:tcPr>
          <w:p>
            <w:pPr>
              <w:ind w:left="40"/>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Stock Plan, as amended, and forms of agreement thereunder</w:t>
              </w:r>
            </w:hyperlink>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2012 Stock Plan, and forms of agreement thereunder</w:t>
              </w:r>
            </w:hyperlink>
          </w:p>
        </w:tc>
        <w:tc>
          <w:tcPr>
            <w:tcW w:w="420" w:type="dxa"/>
            <w:vAlign w:val="bottom"/>
            <w:gridSpan w:val="6"/>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300" w:type="dxa"/>
            <w:vAlign w:val="bottom"/>
            <w:gridSpan w:val="2"/>
          </w:tcPr>
          <w:p>
            <w:pPr>
              <w:spacing w:after="0"/>
              <w:rPr>
                <w:rFonts w:ascii="Times New Roman" w:cs="Times New Roman" w:eastAsia="Times New Roman" w:hAnsi="Times New Roman"/>
                <w:sz w:val="14"/>
                <w:szCs w:val="14"/>
                <w:color w:val="0000FF"/>
                <w:w w:val="99"/>
              </w:rPr>
            </w:pPr>
            <w:hyperlink r:id="rId144">
              <w:r>
                <w:rPr>
                  <w:rFonts w:ascii="Times New Roman" w:cs="Times New Roman" w:eastAsia="Times New Roman" w:hAnsi="Times New Roman"/>
                  <w:sz w:val="14"/>
                  <w:szCs w:val="14"/>
                  <w:color w:val="0000FF"/>
                  <w:w w:val="99"/>
                </w:rPr>
                <w:t>2020</w:t>
              </w:r>
            </w:hyperlink>
          </w:p>
        </w:tc>
        <w:tc>
          <w:tcPr>
            <w:tcW w:w="4540" w:type="dxa"/>
            <w:vAlign w:val="bottom"/>
            <w:gridSpan w:val="21"/>
          </w:tcPr>
          <w:p>
            <w:pPr>
              <w:ind w:left="40"/>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Equity Incentive Plan, and forms of agreement thereunder</w:t>
              </w:r>
            </w:hyperlink>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7"/>
                <w:szCs w:val="17"/>
                <w:color w:val="auto"/>
              </w:rPr>
            </w:pPr>
          </w:p>
        </w:tc>
        <w:tc>
          <w:tcPr>
            <w:tcW w:w="300" w:type="dxa"/>
            <w:vAlign w:val="bottom"/>
            <w:gridSpan w:val="2"/>
          </w:tcPr>
          <w:p>
            <w:pPr>
              <w:spacing w:after="0"/>
              <w:rPr>
                <w:rFonts w:ascii="Times New Roman" w:cs="Times New Roman" w:eastAsia="Times New Roman" w:hAnsi="Times New Roman"/>
                <w:sz w:val="14"/>
                <w:szCs w:val="14"/>
                <w:color w:val="0000FF"/>
                <w:w w:val="99"/>
              </w:rPr>
            </w:pPr>
            <w:hyperlink r:id="rId145">
              <w:r>
                <w:rPr>
                  <w:rFonts w:ascii="Times New Roman" w:cs="Times New Roman" w:eastAsia="Times New Roman" w:hAnsi="Times New Roman"/>
                  <w:sz w:val="14"/>
                  <w:szCs w:val="14"/>
                  <w:color w:val="0000FF"/>
                  <w:w w:val="99"/>
                </w:rPr>
                <w:t>2020</w:t>
              </w:r>
            </w:hyperlink>
          </w:p>
        </w:tc>
        <w:tc>
          <w:tcPr>
            <w:tcW w:w="4540" w:type="dxa"/>
            <w:vAlign w:val="bottom"/>
            <w:gridSpan w:val="21"/>
          </w:tcPr>
          <w:p>
            <w:pPr>
              <w:ind w:left="40"/>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(No Holding Period) (Hybrid)</w:t>
              </w:r>
            </w:hyperlink>
          </w:p>
        </w:tc>
        <w:tc>
          <w:tcPr>
            <w:tcW w:w="2860" w:type="dxa"/>
            <w:vAlign w:val="bottom"/>
            <w:tcBorders>
              <w:top w:val="single" w:sz="8" w:color="0000FF"/>
            </w:tcBorders>
            <w:gridSpan w:val="15"/>
          </w:tcPr>
          <w:p>
            <w:pPr>
              <w:spacing w:after="0"/>
              <w:rPr>
                <w:sz w:val="12"/>
                <w:szCs w:val="12"/>
                <w:color w:val="auto"/>
              </w:rPr>
            </w:pPr>
          </w:p>
        </w:tc>
        <w:tc>
          <w:tcPr>
            <w:tcW w:w="2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8"/>
                <w:szCs w:val="18"/>
                <w:color w:val="auto"/>
              </w:rPr>
            </w:pPr>
          </w:p>
        </w:tc>
        <w:tc>
          <w:tcPr>
            <w:tcW w:w="300" w:type="dxa"/>
            <w:vAlign w:val="bottom"/>
            <w:gridSpan w:val="2"/>
          </w:tcPr>
          <w:p>
            <w:pPr>
              <w:spacing w:after="0"/>
              <w:rPr>
                <w:rFonts w:ascii="Times New Roman" w:cs="Times New Roman" w:eastAsia="Times New Roman" w:hAnsi="Times New Roman"/>
                <w:sz w:val="14"/>
                <w:szCs w:val="14"/>
                <w:color w:val="0000FF"/>
                <w:w w:val="99"/>
              </w:rPr>
            </w:pPr>
            <w:hyperlink r:id="rId146">
              <w:r>
                <w:rPr>
                  <w:rFonts w:ascii="Times New Roman" w:cs="Times New Roman" w:eastAsia="Times New Roman" w:hAnsi="Times New Roman"/>
                  <w:sz w:val="14"/>
                  <w:szCs w:val="14"/>
                  <w:color w:val="0000FF"/>
                  <w:w w:val="99"/>
                </w:rPr>
                <w:t>2020</w:t>
              </w:r>
            </w:hyperlink>
          </w:p>
        </w:tc>
        <w:tc>
          <w:tcPr>
            <w:tcW w:w="4540" w:type="dxa"/>
            <w:vAlign w:val="bottom"/>
            <w:gridSpan w:val="21"/>
          </w:tcPr>
          <w:p>
            <w:pPr>
              <w:ind w:left="40"/>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(One- or Two-Year Holding Period) (Hybrid)</w:t>
              </w:r>
            </w:hyperlink>
          </w:p>
        </w:tc>
        <w:tc>
          <w:tcPr>
            <w:tcW w:w="1980" w:type="dxa"/>
            <w:vAlign w:val="bottom"/>
            <w:tcBorders>
              <w:top w:val="single" w:sz="8" w:color="0000FF"/>
            </w:tcBorders>
            <w:gridSpan w:val="11"/>
          </w:tcPr>
          <w:p>
            <w:pPr>
              <w:spacing w:after="0"/>
              <w:rPr>
                <w:sz w:val="12"/>
                <w:szCs w:val="12"/>
                <w:color w:val="auto"/>
              </w:rPr>
            </w:pPr>
          </w:p>
        </w:tc>
        <w:tc>
          <w:tcPr>
            <w:tcW w:w="2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8"/>
                <w:szCs w:val="18"/>
                <w:color w:val="auto"/>
              </w:rPr>
            </w:pPr>
          </w:p>
        </w:tc>
        <w:tc>
          <w:tcPr>
            <w:tcW w:w="300" w:type="dxa"/>
            <w:vAlign w:val="bottom"/>
            <w:gridSpan w:val="2"/>
          </w:tcPr>
          <w:p>
            <w:pPr>
              <w:spacing w:after="0"/>
              <w:rPr>
                <w:rFonts w:ascii="Times New Roman" w:cs="Times New Roman" w:eastAsia="Times New Roman" w:hAnsi="Times New Roman"/>
                <w:sz w:val="14"/>
                <w:szCs w:val="14"/>
                <w:color w:val="0000FF"/>
                <w:w w:val="99"/>
              </w:rPr>
            </w:pPr>
            <w:hyperlink r:id="rId147">
              <w:r>
                <w:rPr>
                  <w:rFonts w:ascii="Times New Roman" w:cs="Times New Roman" w:eastAsia="Times New Roman" w:hAnsi="Times New Roman"/>
                  <w:sz w:val="14"/>
                  <w:szCs w:val="14"/>
                  <w:color w:val="0000FF"/>
                  <w:w w:val="99"/>
                </w:rPr>
                <w:t>2020</w:t>
              </w:r>
            </w:hyperlink>
          </w:p>
        </w:tc>
        <w:tc>
          <w:tcPr>
            <w:tcW w:w="4540" w:type="dxa"/>
            <w:vAlign w:val="bottom"/>
            <w:gridSpan w:val="21"/>
          </w:tcPr>
          <w:p>
            <w:pPr>
              <w:ind w:left="40"/>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 2022</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(No Holding Period) (Hybrid)</w:t>
              </w:r>
            </w:hyperlink>
          </w:p>
        </w:tc>
        <w:tc>
          <w:tcPr>
            <w:tcW w:w="2860" w:type="dxa"/>
            <w:vAlign w:val="bottom"/>
            <w:tcBorders>
              <w:top w:val="single" w:sz="8" w:color="0000FF"/>
            </w:tcBorders>
            <w:gridSpan w:val="15"/>
          </w:tcPr>
          <w:p>
            <w:pPr>
              <w:spacing w:after="0"/>
              <w:rPr>
                <w:sz w:val="12"/>
                <w:szCs w:val="12"/>
                <w:color w:val="auto"/>
              </w:rPr>
            </w:pPr>
          </w:p>
        </w:tc>
        <w:tc>
          <w:tcPr>
            <w:tcW w:w="2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8"/>
                <w:szCs w:val="18"/>
                <w:color w:val="auto"/>
              </w:rPr>
            </w:pPr>
          </w:p>
        </w:tc>
        <w:tc>
          <w:tcPr>
            <w:tcW w:w="300" w:type="dxa"/>
            <w:vAlign w:val="bottom"/>
            <w:gridSpan w:val="2"/>
          </w:tcPr>
          <w:p>
            <w:pPr>
              <w:spacing w:after="0"/>
              <w:rPr>
                <w:rFonts w:ascii="Times New Roman" w:cs="Times New Roman" w:eastAsia="Times New Roman" w:hAnsi="Times New Roman"/>
                <w:sz w:val="14"/>
                <w:szCs w:val="14"/>
                <w:color w:val="0000FF"/>
                <w:w w:val="99"/>
              </w:rPr>
            </w:pPr>
            <w:hyperlink r:id="rId148">
              <w:r>
                <w:rPr>
                  <w:rFonts w:ascii="Times New Roman" w:cs="Times New Roman" w:eastAsia="Times New Roman" w:hAnsi="Times New Roman"/>
                  <w:sz w:val="14"/>
                  <w:szCs w:val="14"/>
                  <w:color w:val="0000FF"/>
                  <w:w w:val="99"/>
                </w:rPr>
                <w:t>2020</w:t>
              </w:r>
            </w:hyperlink>
          </w:p>
        </w:tc>
        <w:tc>
          <w:tcPr>
            <w:tcW w:w="4540" w:type="dxa"/>
            <w:vAlign w:val="bottom"/>
            <w:gridSpan w:val="21"/>
          </w:tcPr>
          <w:p>
            <w:pPr>
              <w:ind w:left="40"/>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 2022</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tcBorders>
            <w:gridSpan w:val="19"/>
          </w:tcPr>
          <w:p>
            <w:pPr>
              <w:spacing w:after="0" w:line="142"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(One- or Two-Year Holding Period) (Hybrid)</w:t>
              </w:r>
            </w:hyperlink>
          </w:p>
        </w:tc>
        <w:tc>
          <w:tcPr>
            <w:tcW w:w="2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8"/>
                <w:szCs w:val="18"/>
                <w:color w:val="auto"/>
              </w:rPr>
            </w:pPr>
          </w:p>
        </w:tc>
        <w:tc>
          <w:tcPr>
            <w:tcW w:w="300" w:type="dxa"/>
            <w:vAlign w:val="bottom"/>
            <w:gridSpan w:val="2"/>
          </w:tcPr>
          <w:p>
            <w:pPr>
              <w:spacing w:after="0"/>
              <w:rPr>
                <w:rFonts w:ascii="Times New Roman" w:cs="Times New Roman" w:eastAsia="Times New Roman" w:hAnsi="Times New Roman"/>
                <w:sz w:val="14"/>
                <w:szCs w:val="14"/>
                <w:color w:val="0000FF"/>
                <w:w w:val="99"/>
              </w:rPr>
            </w:pPr>
            <w:hyperlink r:id="rId149">
              <w:r>
                <w:rPr>
                  <w:rFonts w:ascii="Times New Roman" w:cs="Times New Roman" w:eastAsia="Times New Roman" w:hAnsi="Times New Roman"/>
                  <w:sz w:val="14"/>
                  <w:szCs w:val="14"/>
                  <w:color w:val="0000FF"/>
                  <w:w w:val="99"/>
                </w:rPr>
                <w:t>2020</w:t>
              </w:r>
            </w:hyperlink>
          </w:p>
        </w:tc>
        <w:tc>
          <w:tcPr>
            <w:tcW w:w="4540" w:type="dxa"/>
            <w:vAlign w:val="bottom"/>
            <w:gridSpan w:val="21"/>
          </w:tcPr>
          <w:p>
            <w:pPr>
              <w:ind w:left="40"/>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Employee Stock Purchase Plan</w:t>
              </w:r>
            </w:hyperlink>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Amended and Restated Non-Employee Director Compensation Policy</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 2023</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tcBorders>
            <w:gridSpan w:val="15"/>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Directors Deferred Compensation Plan</w:t>
              </w:r>
            </w:hyperlink>
          </w:p>
        </w:tc>
        <w:tc>
          <w:tcPr>
            <w:tcW w:w="800" w:type="dxa"/>
            <w:vAlign w:val="bottom"/>
            <w:gridSpan w:val="7"/>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Asana France SAS Equity Sub-Plan and Form of RSU Grant Notice and Award</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18"/>
          </w:tcPr>
          <w:p>
            <w:pPr>
              <w:spacing w:after="0" w:line="142"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Agreement</w:t>
              </w:r>
            </w:hyperlink>
          </w:p>
        </w:tc>
        <w:tc>
          <w:tcPr>
            <w:tcW w:w="260" w:type="dxa"/>
            <w:vAlign w:val="bottom"/>
            <w:gridSpan w:val="4"/>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gridSpan w:val="22"/>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Executive Severance and Change in Control Benefit Plan</w:t>
              </w:r>
            </w:hyperlink>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12"/>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22"/>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Offer Letter between Dustin Moskovitz and the Registrant, dated August 20,</w:t>
              </w:r>
            </w:hyperlink>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4"/>
                <w:szCs w:val="14"/>
                <w:color w:val="0000FF"/>
                <w:w w:val="92"/>
              </w:rPr>
            </w:pPr>
            <w:hyperlink r:id="rId154">
              <w:r>
                <w:rPr>
                  <w:rFonts w:ascii="Times New Roman" w:cs="Times New Roman" w:eastAsia="Times New Roman" w:hAnsi="Times New Roman"/>
                  <w:sz w:val="14"/>
                  <w:szCs w:val="14"/>
                  <w:color w:val="0000FF"/>
                  <w:w w:val="92"/>
                </w:rPr>
                <w:t>2020</w:t>
              </w:r>
            </w:hyperlink>
          </w:p>
        </w:tc>
        <w:tc>
          <w:tcPr>
            <w:tcW w:w="34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Offer Letter between Eleanor Lacey and the Registrant, dated August 21, 2020</w:t>
              </w:r>
            </w:hyperlink>
          </w:p>
        </w:tc>
        <w:tc>
          <w:tcPr>
            <w:tcW w:w="300" w:type="dxa"/>
            <w:vAlign w:val="bottom"/>
            <w:gridSpan w:val="5"/>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424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Offer Letter between Tim Wan and the Registrant, dated August 20, 2020</w:t>
              </w:r>
            </w:hyperlink>
          </w:p>
        </w:tc>
        <w:tc>
          <w:tcPr>
            <w:tcW w:w="660" w:type="dxa"/>
            <w:vAlign w:val="bottom"/>
            <w:gridSpan w:val="15"/>
          </w:tcPr>
          <w:p>
            <w:pPr>
              <w:spacing w:after="0"/>
              <w:rPr>
                <w:sz w:val="13"/>
                <w:szCs w:val="13"/>
                <w:color w:val="auto"/>
              </w:rPr>
            </w:pP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S-1</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333-248303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August 24, 2020</w:t>
            </w: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466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Offer Letter between Anne Raimondi and the Registrant, dated August 27, 2021</w:t>
              </w:r>
            </w:hyperlink>
          </w:p>
        </w:tc>
        <w:tc>
          <w:tcPr>
            <w:tcW w:w="240" w:type="dxa"/>
            <w:vAlign w:val="bottom"/>
            <w:gridSpan w:val="3"/>
          </w:tcPr>
          <w:p>
            <w:pPr>
              <w:spacing w:after="0"/>
              <w:rPr>
                <w:sz w:val="17"/>
                <w:szCs w:val="17"/>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1, 2021</w:t>
            </w: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4900" w:type="dxa"/>
            <w:vAlign w:val="bottom"/>
            <w:gridSpan w:val="27"/>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Lease between Swig 631 Folsom, LLC, SIC Holdings, LLC and the Registrant,</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S-1</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333-248303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August 24, 2020</w:t>
            </w:r>
          </w:p>
        </w:tc>
      </w:tr>
      <w:tr>
        <w:trPr>
          <w:trHeight w:val="142"/>
        </w:trPr>
        <w:tc>
          <w:tcPr>
            <w:tcW w:w="1280" w:type="dxa"/>
            <w:vAlign w:val="bottom"/>
          </w:tcPr>
          <w:p>
            <w:pPr>
              <w:spacing w:after="0"/>
              <w:rPr>
                <w:sz w:val="12"/>
                <w:szCs w:val="12"/>
                <w:color w:val="auto"/>
              </w:rPr>
            </w:pPr>
          </w:p>
        </w:tc>
        <w:tc>
          <w:tcPr>
            <w:tcW w:w="4580" w:type="dxa"/>
            <w:vAlign w:val="bottom"/>
            <w:tcBorders>
              <w:top w:val="single" w:sz="8" w:color="0000FF"/>
            </w:tcBorders>
            <w:gridSpan w:val="20"/>
          </w:tcPr>
          <w:p>
            <w:pPr>
              <w:spacing w:after="0" w:line="142"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dated as of February 22,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4900" w:type="dxa"/>
            <w:vAlign w:val="bottom"/>
            <w:gridSpan w:val="27"/>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Commencement Date Memoranda to Lease between Swig 631 Folsom, LLC, SIC</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3, 2021</w:t>
            </w:r>
          </w:p>
        </w:tc>
      </w:tr>
      <w:tr>
        <w:trPr>
          <w:trHeight w:val="142"/>
        </w:trPr>
        <w:tc>
          <w:tcPr>
            <w:tcW w:w="12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Holdings, LLC and the Registrant, dated as of May 17, 2021</w:t>
              </w:r>
            </w:hyperlink>
          </w:p>
        </w:tc>
        <w:tc>
          <w:tcPr>
            <w:tcW w:w="1220" w:type="dxa"/>
            <w:vAlign w:val="bottom"/>
            <w:tcBorders>
              <w:top w:val="single" w:sz="8" w:color="0000FF"/>
            </w:tcBorders>
            <w:gridSpan w:val="15"/>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0"/>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10.20</w:t>
            </w:r>
          </w:p>
        </w:tc>
        <w:tc>
          <w:tcPr>
            <w:tcW w:w="4900" w:type="dxa"/>
            <w:vAlign w:val="bottom"/>
            <w:gridSpan w:val="27"/>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Voting Agreement dated as of August 13, 2021, by and between Good Ventures</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3, 2021</w:t>
            </w:r>
          </w:p>
        </w:tc>
      </w:tr>
      <w:tr>
        <w:trPr>
          <w:trHeight w:val="142"/>
        </w:trPr>
        <w:tc>
          <w:tcPr>
            <w:tcW w:w="128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Foundation and Dustin Moskovitz</w:t>
              </w:r>
            </w:hyperlink>
          </w:p>
        </w:tc>
        <w:tc>
          <w:tcPr>
            <w:tcW w:w="26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10.21</w:t>
            </w:r>
          </w:p>
        </w:tc>
        <w:tc>
          <w:tcPr>
            <w:tcW w:w="4900" w:type="dxa"/>
            <w:vAlign w:val="bottom"/>
            <w:gridSpan w:val="27"/>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Share Purchase Agreement, dated September 6, 2022, by and among Asana, Inc.</w:t>
              </w:r>
            </w:hyperlink>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7, 2022</w:t>
            </w:r>
          </w:p>
        </w:tc>
      </w:tr>
      <w:tr>
        <w:trPr>
          <w:trHeight w:val="142"/>
        </w:trPr>
        <w:tc>
          <w:tcPr>
            <w:tcW w:w="128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and the purchaser named therein</w:t>
              </w:r>
            </w:hyperlink>
          </w:p>
        </w:tc>
        <w:tc>
          <w:tcPr>
            <w:tcW w:w="278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0"/>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10.22</w:t>
            </w:r>
          </w:p>
        </w:tc>
        <w:tc>
          <w:tcPr>
            <w:tcW w:w="458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Credit Agreement, dated as of November 7, 2022, by and among the Company,</w:t>
              </w:r>
            </w:hyperlink>
          </w:p>
        </w:tc>
        <w:tc>
          <w:tcPr>
            <w:tcW w:w="320" w:type="dxa"/>
            <w:vAlign w:val="bottom"/>
            <w:gridSpan w:val="7"/>
          </w:tcPr>
          <w:p>
            <w:pPr>
              <w:spacing w:after="0"/>
              <w:rPr>
                <w:sz w:val="18"/>
                <w:szCs w:val="18"/>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November 10, 2022</w:t>
            </w:r>
          </w:p>
        </w:tc>
      </w:tr>
      <w:tr>
        <w:trPr>
          <w:trHeight w:val="142"/>
        </w:trPr>
        <w:tc>
          <w:tcPr>
            <w:tcW w:w="1280" w:type="dxa"/>
            <w:vAlign w:val="bottom"/>
          </w:tcPr>
          <w:p>
            <w:pPr>
              <w:spacing w:after="0"/>
              <w:rPr>
                <w:sz w:val="12"/>
                <w:szCs w:val="12"/>
                <w:color w:val="auto"/>
              </w:rPr>
            </w:pPr>
          </w:p>
        </w:tc>
        <w:tc>
          <w:tcPr>
            <w:tcW w:w="4680" w:type="dxa"/>
            <w:vAlign w:val="bottom"/>
            <w:tcBorders>
              <w:bottom w:val="single" w:sz="8" w:color="0000FF"/>
            </w:tcBorders>
            <w:gridSpan w:val="25"/>
          </w:tcPr>
          <w:p>
            <w:pPr>
              <w:spacing w:after="0" w:line="142"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Silicon Valley Bank, as issuing lender, the swingline lender, administrative agent</w:t>
              </w:r>
            </w:hyperlink>
          </w:p>
        </w:tc>
        <w:tc>
          <w:tcPr>
            <w:tcW w:w="22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5"/>
        </w:trPr>
        <w:tc>
          <w:tcPr>
            <w:tcW w:w="1280" w:type="dxa"/>
            <w:vAlign w:val="bottom"/>
          </w:tcPr>
          <w:p>
            <w:pPr>
              <w:spacing w:after="0"/>
              <w:rPr>
                <w:sz w:val="13"/>
                <w:szCs w:val="13"/>
                <w:color w:val="auto"/>
              </w:rPr>
            </w:pPr>
          </w:p>
        </w:tc>
        <w:tc>
          <w:tcPr>
            <w:tcW w:w="4900" w:type="dxa"/>
            <w:vAlign w:val="bottom"/>
            <w:gridSpan w:val="27"/>
          </w:tcPr>
          <w:p>
            <w:pPr>
              <w:spacing w:after="0" w:line="155"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and collateral agent, and each of the lenders identified on the signature pages</w:t>
              </w:r>
            </w:hyperlink>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2"/>
        </w:trPr>
        <w:tc>
          <w:tcPr>
            <w:tcW w:w="1280" w:type="dxa"/>
            <w:vAlign w:val="bottom"/>
          </w:tcPr>
          <w:p>
            <w:pPr>
              <w:spacing w:after="0"/>
              <w:rPr>
                <w:sz w:val="12"/>
                <w:szCs w:val="12"/>
                <w:color w:val="auto"/>
              </w:rPr>
            </w:pPr>
          </w:p>
        </w:tc>
        <w:tc>
          <w:tcPr>
            <w:tcW w:w="4440" w:type="dxa"/>
            <w:vAlign w:val="bottom"/>
            <w:tcBorders>
              <w:top w:val="single" w:sz="8" w:color="0000FF"/>
            </w:tcBorders>
            <w:gridSpan w:val="16"/>
          </w:tcPr>
          <w:p>
            <w:pPr>
              <w:spacing w:after="0" w:line="142"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10.23</w:t>
            </w:r>
          </w:p>
        </w:tc>
        <w:tc>
          <w:tcPr>
            <w:tcW w:w="4900" w:type="dxa"/>
            <w:vAlign w:val="bottom"/>
            <w:gridSpan w:val="27"/>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First Amendment to Credit Agreement, dated April 13, 2023, by and among the</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June 1, 2023</w:t>
            </w:r>
          </w:p>
        </w:tc>
      </w:tr>
      <w:tr>
        <w:trPr>
          <w:trHeight w:val="142"/>
        </w:trPr>
        <w:tc>
          <w:tcPr>
            <w:tcW w:w="128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Company and Silicon Valley Bank, a division of First-Citizens Bank &amp; Trust</w:t>
              </w:r>
            </w:hyperlink>
          </w:p>
        </w:tc>
        <w:tc>
          <w:tcPr>
            <w:tcW w:w="18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5"/>
        </w:trPr>
        <w:tc>
          <w:tcPr>
            <w:tcW w:w="1280" w:type="dxa"/>
            <w:vAlign w:val="bottom"/>
          </w:tcPr>
          <w:p>
            <w:pPr>
              <w:spacing w:after="0"/>
              <w:rPr>
                <w:sz w:val="13"/>
                <w:szCs w:val="13"/>
                <w:color w:val="auto"/>
              </w:rPr>
            </w:pPr>
          </w:p>
        </w:tc>
        <w:tc>
          <w:tcPr>
            <w:tcW w:w="4900" w:type="dxa"/>
            <w:vAlign w:val="bottom"/>
            <w:gridSpan w:val="27"/>
          </w:tcPr>
          <w:p>
            <w:pPr>
              <w:spacing w:after="0" w:line="155"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Company, as issuing lender, the swingline Lender, administrative agent and</w:t>
              </w:r>
            </w:hyperlink>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2"/>
        </w:trPr>
        <w:tc>
          <w:tcPr>
            <w:tcW w:w="1280" w:type="dxa"/>
            <w:vAlign w:val="bottom"/>
          </w:tcPr>
          <w:p>
            <w:pPr>
              <w:spacing w:after="0"/>
              <w:rPr>
                <w:sz w:val="12"/>
                <w:szCs w:val="12"/>
                <w:color w:val="auto"/>
              </w:rPr>
            </w:pPr>
          </w:p>
        </w:tc>
        <w:tc>
          <w:tcPr>
            <w:tcW w:w="9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collateral agent</w:t>
              </w:r>
            </w:hyperlink>
          </w:p>
        </w:tc>
        <w:tc>
          <w:tcPr>
            <w:tcW w:w="346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6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List of subsidiaries</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Power of Attorney (included in the signature pages attached to this Annual</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42"/>
        </w:trPr>
        <w:tc>
          <w:tcPr>
            <w:tcW w:w="1280" w:type="dxa"/>
            <w:vAlign w:val="bottom"/>
          </w:tcPr>
          <w:p>
            <w:pPr>
              <w:spacing w:after="0"/>
              <w:rPr>
                <w:sz w:val="12"/>
                <w:szCs w:val="12"/>
                <w:color w:val="auto"/>
              </w:rPr>
            </w:pPr>
          </w:p>
        </w:tc>
        <w:tc>
          <w:tcPr>
            <w:tcW w:w="432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4"/>
                <w:szCs w:val="14"/>
                <w:color w:val="0000FF"/>
              </w:rPr>
              <w:t>Report on Form 10-K)</w:t>
            </w: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6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42"/>
        </w:trPr>
        <w:tc>
          <w:tcPr>
            <w:tcW w:w="128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4"/>
                <w:szCs w:val="14"/>
                <w:color w:val="0000FF"/>
              </w:rPr>
              <w:t>14(a) and 15d-14(a), as adopted pursuant to Section 302 of the Sarbanes-Oxley</w:t>
            </w:r>
          </w:p>
        </w:tc>
        <w:tc>
          <w:tcPr>
            <w:tcW w:w="8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26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700" w:type="dxa"/>
            <w:vAlign w:val="bottom"/>
            <w:tcBorders>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rPr>
              <w:t>Act of 2002</w:t>
            </w:r>
          </w:p>
        </w:tc>
        <w:tc>
          <w:tcPr>
            <w:tcW w:w="4200" w:type="dxa"/>
            <w:vAlign w:val="bottom"/>
            <w:gridSpan w:val="25"/>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w:t>
            </w:r>
          </w:p>
        </w:tc>
        <w:tc>
          <w:tcPr>
            <w:tcW w:w="44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42"/>
        </w:trPr>
        <w:tc>
          <w:tcPr>
            <w:tcW w:w="1280" w:type="dxa"/>
            <w:vAlign w:val="bottom"/>
          </w:tcPr>
          <w:p>
            <w:pPr>
              <w:spacing w:after="0"/>
              <w:rPr>
                <w:sz w:val="12"/>
                <w:szCs w:val="12"/>
                <w:color w:val="auto"/>
              </w:rPr>
            </w:pPr>
          </w:p>
        </w:tc>
        <w:tc>
          <w:tcPr>
            <w:tcW w:w="4900" w:type="dxa"/>
            <w:vAlign w:val="bottom"/>
            <w:gridSpan w:val="27"/>
          </w:tcPr>
          <w:p>
            <w:pPr>
              <w:spacing w:after="0" w:line="142" w:lineRule="exact"/>
              <w:rPr>
                <w:sz w:val="20"/>
                <w:szCs w:val="20"/>
                <w:color w:val="auto"/>
              </w:rPr>
            </w:pPr>
            <w:r>
              <w:rPr>
                <w:rFonts w:ascii="Times New Roman" w:cs="Times New Roman" w:eastAsia="Times New Roman" w:hAnsi="Times New Roman"/>
                <w:sz w:val="14"/>
                <w:szCs w:val="14"/>
                <w:color w:val="0000FF"/>
              </w:rPr>
              <w:t>14(a) and 15d-14(a), as adopted pursuant to Section 302 of the Sarbanes-Oxley</w:t>
            </w: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5"/>
        </w:trPr>
        <w:tc>
          <w:tcPr>
            <w:tcW w:w="1280" w:type="dxa"/>
            <w:vAlign w:val="bottom"/>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rPr>
              <w:t>Act of 2002</w:t>
            </w:r>
          </w:p>
        </w:tc>
        <w:tc>
          <w:tcPr>
            <w:tcW w:w="3860" w:type="dxa"/>
            <w:vAlign w:val="bottom"/>
            <w:tcBorders>
              <w:top w:val="single" w:sz="8" w:color="0000FF"/>
            </w:tcBorders>
            <w:gridSpan w:val="17"/>
          </w:tcPr>
          <w:p>
            <w:pPr>
              <w:spacing w:after="0"/>
              <w:rPr>
                <w:sz w:val="13"/>
                <w:szCs w:val="13"/>
                <w:color w:val="auto"/>
              </w:rPr>
            </w:pPr>
          </w:p>
        </w:tc>
        <w:tc>
          <w:tcPr>
            <w:tcW w:w="340" w:type="dxa"/>
            <w:vAlign w:val="bottom"/>
            <w:gridSpan w:val="8"/>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and Chief Financial Officer pursuant to</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42"/>
        </w:trPr>
        <w:tc>
          <w:tcPr>
            <w:tcW w:w="128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4"/>
                <w:szCs w:val="14"/>
                <w:color w:val="0000FF"/>
              </w:rPr>
              <w:t>18 U.S.C. Section 1350, as adopted pursuant to Section 906 of the Sarbanes-</w:t>
            </w:r>
          </w:p>
        </w:tc>
        <w:tc>
          <w:tcPr>
            <w:tcW w:w="220" w:type="dxa"/>
            <w:vAlign w:val="bottom"/>
            <w:tcBorders>
              <w:top w:val="single" w:sz="8" w:color="0000FF"/>
            </w:tcBorders>
            <w:gridSpan w:val="8"/>
          </w:tcPr>
          <w:p>
            <w:pPr>
              <w:spacing w:after="0"/>
              <w:rPr>
                <w:sz w:val="12"/>
                <w:szCs w:val="12"/>
                <w:color w:val="auto"/>
              </w:rPr>
            </w:pPr>
          </w:p>
        </w:tc>
        <w:tc>
          <w:tcPr>
            <w:tcW w:w="26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5"/>
        </w:trPr>
        <w:tc>
          <w:tcPr>
            <w:tcW w:w="1280" w:type="dxa"/>
            <w:vAlign w:val="bottom"/>
          </w:tcPr>
          <w:p>
            <w:pPr>
              <w:spacing w:after="0"/>
              <w:rPr>
                <w:sz w:val="13"/>
                <w:szCs w:val="13"/>
                <w:color w:val="auto"/>
              </w:rPr>
            </w:pPr>
          </w:p>
        </w:tc>
        <w:tc>
          <w:tcPr>
            <w:tcW w:w="4900" w:type="dxa"/>
            <w:vAlign w:val="bottom"/>
            <w:gridSpan w:val="27"/>
          </w:tcPr>
          <w:p>
            <w:pPr>
              <w:spacing w:after="0" w:line="155" w:lineRule="exact"/>
              <w:rPr>
                <w:sz w:val="20"/>
                <w:szCs w:val="20"/>
                <w:color w:val="auto"/>
              </w:rPr>
            </w:pPr>
            <w:r>
              <w:rPr>
                <w:rFonts w:ascii="Times New Roman" w:cs="Times New Roman" w:eastAsia="Times New Roman" w:hAnsi="Times New Roman"/>
                <w:sz w:val="14"/>
                <w:szCs w:val="14"/>
                <w:color w:val="0000FF"/>
              </w:rPr>
              <w:t>Oxley Act of 2002</w:t>
            </w: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11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Clawback Policy</w:t>
            </w:r>
          </w:p>
        </w:tc>
        <w:tc>
          <w:tcPr>
            <w:tcW w:w="3800" w:type="dxa"/>
            <w:vAlign w:val="bottom"/>
            <w:gridSpan w:val="22"/>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920" w:type="dxa"/>
            <w:vAlign w:val="bottom"/>
            <w:gridSpan w:val="2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7"/>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490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28" w:lineRule="exact"/>
        <w:rPr>
          <w:sz w:val="20"/>
          <w:szCs w:val="20"/>
          <w:color w:val="auto"/>
        </w:rPr>
      </w:pPr>
    </w:p>
    <w:p>
      <w:pPr>
        <w:ind w:left="1300" w:right="5340" w:hanging="1274"/>
        <w:spacing w:after="0" w:line="282" w:lineRule="auto"/>
        <w:tabs>
          <w:tab w:leader="none" w:pos="13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 page from the Registrant’s Annual Report on Form 10-K for the year ended January 31, 2024, has been formatted in Inline XBRL</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171" w:lineRule="exact"/>
        <w:rPr>
          <w:sz w:val="20"/>
          <w:szCs w:val="20"/>
          <w:color w:val="auto"/>
        </w:rPr>
      </w:pPr>
    </w:p>
    <w:p>
      <w:pPr>
        <w:jc w:val="both"/>
        <w:ind w:firstLine="332"/>
        <w:spacing w:after="0" w:line="266" w:lineRule="auto"/>
        <w:tabs>
          <w:tab w:leader="none" w:pos="4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7" w:name="page118"/>
    <w:bookmarkEnd w:id="11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Dustin Moskovitz</w:t>
      </w:r>
    </w:p>
    <w:p>
      <w:pPr>
        <w:spacing w:after="0" w:line="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March 14, 2024</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4445</wp:posOffset>
            </wp:positionV>
            <wp:extent cx="33515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Dustin Moskovitz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Tim Wan</w:t>
      </w:r>
    </w:p>
    <w:p>
      <w:pPr>
        <w:spacing w:after="0" w:line="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March 14, 2024</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4445</wp:posOffset>
            </wp:positionV>
            <wp:extent cx="33515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Tim Wan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Dustin Moskovitz, Tim Wan, and Eleanor Lacey,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in the capacities and on the dates indicated:</w:t>
      </w:r>
    </w:p>
    <w:p>
      <w:pPr>
        <w:sectPr>
          <w:pgSz w:w="11900" w:h="16838" w:orient="portrait"/>
          <w:cols w:equalWidth="0" w:num="1">
            <w:col w:w="11240"/>
          </w:cols>
          <w:pgMar w:left="320" w:top="1440" w:right="339" w:bottom="1440" w:gutter="0" w:footer="0" w:header="0"/>
        </w:sectPr>
      </w:pP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Dustin Moskovitz</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Tim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Tim Wan</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Krista Anderson-Copperman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517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Krista Anderson-Copperman</w:t>
      </w:r>
    </w:p>
    <w:p>
      <w:pPr>
        <w:spacing w:after="0" w:line="1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Sydney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Sydney Carey</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Matthew Cohler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Matthew Cohler</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Adam D’Angelo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Adam D’Angelo</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Andrew Lindsay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Andrew Lindsay</w:t>
      </w:r>
    </w:p>
    <w:p>
      <w:pPr>
        <w:spacing w:after="0" w:line="1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Lorrie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Lorrie Norrington</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Justin Rosenstein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Justin Rosenstein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10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President, Chief Executive Officer, and Chair</w:t>
      </w:r>
    </w:p>
    <w:p>
      <w:pPr>
        <w:jc w:val="center"/>
        <w:ind w:right="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76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31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346" w:lineRule="exact"/>
        <w:rPr>
          <w:sz w:val="20"/>
          <w:szCs w:val="20"/>
          <w:color w:val="auto"/>
        </w:rPr>
      </w:pPr>
    </w:p>
    <w:p>
      <w:pPr>
        <w:sectPr>
          <w:pgSz w:w="11900" w:h="16838" w:orient="portrait"/>
          <w:cols w:equalWidth="0" w:num="3">
            <w:col w:w="3940" w:space="720"/>
            <w:col w:w="4040" w:space="720"/>
            <w:col w:w="18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1240"/>
          </w:cols>
          <w:pgMar w:left="320" w:top="1440" w:right="339" w:bottom="1440" w:gutter="0" w:footer="0" w:header="0"/>
          <w:type w:val="continuous"/>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SUBSIDIARY LIST</w:t>
      </w:r>
    </w:p>
    <w:p>
      <w:pPr>
        <w:sectPr>
          <w:pgSz w:w="11900" w:h="16838" w:orient="portrait"/>
          <w:cols w:equalWidth="0" w:num="1">
            <w:col w:w="11220"/>
          </w:cols>
          <w:pgMar w:left="340" w:top="122" w:right="339" w:bottom="1440" w:gutter="0" w:footer="0" w:header="0"/>
        </w:sect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p>
      <w:pPr>
        <w:spacing w:after="0" w:line="43" w:lineRule="exact"/>
        <w:rPr>
          <w:sz w:val="20"/>
          <w:szCs w:val="20"/>
          <w:color w:val="auto"/>
        </w:rPr>
      </w:pPr>
    </w:p>
    <w:p>
      <w:pPr>
        <w:sectPr>
          <w:pgSz w:w="11900" w:h="16838" w:orient="portrait"/>
          <w:cols w:equalWidth="0" w:num="2">
            <w:col w:w="4940" w:space="720"/>
            <w:col w:w="5560"/>
          </w:cols>
          <w:pgMar w:left="340" w:top="12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Asana Software Australia Pty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Software Canada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France SAS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Germany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Software Iceland ehf.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Ireland Technology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Software Ireland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Japan KK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Poland sp. z o.o.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Asana Software Singapore Pte. Ltd.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Switzerland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Asana Software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w:t>
      </w:r>
    </w:p>
    <w:p>
      <w:pPr>
        <w:sectPr>
          <w:pgSz w:w="11900" w:h="16838" w:orient="portrait"/>
          <w:cols w:equalWidth="0" w:num="2">
            <w:col w:w="4940" w:space="720"/>
            <w:col w:w="5560"/>
          </w:cols>
          <w:pgMar w:left="340" w:top="122" w:right="33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333-263825) and Form S-8 (Nos. 333-270838, 333-263822, 333-254881 and 333-248955) of Asana, Inc. of our report dated March 14, 2024 relating to the financial statements and the effectiveness of internal control over financial reporting, which appears in this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rPr>
          <w:sz w:val="20"/>
          <w:szCs w:val="20"/>
          <w:color w:val="auto"/>
        </w:rPr>
      </w:pPr>
      <w:r>
        <w:rPr>
          <w:rFonts w:ascii="Times New Roman" w:cs="Times New Roman" w:eastAsia="Times New Roman" w:hAnsi="Times New Roman"/>
          <w:sz w:val="18"/>
          <w:szCs w:val="18"/>
          <w:color w:val="auto"/>
        </w:rPr>
        <w:t>March 14, 2024</w:t>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Dustin Moskovitz, certify that:</w:t>
      </w:r>
    </w:p>
    <w:p>
      <w:pPr>
        <w:spacing w:after="0" w:line="225"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Asana, Inc.;</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3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1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19"/>
        <w:spacing w:after="0" w:line="282" w:lineRule="auto"/>
        <w:tabs>
          <w:tab w:leader="none" w:pos="11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4860" w:val="left"/>
          <w:tab w:leader="none" w:pos="674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45720</wp:posOffset>
            </wp:positionV>
            <wp:extent cx="28200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0" w:lineRule="exact"/>
        <w:rPr>
          <w:sz w:val="20"/>
          <w:szCs w:val="20"/>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Dustin Moskovitz</w:t>
      </w:r>
    </w:p>
    <w:p>
      <w:pPr>
        <w:spacing w:after="0" w:line="77" w:lineRule="exact"/>
        <w:rPr>
          <w:sz w:val="20"/>
          <w:szCs w:val="20"/>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76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Wan, certify that:</w:t>
      </w:r>
    </w:p>
    <w:p>
      <w:pPr>
        <w:spacing w:after="0" w:line="252"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Asana, Inc.;</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3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04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left="1300" w:hanging="644"/>
        <w:spacing w:after="0" w:line="282" w:lineRule="auto"/>
        <w:tabs>
          <w:tab w:leader="none" w:pos="112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12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19"/>
        <w:spacing w:after="0" w:line="282" w:lineRule="auto"/>
        <w:tabs>
          <w:tab w:leader="none" w:pos="11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4860" w:val="left"/>
          <w:tab w:leader="none" w:pos="712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27774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66"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8"/>
          <w:szCs w:val="18"/>
          <w:b w:val="1"/>
          <w:bCs w:val="1"/>
          <w:color w:val="auto"/>
        </w:rPr>
        <w:t>Tim Wan</w:t>
      </w:r>
    </w:p>
    <w:p>
      <w:pPr>
        <w:spacing w:after="0" w:line="77"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76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Dustin Moskovitz, Chief Executive Officer of Asana, Inc. (the “Company”), and Tim Wan, Chief Financial Officer of the Company, each hereby certifies that, to the best of his or her knowledge:</w:t>
      </w:r>
    </w:p>
    <w:p>
      <w:pPr>
        <w:spacing w:after="0" w:line="196" w:lineRule="exact"/>
        <w:rPr>
          <w:sz w:val="20"/>
          <w:szCs w:val="20"/>
          <w:color w:val="auto"/>
        </w:rPr>
      </w:pPr>
    </w:p>
    <w:p>
      <w:pPr>
        <w:ind w:left="660" w:right="20" w:hanging="328"/>
        <w:spacing w:after="0" w:line="25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January 31, 2024, to which this Certification is attached as Exhibit 32.1 (the “Annual Report”), fully complies with the requirements of Section 13(a) or Section 15(d) of the Exchange Act; and</w:t>
      </w:r>
    </w:p>
    <w:p>
      <w:pPr>
        <w:ind w:left="660" w:hanging="328"/>
        <w:spacing w:after="0" w:line="243"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Dustin Moskovitz</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Dustin Moskovitz</w:t>
      </w: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Tim Wan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Wan</w:t>
      </w: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1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10-K to which it relates, is not deemed filed with the Securities and Exchange Commission and is not to be incorporated by reference into any filing of Asana, Inc.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1413" w:right="339" w:bottom="1440" w:gutter="0" w:footer="0" w:header="0"/>
        </w:sectPr>
      </w:pPr>
    </w:p>
    <w:bookmarkStart w:id="124" w:name="page125"/>
    <w:bookmarkEnd w:id="124"/>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ASANA,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8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Asana,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determined that it is appropriate for the Company to adopt this Clawback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be applied to the Executive Officers of the Company and adopts this Policy to be effective as of the Effective Date.</w:t>
      </w:r>
    </w:p>
    <w:p>
      <w:pPr>
        <w:spacing w:after="0" w:line="18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Policy, the following definitions shall apply:</w:t>
      </w:r>
    </w:p>
    <w:p>
      <w:pPr>
        <w:spacing w:after="0" w:line="219" w:lineRule="exact"/>
        <w:rPr>
          <w:rFonts w:ascii="Times New Roman" w:cs="Times New Roman" w:eastAsia="Times New Roman" w:hAnsi="Times New Roman"/>
          <w:sz w:val="22"/>
          <w:szCs w:val="22"/>
          <w:b w:val="1"/>
          <w:bCs w:val="1"/>
          <w:color w:val="auto"/>
        </w:rPr>
      </w:pPr>
    </w:p>
    <w:p>
      <w:pPr>
        <w:ind w:left="1300" w:hanging="567"/>
        <w:spacing w:after="0"/>
        <w:tabs>
          <w:tab w:leader="none" w:pos="13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w:t>
      </w:r>
    </w:p>
    <w:p>
      <w:pPr>
        <w:spacing w:after="0" w:line="179" w:lineRule="exact"/>
        <w:rPr>
          <w:rFonts w:ascii="Times New Roman" w:cs="Times New Roman" w:eastAsia="Times New Roman" w:hAnsi="Times New Roman"/>
          <w:sz w:val="22"/>
          <w:szCs w:val="22"/>
          <w:color w:val="auto"/>
        </w:rPr>
      </w:pPr>
    </w:p>
    <w:p>
      <w:pPr>
        <w:ind w:left="1300" w:hanging="567"/>
        <w:spacing w:after="0"/>
        <w:tabs>
          <w:tab w:leader="none" w:pos="13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means the Company and each of its Subsidiaries, as applicable.</w:t>
      </w:r>
    </w:p>
    <w:p>
      <w:pPr>
        <w:spacing w:after="0" w:line="179" w:lineRule="exact"/>
        <w:rPr>
          <w:rFonts w:ascii="Times New Roman" w:cs="Times New Roman" w:eastAsia="Times New Roman" w:hAnsi="Times New Roman"/>
          <w:sz w:val="22"/>
          <w:szCs w:val="22"/>
          <w:color w:val="auto"/>
        </w:rPr>
      </w:pPr>
    </w:p>
    <w:p>
      <w:pPr>
        <w:jc w:val="both"/>
        <w:ind w:left="1300" w:hanging="567"/>
        <w:spacing w:after="0" w:line="217" w:lineRule="auto"/>
        <w:tabs>
          <w:tab w:leader="none" w:pos="12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Compensation</w:t>
      </w:r>
      <w:r>
        <w:rPr>
          <w:rFonts w:ascii="Times New Roman" w:cs="Times New Roman" w:eastAsia="Times New Roman" w:hAnsi="Times New Roman"/>
          <w:sz w:val="22"/>
          <w:szCs w:val="22"/>
          <w:color w:val="auto"/>
        </w:rPr>
        <w:t>” means any Incentive-Based Compensation granted, vested, or paid to a person who served as an Executive Officer at any time during the performance period for the Incentive-Based Compensation and that was received (i) on or after the effective date of the applicable NYSE listing standards, (ii) after the person became an Executive Officer, and (iii) at a time that the Company had a class of securities listed on a national securities exchange or a national securities association.</w:t>
      </w:r>
    </w:p>
    <w:p>
      <w:pPr>
        <w:spacing w:after="0" w:line="152" w:lineRule="exact"/>
        <w:rPr>
          <w:rFonts w:ascii="Times New Roman" w:cs="Times New Roman" w:eastAsia="Times New Roman" w:hAnsi="Times New Roman"/>
          <w:sz w:val="22"/>
          <w:szCs w:val="22"/>
          <w:color w:val="auto"/>
        </w:rPr>
      </w:pPr>
    </w:p>
    <w:p>
      <w:pPr>
        <w:ind w:left="1300" w:hanging="567"/>
        <w:spacing w:after="0"/>
        <w:tabs>
          <w:tab w:leader="none" w:pos="13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May 23, 2023.</w:t>
      </w:r>
    </w:p>
    <w:p>
      <w:pPr>
        <w:spacing w:after="0" w:line="179" w:lineRule="exact"/>
        <w:rPr>
          <w:rFonts w:ascii="Times New Roman" w:cs="Times New Roman" w:eastAsia="Times New Roman" w:hAnsi="Times New Roman"/>
          <w:sz w:val="22"/>
          <w:szCs w:val="22"/>
          <w:color w:val="auto"/>
        </w:rPr>
      </w:pPr>
    </w:p>
    <w:p>
      <w:pPr>
        <w:jc w:val="both"/>
        <w:ind w:left="1300" w:hanging="567"/>
        <w:spacing w:after="0" w:line="210" w:lineRule="auto"/>
        <w:tabs>
          <w:tab w:leader="none" w:pos="12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NYSE.</w:t>
      </w:r>
    </w:p>
    <w:p>
      <w:pPr>
        <w:spacing w:after="0" w:line="157" w:lineRule="exact"/>
        <w:rPr>
          <w:rFonts w:ascii="Times New Roman" w:cs="Times New Roman" w:eastAsia="Times New Roman" w:hAnsi="Times New Roman"/>
          <w:sz w:val="22"/>
          <w:szCs w:val="22"/>
          <w:color w:val="auto"/>
        </w:rPr>
      </w:pPr>
    </w:p>
    <w:p>
      <w:pPr>
        <w:ind w:left="1300" w:hanging="567"/>
        <w:spacing w:after="0"/>
        <w:tabs>
          <w:tab w:leader="none" w:pos="13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179" w:lineRule="exact"/>
        <w:rPr>
          <w:rFonts w:ascii="Times New Roman" w:cs="Times New Roman" w:eastAsia="Times New Roman" w:hAnsi="Times New Roman"/>
          <w:sz w:val="22"/>
          <w:szCs w:val="22"/>
          <w:color w:val="auto"/>
        </w:rPr>
      </w:pPr>
    </w:p>
    <w:p>
      <w:pPr>
        <w:jc w:val="both"/>
        <w:ind w:left="1300" w:hanging="567"/>
        <w:spacing w:after="0" w:line="220" w:lineRule="auto"/>
        <w:tabs>
          <w:tab w:leader="none" w:pos="12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spacing w:after="0" w:line="152" w:lineRule="exact"/>
        <w:rPr>
          <w:rFonts w:ascii="Times New Roman" w:cs="Times New Roman" w:eastAsia="Times New Roman" w:hAnsi="Times New Roman"/>
          <w:sz w:val="22"/>
          <w:szCs w:val="22"/>
          <w:color w:val="auto"/>
        </w:rPr>
      </w:pPr>
    </w:p>
    <w:p>
      <w:pPr>
        <w:jc w:val="both"/>
        <w:ind w:left="1300" w:hanging="567"/>
        <w:spacing w:after="0" w:line="225" w:lineRule="auto"/>
        <w:tabs>
          <w:tab w:leader="none" w:pos="12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means (i) any measure that is determined and presented in accordance with the accounting principles used in preparing the Company’s financial statements, and any measures derived wholly or in part from such measures and may</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71" w:lineRule="exact"/>
        <w:rPr>
          <w:sz w:val="20"/>
          <w:szCs w:val="20"/>
          <w:color w:val="auto"/>
        </w:rPr>
      </w:pPr>
    </w:p>
    <w:p>
      <w:pPr>
        <w:jc w:val="both"/>
        <w:ind w:left="567"/>
        <w:spacing w:after="0" w:line="217" w:lineRule="auto"/>
        <w:rPr>
          <w:sz w:val="20"/>
          <w:szCs w:val="20"/>
          <w:color w:val="auto"/>
        </w:rPr>
      </w:pPr>
      <w:r>
        <w:rPr>
          <w:rFonts w:ascii="Times New Roman" w:cs="Times New Roman" w:eastAsia="Times New Roman" w:hAnsi="Times New Roman"/>
          <w:sz w:val="22"/>
          <w:szCs w:val="22"/>
          <w:color w:val="auto"/>
        </w:rPr>
        <w:t>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spacing w:after="0" w:line="152" w:lineRule="exact"/>
        <w:rPr>
          <w:sz w:val="20"/>
          <w:szCs w:val="20"/>
          <w:color w:val="auto"/>
        </w:rPr>
      </w:pPr>
    </w:p>
    <w:p>
      <w:pPr>
        <w:ind w:left="567" w:hanging="567"/>
        <w:spacing w:after="0"/>
        <w:tabs>
          <w:tab w:leader="none" w:pos="56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Home Country</w:t>
      </w:r>
      <w:r>
        <w:rPr>
          <w:rFonts w:ascii="Times New Roman" w:cs="Times New Roman" w:eastAsia="Times New Roman" w:hAnsi="Times New Roman"/>
          <w:sz w:val="22"/>
          <w:szCs w:val="22"/>
          <w:color w:val="auto"/>
        </w:rPr>
        <w:t>” means the Company’s jurisdiction of incorporation.</w:t>
      </w:r>
    </w:p>
    <w:p>
      <w:pPr>
        <w:spacing w:after="0" w:line="179" w:lineRule="exact"/>
        <w:rPr>
          <w:rFonts w:ascii="Times New Roman" w:cs="Times New Roman" w:eastAsia="Times New Roman" w:hAnsi="Times New Roman"/>
          <w:sz w:val="22"/>
          <w:szCs w:val="22"/>
          <w:color w:val="auto"/>
        </w:rPr>
      </w:pPr>
    </w:p>
    <w:p>
      <w:pPr>
        <w:ind w:left="567" w:hanging="567"/>
        <w:spacing w:after="0" w:line="236" w:lineRule="auto"/>
        <w:tabs>
          <w:tab w:leader="none" w:pos="5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0" w:lineRule="exact"/>
        <w:rPr>
          <w:rFonts w:ascii="Times New Roman" w:cs="Times New Roman" w:eastAsia="Times New Roman" w:hAnsi="Times New Roman"/>
          <w:sz w:val="22"/>
          <w:szCs w:val="22"/>
          <w:color w:val="auto"/>
        </w:rPr>
      </w:pPr>
    </w:p>
    <w:p>
      <w:pPr>
        <w:jc w:val="both"/>
        <w:ind w:left="567" w:hanging="567"/>
        <w:spacing w:after="0" w:line="211" w:lineRule="auto"/>
        <w:tabs>
          <w:tab w:leader="none" w:pos="55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Lookback Period</w:t>
      </w:r>
      <w:r>
        <w:rPr>
          <w:rFonts w:ascii="Times New Roman" w:cs="Times New Roman" w:eastAsia="Times New Roman" w:hAnsi="Times New Roman"/>
          <w:sz w:val="22"/>
          <w:szCs w:val="22"/>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an Restatement, or (ii) the date a court, regulator or other legally authorized body directs the Company to prepare a Restatement. Recovery of any Erroneously Awarded Compensation under the Policy is not dependent on if or when the Restatement is actually filed.</w:t>
      </w:r>
    </w:p>
    <w:p>
      <w:pPr>
        <w:spacing w:after="0" w:line="158" w:lineRule="exact"/>
        <w:rPr>
          <w:rFonts w:ascii="Times New Roman" w:cs="Times New Roman" w:eastAsia="Times New Roman" w:hAnsi="Times New Roman"/>
          <w:sz w:val="22"/>
          <w:szCs w:val="22"/>
          <w:color w:val="auto"/>
        </w:rPr>
      </w:pPr>
    </w:p>
    <w:p>
      <w:pPr>
        <w:ind w:left="567" w:hanging="567"/>
        <w:spacing w:after="0"/>
        <w:tabs>
          <w:tab w:leader="none" w:pos="56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means the New York Stock Exchange.</w:t>
      </w:r>
    </w:p>
    <w:p>
      <w:pPr>
        <w:spacing w:after="0" w:line="179" w:lineRule="exact"/>
        <w:rPr>
          <w:rFonts w:ascii="Times New Roman" w:cs="Times New Roman" w:eastAsia="Times New Roman" w:hAnsi="Times New Roman"/>
          <w:sz w:val="22"/>
          <w:szCs w:val="22"/>
          <w:color w:val="auto"/>
        </w:rPr>
      </w:pPr>
    </w:p>
    <w:p>
      <w:pPr>
        <w:jc w:val="both"/>
        <w:ind w:left="567" w:hanging="567"/>
        <w:spacing w:after="0" w:line="220" w:lineRule="auto"/>
        <w:tabs>
          <w:tab w:leader="none" w:pos="5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(whether capitalized or lower case) as used this Policy means the following: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52" w:lineRule="exact"/>
        <w:rPr>
          <w:rFonts w:ascii="Times New Roman" w:cs="Times New Roman" w:eastAsia="Times New Roman" w:hAnsi="Times New Roman"/>
          <w:sz w:val="22"/>
          <w:szCs w:val="22"/>
          <w:color w:val="auto"/>
        </w:rPr>
      </w:pPr>
    </w:p>
    <w:p>
      <w:pPr>
        <w:jc w:val="both"/>
        <w:ind w:left="567" w:hanging="567"/>
        <w:spacing w:after="0" w:line="211" w:lineRule="auto"/>
        <w:tabs>
          <w:tab w:leader="none" w:pos="5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151" w:lineRule="exact"/>
        <w:rPr>
          <w:rFonts w:ascii="Times New Roman" w:cs="Times New Roman" w:eastAsia="Times New Roman" w:hAnsi="Times New Roman"/>
          <w:sz w:val="22"/>
          <w:szCs w:val="22"/>
          <w:color w:val="auto"/>
        </w:rPr>
      </w:pPr>
    </w:p>
    <w:p>
      <w:pPr>
        <w:ind w:left="567" w:hanging="567"/>
        <w:spacing w:after="0"/>
        <w:tabs>
          <w:tab w:leader="none" w:pos="56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179" w:lineRule="exact"/>
        <w:rPr>
          <w:rFonts w:ascii="Times New Roman" w:cs="Times New Roman" w:eastAsia="Times New Roman" w:hAnsi="Times New Roman"/>
          <w:sz w:val="22"/>
          <w:szCs w:val="22"/>
          <w:color w:val="auto"/>
        </w:rPr>
      </w:pPr>
    </w:p>
    <w:p>
      <w:pPr>
        <w:jc w:val="both"/>
        <w:ind w:left="567" w:hanging="567"/>
        <w:spacing w:after="0" w:line="220" w:lineRule="auto"/>
        <w:tabs>
          <w:tab w:leader="none" w:pos="5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07"/>
          </w:cols>
          <w:pgMar w:left="1053" w:top="1440" w:right="339" w:bottom="1440" w:gutter="0" w:footer="0" w:header="0"/>
        </w:sectPr>
      </w:pPr>
    </w:p>
    <w:bookmarkStart w:id="126" w:name="page127"/>
    <w:bookmarkEnd w:id="126"/>
    <w:p>
      <w:pPr>
        <w:spacing w:after="0" w:line="171" w:lineRule="exact"/>
        <w:rPr>
          <w:sz w:val="20"/>
          <w:szCs w:val="20"/>
          <w:color w:val="auto"/>
        </w:rPr>
      </w:pPr>
    </w:p>
    <w:p>
      <w:pPr>
        <w:jc w:val="both"/>
        <w:ind w:left="1300"/>
        <w:spacing w:after="0" w:line="225" w:lineRule="auto"/>
        <w:rPr>
          <w:sz w:val="20"/>
          <w:szCs w:val="20"/>
          <w:color w:val="auto"/>
        </w:rPr>
      </w:pPr>
      <w:r>
        <w:rPr>
          <w:rFonts w:ascii="Times New Roman" w:cs="Times New Roman" w:eastAsia="Times New Roman" w:hAnsi="Times New Roman"/>
          <w:sz w:val="22"/>
          <w:szCs w:val="22"/>
          <w:color w:val="auto"/>
        </w:rPr>
        <w:t>for this purpose means the possession, direct or indirect, of the power to direct or cause the direction of the management and policies of such person, whether through the ownership of voting securities, contract, or otherwise.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2.  Recoupment of Erroneously Awarded Compensation</w:t>
      </w:r>
    </w:p>
    <w:p>
      <w:pPr>
        <w:spacing w:after="0" w:line="21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93"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Notwithstanding the foregoing, the Committee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provides such opinion to the NYSE), or (iii) recovery would likely cause any otherwise tax-qualified retirement plan, under which benefits are broadly available to employees of Company Group, to fail to meet the requirements of 26 U.S.C. 401(a)(13) or 26 U.S.C. 411(a) and regulations thereunder.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3.  Means of Repayment</w:t>
      </w:r>
    </w:p>
    <w:p>
      <w:pPr>
        <w:spacing w:after="0" w:line="21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4.  No Indemnification</w:t>
      </w:r>
    </w:p>
    <w:p>
      <w:pPr>
        <w:spacing w:after="0" w:line="224"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No person shall be indemnified, insured or reimbursed by the Company Group in respect of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22"/>
          <w:szCs w:val="22"/>
          <w:i w:val="1"/>
          <w:iCs w:val="1"/>
          <w:color w:val="auto"/>
        </w:rPr>
        <w:t>de facto</w:t>
      </w:r>
      <w:r>
        <w:rPr>
          <w:rFonts w:ascii="Times New Roman" w:cs="Times New Roman" w:eastAsia="Times New Roman" w:hAnsi="Times New Roman"/>
          <w:sz w:val="22"/>
          <w:szCs w:val="22"/>
          <w:color w:val="auto"/>
        </w:rPr>
        <w:t xml:space="preserve"> indemnification (for example, providing the person a new cash award which would be canceled to effect the recovery of any Erroneously Awarded Compensation). In no event shall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Group be required to award any person an additional payment if any Restatement would result in a higher incentive compensation payment.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5.  Miscellaneous</w:t>
      </w:r>
    </w:p>
    <w:p>
      <w:pPr>
        <w:spacing w:after="0" w:line="22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This Policy generally will be administered and interpreted by the Committee. Any determination by the Committee with respect to this Policy shall be final, conclusive and binding on all interested parties. The determinations of the Committee under this Policy need not be uniform with respect to all persons, and may be made selectively amongst persons, whether or not such persons are similarly situated.</w:t>
      </w:r>
    </w:p>
    <w:p>
      <w:pPr>
        <w:spacing w:after="0" w:line="19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This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7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NYSE.</w:t>
      </w:r>
    </w:p>
    <w:p>
      <w:pPr>
        <w:spacing w:after="0" w:line="19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The rights of the Company Group under this Policy to seek forfeiture or reimbursement is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6.  Amendment and Termination</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To the extent permitted by, and in a manner consistent with applicable law, including SEC and NYSE rules, the Committee may terminate, suspend or amend this Policy at any time in its discretion.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7.  Successors</w:t>
      </w:r>
    </w:p>
    <w:p>
      <w:pPr>
        <w:spacing w:after="0" w:line="22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ASANA, INC.</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 CONSENT, AND AGREEMENT</w:t>
      </w:r>
    </w:p>
    <w:p>
      <w:pPr>
        <w:spacing w:after="0" w:line="183"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22"/>
          <w:szCs w:val="22"/>
          <w:color w:val="auto"/>
        </w:rPr>
        <w:t>I acknowledge that I have received and reviewed a copy of the Asana, Inc. Clawback Policy (as may be amended from time to time,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and I consent to and agree to be bound by and subject to its terms and conditions. I further acknowledge, understand and agree that the Policy may affect the compensation that I receive, have received or may become entitled to receive from the Company or its Subsidiaries or affiliates under various agreements, plans and arrangements with the Company or its Subsidiaries or affiliates and I waive any rights I may have to indemnification, insurance payments, or other reimbursement by or from the Company Group for any such compensation that is subject to recoupment and/or forfeiture under the Policy. Capitalized terms not defined herein have the meanings set form in the Policy.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Signed:</w:t>
      </w:r>
      <w:r>
        <w:rPr>
          <w:sz w:val="20"/>
          <w:szCs w:val="20"/>
          <w:color w:val="auto"/>
        </w:rPr>
        <w:tab/>
      </w:r>
      <w:r>
        <w:rPr>
          <w:rFonts w:ascii="Times New Roman" w:cs="Times New Roman" w:eastAsia="Times New Roman" w:hAnsi="Times New Roman"/>
          <w:sz w:val="22"/>
          <w:szCs w:val="22"/>
          <w:b w:val="1"/>
          <w:bCs w:val="1"/>
          <w:color w:val="auto"/>
        </w:rPr>
        <w:t>_________________________________________</w:t>
      </w:r>
    </w:p>
    <w:p>
      <w:pPr>
        <w:spacing w:after="0" w:line="179"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Print Name:</w:t>
      </w:r>
      <w:r>
        <w:rPr>
          <w:sz w:val="20"/>
          <w:szCs w:val="20"/>
          <w:color w:val="auto"/>
        </w:rPr>
        <w:tab/>
      </w:r>
      <w:r>
        <w:rPr>
          <w:rFonts w:ascii="Times New Roman" w:cs="Times New Roman" w:eastAsia="Times New Roman" w:hAnsi="Times New Roman"/>
          <w:sz w:val="21"/>
          <w:szCs w:val="21"/>
          <w:b w:val="1"/>
          <w:bCs w:val="1"/>
          <w:color w:val="auto"/>
        </w:rPr>
        <w:t>_________________________________________</w:t>
      </w:r>
    </w:p>
    <w:p>
      <w:pPr>
        <w:spacing w:after="0" w:line="179" w:lineRule="exact"/>
        <w:rPr>
          <w:sz w:val="20"/>
          <w:szCs w:val="20"/>
          <w:color w:val="auto"/>
        </w:rPr>
      </w:pPr>
    </w:p>
    <w:p>
      <w:pPr>
        <w:ind w:left="34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_________________________________________</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Roman"/>
      <w:start w:val="10"/>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Letter"/>
      <w:start w:val="1"/>
    </w:lvl>
    <w:lvl w:ilvl="1">
      <w:lvlJc w:val="left"/>
      <w:lvlText w:val="(%2)"/>
      <w:numFmt w:val="decimal"/>
      <w:start w:val="1"/>
    </w:lvl>
  </w:abstractNum>
  <w:abstractNum w:abstractNumId="39">
    <w:nsid w:val="2A487CB0"/>
    <w:multiLevelType w:val="hybridMultilevel"/>
    <w:lvl w:ilvl="0">
      <w:lvlJc w:val="left"/>
      <w:lvlText w:val="%1"/>
      <w:numFmt w:val="decimal"/>
      <w:start w:val="104"/>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2">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lvl w:ilvl="1">
      <w:lvlJc w:val="left"/>
      <w:lvlText w:val="(%2)"/>
      <w:numFmt w:val="decimal"/>
      <w:start w:val="1"/>
    </w:lvl>
  </w:abstractNum>
  <w:abstractNum w:abstractNumId="45">
    <w:nsid w:val="4B588F54"/>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6"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37" Type="http://schemas.openxmlformats.org/officeDocument/2006/relationships/hyperlink" Target="https://www.sec.gov/Archives/edgar/data/1477720/000119312520250298/d98181dex31.htm" TargetMode="External"/><Relationship Id="rId138" Type="http://schemas.openxmlformats.org/officeDocument/2006/relationships/hyperlink" Target="https://www.sec.gov/Archives/edgar/data/1477720/000147772023000055/aex31xamendedandrestatedby.htm" TargetMode="External"/><Relationship Id="rId139" Type="http://schemas.openxmlformats.org/officeDocument/2006/relationships/hyperlink" Target="https://www.sec.gov/Archives/edgar/data/1477720/000119312520241148/d855753dex43.htm" TargetMode="External"/><Relationship Id="rId140" Type="http://schemas.openxmlformats.org/officeDocument/2006/relationships/hyperlink" Target="https://www.sec.gov/Archives/edgar/data/1477720/000147772022000012/exhibit43-descriptionofsec.htm" TargetMode="External"/><Relationship Id="rId141" Type="http://schemas.openxmlformats.org/officeDocument/2006/relationships/hyperlink" Target="https://www.sec.gov/Archives/edgar/data/1477720/000119312520228462/d855753dex101.htm" TargetMode="External"/><Relationship Id="rId142" Type="http://schemas.openxmlformats.org/officeDocument/2006/relationships/hyperlink" Target="https://www.sec.gov/Archives/edgar/data/1477720/000119312520228462/d855753dex102.htm" TargetMode="External"/><Relationship Id="rId143" Type="http://schemas.openxmlformats.org/officeDocument/2006/relationships/hyperlink" Target="https://www.sec.gov/Archives/edgar/data/1477720/000119312520228462/d855753dex103.htm" TargetMode="External"/><Relationship Id="rId144" Type="http://schemas.openxmlformats.org/officeDocument/2006/relationships/hyperlink" Target="https://www.sec.gov/Archives/edgar/data/1477720/000119312520228462/d855753dex104.htm" TargetMode="External"/><Relationship Id="rId145" Type="http://schemas.openxmlformats.org/officeDocument/2006/relationships/hyperlink" Target="https://www.sec.gov/Archives/edgar/data/1477720/000147772021000007/a103-2020equityincentive.htm" TargetMode="External"/><Relationship Id="rId146" Type="http://schemas.openxmlformats.org/officeDocument/2006/relationships/hyperlink" Target="https://www.sec.gov/Archives/edgar/data/1477720/000147772021000007/a104-2020equityincentive.htm" TargetMode="External"/><Relationship Id="rId147" Type="http://schemas.openxmlformats.org/officeDocument/2006/relationships/hyperlink" Target="https://www.sec.gov/Archives/edgar/data/1477720/000147772022000062/exhibit101-2020equityincen.htm" TargetMode="External"/><Relationship Id="rId148" Type="http://schemas.openxmlformats.org/officeDocument/2006/relationships/hyperlink" Target="https://www.sec.gov/Archives/edgar/data/1477720/000147772022000062/exhibit102-2020equityincen.htm" TargetMode="External"/><Relationship Id="rId149" Type="http://schemas.openxmlformats.org/officeDocument/2006/relationships/hyperlink" Target="https://www.sec.gov/Archives/edgar/data/1477720/000119312520228462/d855753dex105.htm" TargetMode="External"/><Relationship Id="rId150" Type="http://schemas.openxmlformats.org/officeDocument/2006/relationships/hyperlink" Target="https://www.sec.gov/Archives/edgar/data/1477720/000147772023000031/exhibit102-amendedandresta.htm" TargetMode="External"/><Relationship Id="rId151" Type="http://schemas.openxmlformats.org/officeDocument/2006/relationships/hyperlink" Target="https://www.sec.gov/Archives/edgar/data/1477720/000147772021000007/asanainc-directorsdeferred.htm" TargetMode="External"/><Relationship Id="rId152" Type="http://schemas.openxmlformats.org/officeDocument/2006/relationships/hyperlink" Target="https://www.sec.gov/Archives/edgar/data/1477720/000147772021000007/asana-frenchequitysubxplan.htm" TargetMode="External"/><Relationship Id="rId153" Type="http://schemas.openxmlformats.org/officeDocument/2006/relationships/hyperlink" Target="https://www.sec.gov/Archives/edgar/data/1477720/000119312520228462/d855753dex107.htm" TargetMode="External"/><Relationship Id="rId154" Type="http://schemas.openxmlformats.org/officeDocument/2006/relationships/hyperlink" Target="https://www.sec.gov/Archives/edgar/data/1477720/000119312520228462/d855753dex108.htm" TargetMode="External"/><Relationship Id="rId155" Type="http://schemas.openxmlformats.org/officeDocument/2006/relationships/hyperlink" Target="https://www.sec.gov/Archives/edgar/data/1477720/000119312520228462/d855753dex109.htm" TargetMode="External"/><Relationship Id="rId157" Type="http://schemas.openxmlformats.org/officeDocument/2006/relationships/hyperlink" Target="https://www.sec.gov/Archives/edgar/data/1477720/000119312520228462/d855753dex1010.htm" TargetMode="External"/><Relationship Id="rId158" Type="http://schemas.openxmlformats.org/officeDocument/2006/relationships/hyperlink" Target="https://www.sec.gov/Archives/edgar/data/1477720/000147772021000051/exhibit101-offerletterxrai.htm" TargetMode="External"/><Relationship Id="rId159" Type="http://schemas.openxmlformats.org/officeDocument/2006/relationships/hyperlink" Target="https://www.sec.gov/Archives/edgar/data/1477720/000119312520228462/d855753dex1012.htm" TargetMode="External"/><Relationship Id="rId160" Type="http://schemas.openxmlformats.org/officeDocument/2006/relationships/hyperlink" Target="https://www.sec.gov/Archives/edgar/data/1477720/000147772021000054/asana-leaseaddendumxex101.htm" TargetMode="External"/><Relationship Id="rId161" Type="http://schemas.openxmlformats.org/officeDocument/2006/relationships/hyperlink" Target="https://www.sec.gov/Archives/edgar/data/1477720/000147772021000054/asana-votingagreementxex102.htm" TargetMode="External"/><Relationship Id="rId162" Type="http://schemas.openxmlformats.org/officeDocument/2006/relationships/hyperlink" Target="https://www.sec.gov/Archives/edgar/data/1477720/000119312522239995/d401626dex101.htm" TargetMode="External"/><Relationship Id="rId163" Type="http://schemas.openxmlformats.org/officeDocument/2006/relationships/hyperlink" Target="https://www.sec.gov/Archives/edgar/data/1477720/000147772022000051/exhibit101creditagreement.htm" TargetMode="External"/><Relationship Id="rId164" Type="http://schemas.openxmlformats.org/officeDocument/2006/relationships/hyperlink" Target="https://www.sec.gov/Archives/edgar/data/1477720/000147772023000031/exhibit101-first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2024-03-14T15:27:29Z</dcterms:created>
  <dcterms:modified xsi:type="dcterms:W3CDTF">2024-03-14T15:27:29Z</dcterms:modified>
</cp:coreProperties>
</file>