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4"/>
        </w:rPr>
      </w:pPr>
      <w:r>
        <w:rPr>
          <w:rFonts w:ascii="Arial;sans-serif" w:hAnsi="Arial;sans-serif"/>
          <w:b w:val="false"/>
          <w:color w:val="000000"/>
          <w:sz w:val="24"/>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0" w:after="0"/>
        <w:ind w:left="0" w:right="0" w:firstLine="36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47"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47"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4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47" w:before="0" w:after="0"/>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lineRule="auto" w:line="24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47"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199"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47"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For the quarterly period ended July 31, 2026</w:t>
      </w:r>
    </w:p>
    <w:p>
      <w:pPr>
        <w:pStyle w:val="TextBody"/>
        <w:bidi w:val="0"/>
        <w:spacing w:before="0" w:after="0"/>
        <w:jc w:val="center"/>
        <w:rPr/>
      </w:pPr>
      <w:r>
        <w:rPr/>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199"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47"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before="0" w:after="0"/>
        <w:jc w:val="center"/>
        <w:rPr/>
      </w:pPr>
      <w:r>
        <w:rPr/>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Commission File Number 001-39495</w:t>
      </w:r>
    </w:p>
    <w:p>
      <w:pPr>
        <w:pStyle w:val="TextBody"/>
        <w:bidi w:val="0"/>
        <w:spacing w:lineRule="auto" w:line="24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47" w:before="0" w:after="0"/>
        <w:jc w:val="center"/>
        <w:rPr>
          <w:rFonts w:ascii="Times New Roman;serif" w:hAnsi="Times New Roman;serif"/>
          <w:b/>
          <w:color w:val="000000"/>
          <w:sz w:val="42"/>
        </w:rPr>
      </w:pPr>
      <w:r>
        <w:rPr>
          <w:rFonts w:ascii="Times New Roman;serif" w:hAnsi="Times New Roman;serif"/>
          <w:b/>
          <w:color w:val="000000"/>
          <w:sz w:val="42"/>
        </w:rPr>
        <w:t>Asana, Inc.</w:t>
      </w:r>
    </w:p>
    <w:p>
      <w:pPr>
        <w:pStyle w:val="TextBody"/>
        <w:bidi w:val="0"/>
        <w:spacing w:lineRule="auto" w:line="247"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4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color w:val="000000"/>
                <w:sz w:val="20"/>
              </w:rPr>
            </w:pPr>
            <w:r>
              <w:rPr>
                <w:rFonts w:ascii="Times New Roman;serif" w:hAnsi="Times New Roman;serif"/>
                <w:b/>
                <w:color w:val="000000"/>
                <w:sz w:val="20"/>
              </w:rPr>
              <w:t>26-3912448</w:t>
            </w:r>
          </w:p>
        </w:tc>
      </w:tr>
      <w:tr>
        <w:trPr/>
        <w:tc>
          <w:tcPr>
            <w:tcW w:w="4289"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47"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 xml:space="preserve">633 Folsom Street, Suite 100 </w:t>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San Francisco, California 94107</w:t>
      </w:r>
    </w:p>
    <w:p>
      <w:pPr>
        <w:pStyle w:val="TextBody"/>
        <w:bidi w:val="0"/>
        <w:spacing w:lineRule="auto" w:line="247"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and Zip Code)</w:t>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(415) 525-3888</w:t>
      </w:r>
    </w:p>
    <w:p>
      <w:pPr>
        <w:pStyle w:val="TextBody"/>
        <w:bidi w:val="0"/>
        <w:spacing w:lineRule="auto" w:line="247"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4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47"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681" w:type="dxa"/>
        <w:jc w:val="left"/>
        <w:tblInd w:w="0" w:type="dxa"/>
        <w:tblLayout w:type="fixed"/>
        <w:tblCellMar>
          <w:top w:w="28" w:type="dxa"/>
          <w:left w:w="28" w:type="dxa"/>
          <w:bottom w:w="28" w:type="dxa"/>
          <w:right w:w="28" w:type="dxa"/>
        </w:tblCellMar>
      </w:tblPr>
      <w:tblGrid>
        <w:gridCol w:w="1442"/>
        <w:gridCol w:w="1269"/>
        <w:gridCol w:w="1278"/>
        <w:gridCol w:w="109"/>
        <w:gridCol w:w="109"/>
        <w:gridCol w:w="109"/>
        <w:gridCol w:w="519"/>
        <w:gridCol w:w="519"/>
        <w:gridCol w:w="521"/>
        <w:gridCol w:w="109"/>
        <w:gridCol w:w="109"/>
        <w:gridCol w:w="109"/>
        <w:gridCol w:w="1019"/>
        <w:gridCol w:w="1019"/>
        <w:gridCol w:w="1441"/>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18"/>
              </w:rPr>
            </w:pPr>
            <w:r>
              <w:rPr>
                <w:rFonts w:ascii="Times New Roman;serif" w:hAnsi="Times New Roman;serif"/>
                <w:b w:val="false"/>
                <w:color w:val="000000"/>
                <w:sz w:val="18"/>
              </w:rPr>
              <w:t>Class A 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18"/>
              </w:rPr>
            </w:pPr>
            <w:r>
              <w:rPr>
                <w:rFonts w:ascii="Times New Roman;serif" w:hAnsi="Times New Roman;serif"/>
                <w:b w:val="false"/>
                <w:color w:val="000000"/>
                <w:sz w:val="18"/>
              </w:rPr>
              <w:t>ASAN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199"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p>
            <w:pPr>
              <w:pStyle w:val="TableContents"/>
              <w:bidi w:val="0"/>
              <w:spacing w:lineRule="auto" w:line="199"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Long-Term Stock Exchange </w:t>
            </w:r>
          </w:p>
        </w:tc>
      </w:tr>
    </w:tbl>
    <w:p>
      <w:pPr>
        <w:pStyle w:val="TextBody"/>
        <w:bidi w:val="0"/>
        <w:spacing w:lineRule="auto" w:line="247"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47"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47"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9"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199" w:before="0" w:after="0"/>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9"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199" w:before="0" w:after="0"/>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199"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7"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47" w:before="0" w:after="0"/>
        <w:jc w:val="both"/>
        <w:rPr>
          <w:rFonts w:ascii="Times New Roman;serif" w:hAnsi="Times New Roman;serif"/>
          <w:b w:val="false"/>
          <w:color w:val="000000"/>
          <w:sz w:val="18"/>
        </w:rPr>
      </w:pPr>
      <w:r>
        <w:rPr>
          <w:rFonts w:ascii="Times New Roman;serif" w:hAnsi="Times New Roman;serif"/>
          <w:b w:val="false"/>
          <w:color w:val="000000"/>
          <w:sz w:val="18"/>
        </w:rPr>
        <w:t>As of August 28, 2026, the number of shares of the registrant’s Class A common stock outstanding was 159,441,754 and the number of shares of the registrant’s Class B common stock outstanding was 69,528,363.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51" w:type="dxa"/>
        <w:jc w:val="left"/>
        <w:tblInd w:w="0" w:type="dxa"/>
        <w:tblLayout w:type="fixed"/>
        <w:tblCellMar>
          <w:top w:w="28" w:type="dxa"/>
          <w:left w:w="28" w:type="dxa"/>
          <w:bottom w:w="28" w:type="dxa"/>
          <w:right w:w="28" w:type="dxa"/>
        </w:tblCellMar>
      </w:tblPr>
      <w:tblGrid>
        <w:gridCol w:w="2908"/>
        <w:gridCol w:w="2560"/>
        <w:gridCol w:w="2572"/>
        <w:gridCol w:w="149"/>
        <w:gridCol w:w="149"/>
        <w:gridCol w:w="213"/>
      </w:tblGrid>
      <w:tr>
        <w:trPr/>
        <w:tc>
          <w:tcPr>
            <w:tcW w:w="2908"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16">
              <w:r>
                <w:rPr>
                  <w:rStyle w:val="InternetLink"/>
                  <w:rFonts w:ascii="Times New Roman;serif" w:hAnsi="Times New Roman;serif"/>
                  <w:b w:val="false"/>
                  <w:color w:val="0000FF"/>
                  <w:sz w:val="20"/>
                  <w:u w:val="single"/>
                </w:rPr>
                <w:t>Part I - Financial Information</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0020bf8dc634908a588b7df2fb89bb2_16">
              <w:r>
                <w:rPr>
                  <w:rStyle w:val="InternetLink"/>
                  <w:rFonts w:ascii="Times New Roman;serif" w:hAnsi="Times New Roman;serif"/>
                  <w:b w:val="false"/>
                  <w:color w:val="0000FF"/>
                  <w:sz w:val="20"/>
                  <w:u w:val="single"/>
                </w:rPr>
                <w:t>1</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9">
              <w:r>
                <w:rPr>
                  <w:rStyle w:val="InternetLink"/>
                  <w:rFonts w:ascii="Times New Roman;serif" w:hAnsi="Times New Roman;serif"/>
                  <w:b w:val="false"/>
                  <w:color w:val="0000FF"/>
                  <w:sz w:val="20"/>
                  <w:u w:val="single"/>
                </w:rPr>
                <w:t>Item 1.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9">
              <w:r>
                <w:rPr>
                  <w:rStyle w:val="InternetLink"/>
                  <w:rFonts w:ascii="Times New Roman;serif" w:hAnsi="Times New Roman;serif"/>
                  <w:b w:val="false"/>
                  <w:color w:val="0000FF"/>
                  <w:sz w:val="20"/>
                  <w:u w:val="single"/>
                </w:rPr>
                <w:t>1</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22">
              <w:r>
                <w:rPr>
                  <w:rStyle w:val="InternetLink"/>
                  <w:rFonts w:ascii="Times New Roman;serif" w:hAnsi="Times New Roman;serif"/>
                  <w:b w:val="false"/>
                  <w:color w:val="0000FF"/>
                  <w:sz w:val="20"/>
                  <w:u w:val="single"/>
                </w:rPr>
                <w:t>1</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25">
              <w:r>
                <w:rPr>
                  <w:rStyle w:val="InternetLink"/>
                  <w:rFonts w:ascii="Times New Roman;serif" w:hAnsi="Times New Roman;serif"/>
                  <w:b w:val="false"/>
                  <w:color w:val="0000FF"/>
                  <w:sz w:val="20"/>
                  <w:u w:val="single"/>
                </w:rPr>
                <w:t>Condensed 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25">
              <w:r>
                <w:rPr>
                  <w:rStyle w:val="InternetLink"/>
                  <w:rFonts w:ascii="Times New Roman;serif" w:hAnsi="Times New Roman;serif"/>
                  <w:b w:val="false"/>
                  <w:color w:val="0000FF"/>
                  <w:sz w:val="20"/>
                  <w:u w:val="single"/>
                </w:rPr>
                <w:t>2</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28">
              <w:r>
                <w:rPr>
                  <w:rStyle w:val="InternetLink"/>
                  <w:rFonts w:ascii="Times New Roman;serif" w:hAnsi="Times New Roman;serif"/>
                  <w:b w:val="false"/>
                  <w:color w:val="0000FF"/>
                  <w:sz w:val="20"/>
                  <w:u w:val="single"/>
                </w:rPr>
                <w:t>Condensed 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28">
              <w:r>
                <w:rPr>
                  <w:rStyle w:val="InternetLink"/>
                  <w:rFonts w:ascii="Times New Roman;serif" w:hAnsi="Times New Roman;serif"/>
                  <w:b w:val="false"/>
                  <w:color w:val="0000FF"/>
                  <w:sz w:val="20"/>
                  <w:u w:val="single"/>
                </w:rPr>
                <w:t>3</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31">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31">
              <w:r>
                <w:rPr>
                  <w:rStyle w:val="InternetLink"/>
                  <w:rFonts w:ascii="Times New Roman;serif" w:hAnsi="Times New Roman;serif"/>
                  <w:b w:val="false"/>
                  <w:color w:val="0000FF"/>
                  <w:sz w:val="20"/>
                  <w:u w:val="single"/>
                </w:rPr>
                <w:t>4</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37">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37">
              <w:r>
                <w:rPr>
                  <w:rStyle w:val="InternetLink"/>
                  <w:rFonts w:ascii="Times New Roman;serif" w:hAnsi="Times New Roman;serif"/>
                  <w:b w:val="false"/>
                  <w:color w:val="0000FF"/>
                  <w:sz w:val="20"/>
                  <w:u w:val="single"/>
                </w:rPr>
                <w:t>8</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40">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40">
              <w:r>
                <w:rPr>
                  <w:rStyle w:val="InternetLink"/>
                  <w:rFonts w:ascii="Times New Roman;serif" w:hAnsi="Times New Roman;serif"/>
                  <w:b w:val="false"/>
                  <w:color w:val="0000FF"/>
                  <w:sz w:val="20"/>
                  <w:u w:val="single"/>
                </w:rPr>
                <w:t>10</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97">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97">
              <w:r>
                <w:rPr>
                  <w:rStyle w:val="InternetLink"/>
                  <w:rFonts w:ascii="Times New Roman;serif" w:hAnsi="Times New Roman;serif"/>
                  <w:b w:val="false"/>
                  <w:color w:val="0000FF"/>
                  <w:sz w:val="20"/>
                  <w:u w:val="single"/>
                </w:rPr>
                <w:t>29</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30">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30">
              <w:r>
                <w:rPr>
                  <w:rStyle w:val="InternetLink"/>
                  <w:rFonts w:ascii="Times New Roman;serif" w:hAnsi="Times New Roman;serif"/>
                  <w:b w:val="false"/>
                  <w:color w:val="0000FF"/>
                  <w:sz w:val="20"/>
                  <w:u w:val="single"/>
                </w:rPr>
                <w:t>43</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33">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33">
              <w:r>
                <w:rPr>
                  <w:rStyle w:val="InternetLink"/>
                  <w:rFonts w:ascii="Times New Roman;serif" w:hAnsi="Times New Roman;serif"/>
                  <w:b w:val="false"/>
                  <w:color w:val="0000FF"/>
                  <w:sz w:val="20"/>
                  <w:u w:val="single"/>
                </w:rPr>
                <w:t>44</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136">
              <w:r>
                <w:rPr>
                  <w:rStyle w:val="InternetLink"/>
                  <w:rFonts w:ascii="Times New Roman;serif" w:hAnsi="Times New Roman;serif"/>
                  <w:b w:val="false"/>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36">
              <w:r>
                <w:rPr>
                  <w:rStyle w:val="InternetLink"/>
                  <w:rFonts w:ascii="Times New Roman;serif" w:hAnsi="Times New Roman;serif"/>
                  <w:b w:val="false"/>
                  <w:color w:val="0000FF"/>
                  <w:sz w:val="20"/>
                  <w:u w:val="single"/>
                </w:rPr>
                <w:t>45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39">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39">
              <w:r>
                <w:rPr>
                  <w:rStyle w:val="InternetLink"/>
                  <w:rFonts w:ascii="Times New Roman;serif" w:hAnsi="Times New Roman;serif"/>
                  <w:b w:val="false"/>
                  <w:color w:val="0000FF"/>
                  <w:sz w:val="20"/>
                  <w:u w:val="single"/>
                </w:rPr>
                <w:t>45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42">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42">
              <w:r>
                <w:rPr>
                  <w:rStyle w:val="InternetLink"/>
                  <w:rFonts w:ascii="Times New Roman;serif" w:hAnsi="Times New Roman;serif"/>
                  <w:b w:val="false"/>
                  <w:color w:val="0000FF"/>
                  <w:sz w:val="20"/>
                  <w:u w:val="single"/>
                </w:rPr>
                <w:t>45</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45">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45">
              <w:r>
                <w:rPr>
                  <w:rStyle w:val="InternetLink"/>
                  <w:rFonts w:ascii="Times New Roman;serif" w:hAnsi="Times New Roman;serif"/>
                  <w:b w:val="false"/>
                  <w:color w:val="0000FF"/>
                  <w:sz w:val="20"/>
                  <w:u w:val="single"/>
                </w:rPr>
                <w:t>79</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48">
              <w:r>
                <w:rPr>
                  <w:rStyle w:val="InternetLink"/>
                  <w:rFonts w:ascii="Times New Roman;serif" w:hAnsi="Times New Roman;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48">
              <w:r>
                <w:rPr>
                  <w:rStyle w:val="InternetLink"/>
                  <w:rFonts w:ascii="Times New Roman;serif" w:hAnsi="Times New Roman;serif"/>
                  <w:b w:val="false"/>
                  <w:color w:val="0000FF"/>
                  <w:sz w:val="20"/>
                  <w:u w:val="single"/>
                </w:rPr>
                <w:t>79</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51">
              <w:r>
                <w:rPr>
                  <w:rStyle w:val="InternetLink"/>
                  <w:rFonts w:ascii="Times New Roman;serif" w:hAnsi="Times New Roman;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51">
              <w:r>
                <w:rPr>
                  <w:rStyle w:val="InternetLink"/>
                  <w:rFonts w:ascii="Times New Roman;serif" w:hAnsi="Times New Roman;serif"/>
                  <w:b w:val="false"/>
                  <w:color w:val="0000FF"/>
                  <w:sz w:val="20"/>
                  <w:u w:val="single"/>
                </w:rPr>
                <w:t>79</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54">
              <w:r>
                <w:rPr>
                  <w:rStyle w:val="InternetLink"/>
                  <w:rFonts w:ascii="Times New Roman;serif" w:hAnsi="Times New Roman;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54">
              <w:r>
                <w:rPr>
                  <w:rStyle w:val="InternetLink"/>
                  <w:rFonts w:ascii="Times New Roman;serif" w:hAnsi="Times New Roman;serif"/>
                  <w:b w:val="false"/>
                  <w:color w:val="0000FF"/>
                  <w:sz w:val="20"/>
                  <w:u w:val="single"/>
                </w:rPr>
                <w:t>79</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90"/>
              <w:jc w:val="left"/>
              <w:rPr/>
            </w:pPr>
            <w:hyperlink w:anchor="i30020bf8dc634908a588b7df2fb89bb2_160">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60">
              <w:r>
                <w:rPr>
                  <w:rStyle w:val="InternetLink"/>
                  <w:rFonts w:ascii="Times New Roman;serif" w:hAnsi="Times New Roman;serif"/>
                  <w:b w:val="false"/>
                  <w:color w:val="0000FF"/>
                  <w:sz w:val="20"/>
                  <w:u w:val="single"/>
                </w:rPr>
                <w:t>79</w:t>
              </w:r>
            </w:hyperlink>
          </w:p>
        </w:tc>
      </w:tr>
      <w:tr>
        <w:trPr/>
        <w:tc>
          <w:tcPr>
            <w:tcW w:w="8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0020bf8dc634908a588b7df2fb89bb2_163">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020bf8dc634908a588b7df2fb89bb2_163">
              <w:r>
                <w:rPr>
                  <w:rStyle w:val="InternetLink"/>
                  <w:rFonts w:ascii="Times New Roman;serif" w:hAnsi="Times New Roman;serif"/>
                  <w:b w:val="false"/>
                  <w:color w:val="0000FF"/>
                  <w:sz w:val="20"/>
                  <w:u w:val="single"/>
                </w:rPr>
                <w:t>81</w:t>
              </w:r>
            </w:hyperlink>
          </w:p>
        </w:tc>
      </w:tr>
    </w:tbl>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ability to grow or maintain our dollar-based net retention rate, expand usage of our platform within organizations, and sell subscriptions to our platform; our ability to effectively shift our pricing model to include consumption-based billing; our ability to convert individuals, teams, and organizations on our free and trial versions into paying customers; the timing and success of new features, integrations, capabilities, and enhancements by us, or by our competitors to their products, including the successful deployment of artificial intelligence (“AI”), or any other changes in the competitive landscape of our market; our ability to achieve widespread acceptance and use of our platform; growth in the work management market; the amount and timing of operating expenses and capital expenditures, as well as entry into operating leases, that we may incur to maintain and expand our business and operations and to remain competitive; our focus on growth to drive long-term value; the timing of expenses and our expectations regarding our cost of revenues, gross margin, and operating expenses; the effect of uncertainties related to ongoing macroeconomic conditions, including volatile equity capital markets, on our business, results of operations, and financial condition; performance of our sales and marketing activities; our protections against security breaches, technical difficulties, or interruptions to our platform; our ability to successfully defend litigation brought against us, potential dispute-related settlement payments, or other litigation-related costs; potential pricing pressure as a result of competition or otherwise; anticipated fluctuations in foreign currency exchange rates; potential costs and the anticipated timing of expenses related to the acquisition of businesses, such as our acquisition of Eigen Inc. (“StackAI”), talent, technologies, or intellectual property, including potentially significant amortization costs and possible write-downs; general economic conditions affecting domestic or international markets, and the rate of global information technology (“IT”) spending, including as a result of a downturn or recession, inflation and fluctuating interest rates, and instability in financial institutions and global financial markets; and geopolitical instability.</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looking statements do not reflect the potential impact of any future acquisitions, mergers, dispositions, joint ventures, restructurings, or investments.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with the Securities and Exchange Commission (the “SEC”) as exhibits to this Quarterly Report on Form 10-Q with the understanding that our actual future results, levels of activity, performance, and events and circumstances may be materially different from what we expect.</w:t>
      </w:r>
    </w:p>
    <w:p>
      <w:pPr>
        <w:pStyle w:val="TextBody"/>
        <w:bidi w:val="0"/>
        <w:spacing w:lineRule="auto" w:line="276" w:before="0" w:after="0"/>
        <w:ind w:left="0" w:right="0" w:firstLine="36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before="0" w:after="0"/>
        <w:ind w:left="0" w:right="0" w:firstLine="360"/>
        <w:jc w:val="center"/>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on Form 10-Q to “we,” “us,” “our,” “our company,” and “Asana” refer to Asana, Inc. and its consolidated subsidiaries. The Asana logo, “Asana,” “Work Graph,” the StackAI logo, “StackAI,” and our other registered or common law trademarks, service marks, or trade names appearing in this Quarterly Report on Form 10-Q are the property of Asana, Inc. Other trade names, trademarks, and service marks used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center"/>
        <w:rPr>
          <w:rFonts w:ascii="Times New Roman;serif" w:hAnsi="Times New Roman;serif"/>
          <w:b/>
          <w:color w:val="000000"/>
          <w:sz w:val="20"/>
        </w:rPr>
      </w:pPr>
      <w:r>
        <w:rPr>
          <w:rFonts w:ascii="Times New Roman;serif" w:hAnsi="Times New Roman;serif"/>
          <w:b/>
          <w:color w:val="000000"/>
          <w:sz w:val="20"/>
        </w:rPr>
        <w:t>SELECT RISK FACTORS AFFECTING OUR BUSINESS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Investing in our Class A common stock involves numerous risks, including the risks described in </w:t>
      </w:r>
      <w:r>
        <w:rPr>
          <w:rFonts w:ascii="Times New Roman;serif" w:hAnsi="Times New Roman;serif"/>
          <w:b w:val="false"/>
          <w:i/>
          <w:color w:val="000000"/>
          <w:sz w:val="20"/>
        </w:rPr>
        <w:t>Part II—Other Information, Item 1A. Risk Factors</w:t>
      </w:r>
      <w:r>
        <w:rPr>
          <w:color w:val="000000"/>
        </w:rPr>
        <w:t xml:space="preserve"> </w:t>
      </w:r>
      <w:r>
        <w:rPr>
          <w:rFonts w:ascii="Times New Roman;serif" w:hAnsi="Times New Roman;serif"/>
          <w:b w:val="false"/>
          <w:color w:val="000000"/>
          <w:sz w:val="20"/>
        </w:rPr>
        <w:t>of this Quarterly Report on Form 10-Q. Below are some of these risks, any one of which could materially adversely affect our business, financial condition, results of operations, and prospects.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prior growth rates may not be indicative of our future growth.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have a history of losses and we may not be able to achieve profitability or, if achieved, sustain profitability.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believe our long-term value as a company will be greater if we focus on growth, which may negatively impact our profitability in the near and medium term.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quarterly results may fluctuate significantly and may not meet our expectations or those of investors or securities analysts.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the market for work management solutions develops more slowly than we expect or declines, our business would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operate in a highly competitive industry, and competition presents an ongoing threat to the success of our business. Our ability to compete and ensure our success requires developments in our technology, including the successful deployment of AI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effectively develop and leverage our sales capabilities would harm our ability to expand usage of our platform within our customer base and achieve broader market acceptance of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fail to manage our technical operations infrastructure, or experience service outages, interruptions, or delays in the deployment of our platform, our results of operations may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If we are unable to ensure that our platform interoperates with a variety of software applications that are developed by others, including our integration partners, we may become less competitive and our results of operations may be harmed.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loss of one or more of our key personnel could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must continue to attract and retain highly qualified personnel in very competitive markets to continue to execute on our business strategy and growth plans.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culture has contributed to our success, and if we cannot maintain this culture as we grow, we could lose the employee engagement fostered by our culture, which could harm our business.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business depends on a strong brand, and if we are not able to maintain and enhance our brand, our ability to expand our base of customers may be impaired, and our business and results of operations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rely on third parties maintaining open marketplaces to distribute our mobile application. If such third parties interfere with the distribution of our platform, our business would be adversely affected.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to customers outside the United States and our international operations expose us to risks inherent in international sales and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and third parties with whom we work, are subject to stringent and evolving U.S. and foreign laws, regulations, rules, contractual obligations, industry standards, policies and other obligations related to AI, privacy, data protection, and security. Our actual or perceived failure to comply with such obligations (or such failure by the third parties with whom we work) could lead to regulatory investigations or actions; litigation; fines and penalties; disruptions of our business operations; reputational harm; loss of revenue or profits; loss of customers or sales; and other adverse business consequences.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trading price of our Class A common stock may be volatile and could decline significantly and rapidly.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consolidations, sale of all or substantially all of our assets, or other major corporate transaction requiring stockholder approval.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of substantial amounts of our Class A common stock in the public markets, or the perception that sales might occur, could cause the trading price of our Class A common stock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751" w:type="dxa"/>
        <w:jc w:val="center"/>
        <w:tblInd w:w="0" w:type="dxa"/>
        <w:tblLayout w:type="fixed"/>
        <w:tblCellMar>
          <w:top w:w="28" w:type="dxa"/>
          <w:left w:w="28" w:type="dxa"/>
          <w:bottom w:w="28" w:type="dxa"/>
          <w:right w:w="28" w:type="dxa"/>
        </w:tblCellMar>
      </w:tblPr>
      <w:tblGrid>
        <w:gridCol w:w="1377"/>
        <w:gridCol w:w="1216"/>
        <w:gridCol w:w="1232"/>
        <w:gridCol w:w="213"/>
        <w:gridCol w:w="837"/>
        <w:gridCol w:w="109"/>
        <w:gridCol w:w="109"/>
        <w:gridCol w:w="109"/>
        <w:gridCol w:w="109"/>
        <w:gridCol w:w="255"/>
        <w:gridCol w:w="999"/>
        <w:gridCol w:w="186"/>
      </w:tblGrid>
      <w:tr>
        <w:trPr/>
        <w:tc>
          <w:tcPr>
            <w:tcW w:w="137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199,835 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593,348 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844,088 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501,020 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(2,149,706)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154,117 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816,149 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844,088 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04925"/>
                <wp:effectExtent l="0" t="0" r="0" b="0"/>
                <wp:wrapNone/>
                <wp:docPr id="7" name="Frame7"/>
                <a:graphic xmlns:a="http://schemas.openxmlformats.org/drawingml/2006/main">
                  <a:graphicData uri="http://schemas.microsoft.com/office/word/2010/wordprocessingShape">
                    <wps:wsp>
                      <wps:cNvSpPr txBox="1"/>
                      <wps:spPr>
                        <a:xfrm>
                          <a:off x="0" y="0"/>
                          <a:ext cx="6480175" cy="1304925"/>
                        </a:xfrm>
                        <a:prstGeom prst="rect"/>
                        <a:solidFill>
                          <a:srgbClr val="FFFFFF"/>
                        </a:solidFill>
                      </wps:spPr>
                      <wps:txbx>
                        <w:txbxContent>
                          <w:p>
                            <w:pPr>
                              <w:pStyle w:val="TextBody"/>
                              <w:bidi w:val="0"/>
                              <w:spacing w:before="0" w:after="18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before="0" w:after="180"/>
                        <w:ind w:left="0" w:right="0" w:firstLine="360"/>
                        <w:jc w:val="center"/>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44"/>
        <w:gridCol w:w="1420"/>
        <w:gridCol w:w="143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1744"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438,115 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235,550</w:t>
            </w:r>
          </w:p>
        </w:tc>
      </w:tr>
    </w:tbl>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30" w:type="dxa"/>
        <w:jc w:val="center"/>
        <w:tblInd w:w="0" w:type="dxa"/>
        <w:tblLayout w:type="fixed"/>
        <w:tblCellMar>
          <w:top w:w="28" w:type="dxa"/>
          <w:left w:w="28" w:type="dxa"/>
          <w:bottom w:w="28" w:type="dxa"/>
          <w:right w:w="28" w:type="dxa"/>
        </w:tblCellMar>
      </w:tblPr>
      <w:tblGrid>
        <w:gridCol w:w="1607"/>
        <w:gridCol w:w="1403"/>
        <w:gridCol w:w="1430"/>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gains on marketable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(83,264)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389" w:type="dxa"/>
        <w:jc w:val="center"/>
        <w:tblInd w:w="0" w:type="dxa"/>
        <w:tblLayout w:type="fixed"/>
        <w:tblCellMar>
          <w:top w:w="28" w:type="dxa"/>
          <w:left w:w="28" w:type="dxa"/>
          <w:bottom w:w="28" w:type="dxa"/>
          <w:right w:w="28" w:type="dxa"/>
        </w:tblCellMar>
      </w:tblPr>
      <w:tblGrid>
        <w:gridCol w:w="696"/>
        <w:gridCol w:w="282"/>
        <w:gridCol w:w="283"/>
        <w:gridCol w:w="109"/>
        <w:gridCol w:w="109"/>
        <w:gridCol w:w="109"/>
        <w:gridCol w:w="126"/>
        <w:gridCol w:w="126"/>
        <w:gridCol w:w="126"/>
        <w:gridCol w:w="126"/>
        <w:gridCol w:w="413"/>
        <w:gridCol w:w="413"/>
        <w:gridCol w:w="232"/>
        <w:gridCol w:w="109"/>
        <w:gridCol w:w="109"/>
        <w:gridCol w:w="109"/>
        <w:gridCol w:w="368"/>
        <w:gridCol w:w="447"/>
        <w:gridCol w:w="191"/>
        <w:gridCol w:w="260"/>
        <w:gridCol w:w="260"/>
        <w:gridCol w:w="261"/>
        <w:gridCol w:w="232"/>
        <w:gridCol w:w="1073"/>
        <w:gridCol w:w="121"/>
        <w:gridCol w:w="109"/>
        <w:gridCol w:w="109"/>
        <w:gridCol w:w="109"/>
        <w:gridCol w:w="274"/>
        <w:gridCol w:w="800"/>
        <w:gridCol w:w="142"/>
        <w:gridCol w:w="109"/>
        <w:gridCol w:w="109"/>
        <w:gridCol w:w="109"/>
        <w:gridCol w:w="211"/>
        <w:gridCol w:w="991"/>
        <w:gridCol w:w="109"/>
        <w:gridCol w:w="109"/>
        <w:gridCol w:w="109"/>
        <w:gridCol w:w="109"/>
        <w:gridCol w:w="211"/>
        <w:gridCol w:w="82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7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Paid-In Capital</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April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233,901 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2,343,418 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and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2,403,456 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389" w:type="dxa"/>
        <w:jc w:val="center"/>
        <w:tblInd w:w="0" w:type="dxa"/>
        <w:tblLayout w:type="fixed"/>
        <w:tblCellMar>
          <w:top w:w="28" w:type="dxa"/>
          <w:left w:w="28" w:type="dxa"/>
          <w:bottom w:w="28" w:type="dxa"/>
          <w:right w:w="28" w:type="dxa"/>
        </w:tblCellMar>
      </w:tblPr>
      <w:tblGrid>
        <w:gridCol w:w="696"/>
        <w:gridCol w:w="282"/>
        <w:gridCol w:w="283"/>
        <w:gridCol w:w="109"/>
        <w:gridCol w:w="109"/>
        <w:gridCol w:w="109"/>
        <w:gridCol w:w="126"/>
        <w:gridCol w:w="126"/>
        <w:gridCol w:w="126"/>
        <w:gridCol w:w="126"/>
        <w:gridCol w:w="413"/>
        <w:gridCol w:w="413"/>
        <w:gridCol w:w="232"/>
        <w:gridCol w:w="109"/>
        <w:gridCol w:w="109"/>
        <w:gridCol w:w="109"/>
        <w:gridCol w:w="368"/>
        <w:gridCol w:w="447"/>
        <w:gridCol w:w="191"/>
        <w:gridCol w:w="260"/>
        <w:gridCol w:w="260"/>
        <w:gridCol w:w="261"/>
        <w:gridCol w:w="232"/>
        <w:gridCol w:w="1073"/>
        <w:gridCol w:w="121"/>
        <w:gridCol w:w="109"/>
        <w:gridCol w:w="109"/>
        <w:gridCol w:w="109"/>
        <w:gridCol w:w="274"/>
        <w:gridCol w:w="800"/>
        <w:gridCol w:w="142"/>
        <w:gridCol w:w="109"/>
        <w:gridCol w:w="109"/>
        <w:gridCol w:w="109"/>
        <w:gridCol w:w="211"/>
        <w:gridCol w:w="991"/>
        <w:gridCol w:w="109"/>
        <w:gridCol w:w="109"/>
        <w:gridCol w:w="109"/>
        <w:gridCol w:w="109"/>
        <w:gridCol w:w="211"/>
        <w:gridCol w:w="82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7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Paid-In Capital</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April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235,220 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2,118,447 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and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236,345 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2,183,543 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(1,960,252)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389" w:type="dxa"/>
        <w:jc w:val="center"/>
        <w:tblInd w:w="0" w:type="dxa"/>
        <w:tblLayout w:type="fixed"/>
        <w:tblCellMar>
          <w:top w:w="28" w:type="dxa"/>
          <w:left w:w="28" w:type="dxa"/>
          <w:bottom w:w="28" w:type="dxa"/>
          <w:right w:w="28" w:type="dxa"/>
        </w:tblCellMar>
      </w:tblPr>
      <w:tblGrid>
        <w:gridCol w:w="696"/>
        <w:gridCol w:w="282"/>
        <w:gridCol w:w="283"/>
        <w:gridCol w:w="109"/>
        <w:gridCol w:w="109"/>
        <w:gridCol w:w="109"/>
        <w:gridCol w:w="126"/>
        <w:gridCol w:w="126"/>
        <w:gridCol w:w="126"/>
        <w:gridCol w:w="126"/>
        <w:gridCol w:w="413"/>
        <w:gridCol w:w="413"/>
        <w:gridCol w:w="232"/>
        <w:gridCol w:w="109"/>
        <w:gridCol w:w="109"/>
        <w:gridCol w:w="109"/>
        <w:gridCol w:w="368"/>
        <w:gridCol w:w="447"/>
        <w:gridCol w:w="191"/>
        <w:gridCol w:w="260"/>
        <w:gridCol w:w="260"/>
        <w:gridCol w:w="261"/>
        <w:gridCol w:w="232"/>
        <w:gridCol w:w="1073"/>
        <w:gridCol w:w="121"/>
        <w:gridCol w:w="109"/>
        <w:gridCol w:w="109"/>
        <w:gridCol w:w="109"/>
        <w:gridCol w:w="274"/>
        <w:gridCol w:w="800"/>
        <w:gridCol w:w="142"/>
        <w:gridCol w:w="109"/>
        <w:gridCol w:w="109"/>
        <w:gridCol w:w="109"/>
        <w:gridCol w:w="211"/>
        <w:gridCol w:w="991"/>
        <w:gridCol w:w="109"/>
        <w:gridCol w:w="109"/>
        <w:gridCol w:w="109"/>
        <w:gridCol w:w="109"/>
        <w:gridCol w:w="211"/>
        <w:gridCol w:w="82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7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 2026</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Paid-In Capital</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2,299,616 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and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losses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230,674 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2,403,456 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389" w:type="dxa"/>
        <w:jc w:val="center"/>
        <w:tblInd w:w="0" w:type="dxa"/>
        <w:tblLayout w:type="fixed"/>
        <w:tblCellMar>
          <w:top w:w="28" w:type="dxa"/>
          <w:left w:w="28" w:type="dxa"/>
          <w:bottom w:w="28" w:type="dxa"/>
          <w:right w:w="28" w:type="dxa"/>
        </w:tblCellMar>
      </w:tblPr>
      <w:tblGrid>
        <w:gridCol w:w="696"/>
        <w:gridCol w:w="282"/>
        <w:gridCol w:w="283"/>
        <w:gridCol w:w="109"/>
        <w:gridCol w:w="109"/>
        <w:gridCol w:w="109"/>
        <w:gridCol w:w="126"/>
        <w:gridCol w:w="126"/>
        <w:gridCol w:w="126"/>
        <w:gridCol w:w="126"/>
        <w:gridCol w:w="413"/>
        <w:gridCol w:w="413"/>
        <w:gridCol w:w="232"/>
        <w:gridCol w:w="109"/>
        <w:gridCol w:w="109"/>
        <w:gridCol w:w="109"/>
        <w:gridCol w:w="368"/>
        <w:gridCol w:w="447"/>
        <w:gridCol w:w="191"/>
        <w:gridCol w:w="260"/>
        <w:gridCol w:w="260"/>
        <w:gridCol w:w="261"/>
        <w:gridCol w:w="232"/>
        <w:gridCol w:w="1073"/>
        <w:gridCol w:w="121"/>
        <w:gridCol w:w="109"/>
        <w:gridCol w:w="109"/>
        <w:gridCol w:w="109"/>
        <w:gridCol w:w="269"/>
        <w:gridCol w:w="806"/>
        <w:gridCol w:w="141"/>
        <w:gridCol w:w="109"/>
        <w:gridCol w:w="109"/>
        <w:gridCol w:w="109"/>
        <w:gridCol w:w="211"/>
        <w:gridCol w:w="991"/>
        <w:gridCol w:w="109"/>
        <w:gridCol w:w="109"/>
        <w:gridCol w:w="109"/>
        <w:gridCol w:w="109"/>
        <w:gridCol w:w="211"/>
        <w:gridCol w:w="826"/>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67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 2025</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Paid-In Capital</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Other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Stockholders’ 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4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232,888 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2,059,848 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and retirement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the vesting and settlement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share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at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236,345 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2,183,543 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(1,960,252)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597" w:type="dxa"/>
        <w:jc w:val="center"/>
        <w:tblInd w:w="0" w:type="dxa"/>
        <w:tblLayout w:type="fixed"/>
        <w:tblCellMar>
          <w:top w:w="28" w:type="dxa"/>
          <w:left w:w="28" w:type="dxa"/>
          <w:bottom w:w="28" w:type="dxa"/>
          <w:right w:w="28" w:type="dxa"/>
        </w:tblCellMar>
      </w:tblPr>
      <w:tblGrid>
        <w:gridCol w:w="2467"/>
        <w:gridCol w:w="2171"/>
        <w:gridCol w:w="2186"/>
        <w:gridCol w:w="211"/>
        <w:gridCol w:w="826"/>
        <w:gridCol w:w="109"/>
        <w:gridCol w:w="109"/>
        <w:gridCol w:w="109"/>
        <w:gridCol w:w="109"/>
        <w:gridCol w:w="211"/>
        <w:gridCol w:w="826"/>
        <w:gridCol w:w="109"/>
        <w:gridCol w:w="154"/>
      </w:tblGrid>
      <w:tr>
        <w:trPr/>
        <w:tc>
          <w:tcPr>
            <w:tcW w:w="246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 on revolving credit facility and term loan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business combinations: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 net of acquired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marketable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term loan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center"/>
        <w:rPr/>
      </w:pPr>
      <w:r>
        <w:rPr/>
      </w:r>
    </w:p>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120" w:after="180"/>
        <w:ind w:left="0" w:right="0" w:hanging="90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29"/>
        <w:gridCol w:w="2400"/>
        <w:gridCol w:w="2411"/>
        <w:gridCol w:w="211"/>
        <w:gridCol w:w="826"/>
        <w:gridCol w:w="109"/>
        <w:gridCol w:w="109"/>
        <w:gridCol w:w="109"/>
        <w:gridCol w:w="109"/>
        <w:gridCol w:w="211"/>
        <w:gridCol w:w="826"/>
        <w:gridCol w:w="155"/>
      </w:tblGrid>
      <w:tr>
        <w:trPr/>
        <w:tc>
          <w:tcPr>
            <w:tcW w:w="272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condensed consolidated balance sheets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data</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information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capitalized for internal-use software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ind w:left="0" w:right="0" w:firstLine="36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20"/>
        </w:rPr>
      </w:pPr>
      <w:r>
        <w:rPr>
          <w:rFonts w:ascii="Times New Roman;serif" w:hAnsi="Times New Roman;serif"/>
          <w:b/>
          <w:color w:val="000000"/>
          <w:sz w:val="20"/>
        </w:rPr>
        <w:t>Note 1.    Organization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Inc. (“Asana” or the “Company”) was incorporated in the state of Delaware on December 16, 2008. Asana is a leading work management platform for human and AI coordination. The Company is headquartered in San Francisco,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2.    Basis of Presentation and Summary of Significant Accounting Policies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conformity with generally accepted accounting principles in the United States of America (“GAAP”) and include the accounts of the Company’s wholly-owned subsidiaries. All intercompany transactions and balances have been eliminated on consolidation.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balance sheet as of January 31, 2026 included herein was derived from the audited financial statements as of that date, but does not include all disclosures, including certain notes required by GAAP on an annual reporting basis. In management's opinion, the unaudited condensed consolidated financial statements reflect all normal recurring adjustments necessary to state fairly the balance sheet, statements of comprehensive loss, and stockholders' equity, and statements of cash flows for the interim periods, but are not necessarily indicative of the results of operations to be anticipated for the full fiscal year or any future period.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should be read in conjunction with the audited consolidated financial statements and notes included in the Company’s Annual Report on Form 10-K filed with the SEC on March 13, 2026.</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amounts reported and disclosed in the condensed consolidated financial statements and accompanying notes. Estimates and assumptions reflected in the condensed consolidated financial statements include, but are not limited to, revenue recognition, the fair value of intangible assets acquired in business combinations, the useful lives of long-lived assets and intangible assets, the carrying values of long-lived assets, stock-based compensation expense, the period of benefit for deferred contract acquisition costs, income taxes, and the valuation of right-of-use (“ROU”) assets. Actual results could differ from those estimates.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macroeconomic events including inflation, fluctuating interest rates, bank failures, supply chain disruptions, fluctuations in currency exchange rates, tariffs and changes in trade agreements, and international armed conflicts have led to economic uncertainty. These macroeconomic conditions have and are likely to continue to have adverse effects on the rate of global information technology (“IT”) spending, including the buying patterns of the Company’s customers and prospective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conditions caused by the aforementioned macroeconomic events have affected and could continue to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the aforementioned macroeconomic events that would require it to update its estimates or judgments or adjust the carrying value of its assets or liabilities. Actual results could differ from those estimates and any such differences may be material to the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the Company to a concentration of credit risk consist of cash, cash equivalents, and marketable securities. The Company deposits its cash and cash equivalents and maintains its marketable securities with financial institutions that management believes are of high credit quality, although such deposits may, at times, exceed federally insured limits. The Company has not experienced any losses on its deposits of cash and cash equivalents to date. Cash equivalents are invested in highly rated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credit to customers in the normal course of business. For the three and six months ended July 31, 2026 and 2025, there were no individual customers that accounted for 10% or more of the Company’s revenues. No customer accounted for more than 10% of accounts receivable, net as of July 31, 2026 or January 31, 2026.</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Business Combination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acquisitions using the acquisition method of accounting in accordance with ASC 805, “Business Combinations”, which requires, among other things, allocation of the fair value of purchase consideration to the identifiable tangible and intangible assets acquired and liabilities assumed at their estimated fair values on the acquisition date. The excess of the fair value of purchase consideration over the values of the identifiable assets and liabilities is recorded as goodwill.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tangible and intangible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is evaluated for impairment at least annually in the fourth quarter, or more frequently if circumstances indicate that the carrying amount of goodwill may not be recoverable. A qualitative assessment is performed to determine whether it is more likely than not that the fair value of its reporting unit is less than its carrying amount. If the reporting unit does not pass the qualitative assessment, the carrying amount of the reporting unit, including goodwill, is compared to fair value and goodwill is considered impaired if the carrying value of the reporting unit exceeds its fair value. Any excess of the carrying value of the goodwill above its fair value is recognized as an impairment loss. For the purposes of impairment testing, the Company has one reporting unit.</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are carried at cost and amortized on a straight-line basis over their estimated useful lives, which range from five to seven years. The Company reviews definite-lived intangible assets for impairment under the long-lived asset model described in the Impairment of Long-Lived Assets section.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exit price that would be received to sell an asset or paid to transfer a liability in an orderly transaction between market participants at the reporting date. As such, fair value is a market-based measurement that should be determined based on assumptions that market participants would use in pricing an asset or liability. Fair value is estimated by utilizing a three-tier fair value hierarchy, which prioritizes the inputs used in measuring fair value as follows: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1—Observable inputs comprised of quoted prices for identical assets or liabilities in active markets.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2—Inputs other than the quoted prices in active markets that are observable either directly or indirectly.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3—Unobservable inputs in which there is little or no market data and that are significant to the fair value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fair value, a financial instrument’s classification within the three-tier fair value hierarchy is based on the lowest level of input that is significant to the fair value measurement.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 of certain financial instruments, including accounts receivable, accounts payable, and accrued liabilities approximates their fair values due to their short-term nature.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its operations and allocates resources as a single operating and reportable segment. The Company primarily generates revenues from subscriptions from paying customers accessing its cloud-based platform.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decision-maker is its Chief Executive Officer (“CEO”), who reviews financial information regularly provided on a consolidated basis for purposes of making operating decisions, assessing financial performance, and allocating resources.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Company’s CEO assesses performance and decides how to allocate resources based on consolidated net income or loss that is reported on the Company’s condensed consolidated statements of operations. The consolidated net income or loss is used by the CEO for purposes of evaluating return on assets and determining investment opportunities related to the Company's platform, product development, or sales and marketing. The CEO reviews consolidated expense information for each period based on the classifications presented on the Company's condensed consolidated statements of operations, including cost of revenues, research and development, sales and marketing, general and administrative, interest income and other income (expense), net, interest expense, and (benefit) provision for income taxes. For information regarding the Company’s depreciation and amortization expense see </w:t>
      </w:r>
      <w:r>
        <w:rPr>
          <w:rFonts w:ascii="Times New Roman;serif" w:hAnsi="Times New Roman;serif"/>
          <w:b w:val="false"/>
          <w:i/>
          <w:color w:val="000000"/>
          <w:sz w:val="20"/>
        </w:rPr>
        <w:t>Note 7. Balance Sheet Components</w:t>
      </w:r>
      <w:r>
        <w:rPr>
          <w:rFonts w:ascii="Times New Roman;serif" w:hAnsi="Times New Roman;serif"/>
          <w:b w:val="false"/>
          <w:color w:val="000000"/>
          <w:sz w:val="20"/>
        </w:rPr>
        <w:t xml:space="preserve">, for information regarding interest income, see </w:t>
      </w:r>
      <w:r>
        <w:rPr>
          <w:rFonts w:ascii="Times New Roman;serif" w:hAnsi="Times New Roman;serif"/>
          <w:b w:val="false"/>
          <w:i/>
          <w:color w:val="000000"/>
          <w:sz w:val="20"/>
        </w:rPr>
        <w:t>Note 13. Interest Income and Other Income (Expense)</w:t>
      </w:r>
      <w:r>
        <w:rPr>
          <w:rFonts w:ascii="Times New Roman;serif" w:hAnsi="Times New Roman;serif"/>
          <w:b w:val="false"/>
          <w:color w:val="000000"/>
          <w:sz w:val="20"/>
        </w:rPr>
        <w:t xml:space="preserve">, Net and for information regarding the Company’s revenues and long-lived assets by geographic area, see </w:t>
      </w:r>
      <w:r>
        <w:rPr>
          <w:rFonts w:ascii="Times New Roman;serif" w:hAnsi="Times New Roman;serif"/>
          <w:b w:val="false"/>
          <w:i/>
          <w:color w:val="000000"/>
          <w:sz w:val="20"/>
        </w:rPr>
        <w:t xml:space="preserve">Note 15. Geographic Information </w:t>
      </w:r>
      <w:r>
        <w:rPr>
          <w:rFonts w:ascii="Times New Roman;serif" w:hAnsi="Times New Roman;serif"/>
          <w:b w:val="false"/>
          <w:color w:val="000000"/>
          <w:sz w:val="20"/>
        </w:rPr>
        <w:t>in these condensed consolidated financial statements.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investments with original maturities at the date of purchase of three months or less to be cash equivalents. Cash and cash equivalents are stated at cost, which approximates fair value.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holds restricted cash for the future payment of voluntary disability insurance claims. The Company had $0.8 million of restricted cash as of July 31, 2026 and $0.4 million restricted cash as of January 31, 2026.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Available-for-sale Investments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marketable securities are primarily comprised of U.S. government securities, corporate bonds, and U.S. agency bonds. The Company classifies its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securities with stated maturities beyond 12 months, within current assets in the condensed consolidated balance sheets.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Available-for-sale securities are carried at fair value with unrealized gains and losses reported in accumulated other comprehensive income (loss) as a separate component of stockholders’ equity until realized. Unrealized gains and losses for any marketable securities that management intends to sell or is more likely than not that management will be required to sell prior to their anticipated recovery are recorded in interest income and other income (expense),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cash flows expected to be generated by the asset group. If such assets are considered to be impaired, the impairment recognized is measured by the amount by which the carrying amount of the assets exceeds the fair value of the assets. The Company recorded no impairment charge during the three and six months ended July 31, 2026 and 2025.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2024-03, “Income Statement - Reporting Comprehensive Income - Expense Disaggregation Disclosures (Subtopic 220-40),” and in January 2025, the FASB issued ASU 2025-01, “Income Statement - Reporting Comprehensive Income - Expense Disaggregation Disclosures (Subtopic 220-40): Clarifying the Effective Date”, which requires that public entities disclose, on an annual and interim basis, disaggregated information about specific expense categories (including employee compensation, depreciation, and amortization) presented on the face of the income statement. As clarified by ASU 2025-01, the guidance is effective for the Company’s fiscal years beginning February 1, 2027 and interim reporting periods within annual reporting periods beginning February 1, 2028. The Company is currently evaluating the impact of adoption of the standard on its consolidated financial statements and related disclosures.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September 2025, the FASB issued ASU 2025-06, "Intangibles—Goodwill and Other—Internal-Use Software (Subtopic 350-40)", which makes targeted improvements to the accounting for internal-use software. The guidance is effective for the Company's fiscal years and interim reporting periods beginning February 1, 2028, with early adoption permitted. The Company is currently evaluating the impact of adoption of the standard on its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3.    Revenues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Deferred Revenue and Remaining Performance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$98.7 million and $88.7 million of revenues during the three months ended July 31, 2026 and 2025, respectively, that were included in the deferred revenue balances at January 31, 2026 and 2025, respectively. The company recognized $244.9 million and $220.4 million of revenues during the six months ended July 31, 2026 and 2025, respectively, that were included in the deferred revenue balances at January 31, 2026 and 2025, respectively.</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Deferred revenue that will be recognized within the next 12 months is recorded as deferred revenue, current and the remaining portion is recorded as deferred revenue, noncurrent. As of July 31, 2026, the Company's remaining performance obligations from contracts with customers was </w:t>
      </w:r>
      <w:r>
        <w:rPr>
          <w:rFonts w:ascii="Times New Roman;serif" w:hAnsi="Times New Roman;serif"/>
          <w:b w:val="false"/>
          <w:color w:val="000000"/>
          <w:sz w:val="20"/>
          <w:shd w:fill="FFFFFF" w:val="clear"/>
        </w:rPr>
        <w:t>$522.0 million,</w:t>
      </w:r>
      <w:r>
        <w:rPr>
          <w:color w:val="000000"/>
        </w:rPr>
        <w:t xml:space="preserve"> </w:t>
      </w:r>
      <w:r>
        <w:rPr>
          <w:rFonts w:ascii="Times New Roman;serif" w:hAnsi="Times New Roman;serif"/>
          <w:b w:val="false"/>
          <w:color w:val="000000"/>
          <w:sz w:val="20"/>
        </w:rPr>
        <w:t>of which the Company expects to recognize approximately 81% as revenues over the next 12 months and the remainder thereafter.</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Deferred Contract Acquisition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deferred contract acquisition costs (in thousands):</w:t>
      </w:r>
    </w:p>
    <w:tbl>
      <w:tblPr>
        <w:tblW w:w="7898" w:type="dxa"/>
        <w:jc w:val="left"/>
        <w:tblInd w:w="0" w:type="dxa"/>
        <w:tblLayout w:type="fixed"/>
        <w:tblCellMar>
          <w:top w:w="28" w:type="dxa"/>
          <w:left w:w="28" w:type="dxa"/>
          <w:bottom w:w="28" w:type="dxa"/>
          <w:right w:w="28" w:type="dxa"/>
        </w:tblCellMar>
      </w:tblPr>
      <w:tblGrid>
        <w:gridCol w:w="1533"/>
        <w:gridCol w:w="1344"/>
        <w:gridCol w:w="1352"/>
        <w:gridCol w:w="109"/>
        <w:gridCol w:w="109"/>
        <w:gridCol w:w="176"/>
        <w:gridCol w:w="176"/>
        <w:gridCol w:w="342"/>
        <w:gridCol w:w="1168"/>
        <w:gridCol w:w="176"/>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of contract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14,631</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contract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(13,769)</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balances of deferred contract acquisition costs (in thousands):</w:t>
      </w:r>
    </w:p>
    <w:tbl>
      <w:tblPr>
        <w:tblW w:w="6760" w:type="dxa"/>
        <w:jc w:val="left"/>
        <w:tblInd w:w="0" w:type="dxa"/>
        <w:tblLayout w:type="fixed"/>
        <w:tblCellMar>
          <w:top w:w="28" w:type="dxa"/>
          <w:left w:w="28" w:type="dxa"/>
          <w:bottom w:w="28" w:type="dxa"/>
          <w:right w:w="28" w:type="dxa"/>
        </w:tblCellMar>
      </w:tblPr>
      <w:tblGrid>
        <w:gridCol w:w="1412"/>
        <w:gridCol w:w="1242"/>
        <w:gridCol w:w="1245"/>
        <w:gridCol w:w="222"/>
        <w:gridCol w:w="759"/>
        <w:gridCol w:w="114"/>
        <w:gridCol w:w="109"/>
        <w:gridCol w:w="109"/>
        <w:gridCol w:w="109"/>
        <w:gridCol w:w="279"/>
        <w:gridCol w:w="956"/>
        <w:gridCol w:w="204"/>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contract acquisition costs</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44,346 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 is presented within prepaid expenses and other current assets in the condensed consolidated balance sheets. Deferred contract acquisition costs, noncurrent is presented within other assets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4.    Fair Value Measurements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for assets measured at fair value, the respective fair value and classification by level of input within the fair value hierarchy (in thousands):</w:t>
      </w:r>
    </w:p>
    <w:tbl>
      <w:tblPr>
        <w:tblW w:w="7395"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95"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investments in marketable securities on the condensed consolidated balance sheets (in thousands):</w:t>
      </w:r>
    </w:p>
    <w:tbl>
      <w:tblPr>
        <w:tblW w:w="8358"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74"/>
        <w:gridCol w:w="469"/>
        <w:gridCol w:w="143"/>
        <w:gridCol w:w="109"/>
        <w:gridCol w:w="109"/>
        <w:gridCol w:w="109"/>
        <w:gridCol w:w="480"/>
        <w:gridCol w:w="1115"/>
        <w:gridCol w:w="24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both"/>
        <w:rPr/>
      </w:pPr>
      <w:r>
        <w:rPr/>
      </w:r>
    </w:p>
    <w:tbl>
      <w:tblPr>
        <w:tblW w:w="8626" w:type="dxa"/>
        <w:jc w:val="left"/>
        <w:tblInd w:w="0" w:type="dxa"/>
        <w:tblLayout w:type="fixed"/>
        <w:tblCellMar>
          <w:top w:w="28" w:type="dxa"/>
          <w:left w:w="28" w:type="dxa"/>
          <w:bottom w:w="28" w:type="dxa"/>
          <w:right w:w="28" w:type="dxa"/>
        </w:tblCellMar>
      </w:tblPr>
      <w:tblGrid>
        <w:gridCol w:w="836"/>
        <w:gridCol w:w="735"/>
        <w:gridCol w:w="739"/>
        <w:gridCol w:w="211"/>
        <w:gridCol w:w="826"/>
        <w:gridCol w:w="109"/>
        <w:gridCol w:w="109"/>
        <w:gridCol w:w="109"/>
        <w:gridCol w:w="109"/>
        <w:gridCol w:w="211"/>
        <w:gridCol w:w="616"/>
        <w:gridCol w:w="109"/>
        <w:gridCol w:w="109"/>
        <w:gridCol w:w="109"/>
        <w:gridCol w:w="109"/>
        <w:gridCol w:w="558"/>
        <w:gridCol w:w="995"/>
        <w:gridCol w:w="291"/>
        <w:gridCol w:w="109"/>
        <w:gridCol w:w="109"/>
        <w:gridCol w:w="109"/>
        <w:gridCol w:w="211"/>
        <w:gridCol w:w="826"/>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the Company’s marketable securities as of July 31, 2026 (in thousands):</w:t>
      </w:r>
    </w:p>
    <w:tbl>
      <w:tblPr>
        <w:tblW w:w="6300" w:type="dxa"/>
        <w:jc w:val="left"/>
        <w:tblInd w:w="0" w:type="dxa"/>
        <w:tblLayout w:type="fixed"/>
        <w:tblCellMar>
          <w:top w:w="28" w:type="dxa"/>
          <w:left w:w="28" w:type="dxa"/>
          <w:bottom w:w="28" w:type="dxa"/>
          <w:right w:w="28" w:type="dxa"/>
        </w:tblCellMar>
      </w:tblPr>
      <w:tblGrid>
        <w:gridCol w:w="902"/>
        <w:gridCol w:w="790"/>
        <w:gridCol w:w="797"/>
        <w:gridCol w:w="109"/>
        <w:gridCol w:w="109"/>
        <w:gridCol w:w="109"/>
        <w:gridCol w:w="229"/>
        <w:gridCol w:w="898"/>
        <w:gridCol w:w="118"/>
        <w:gridCol w:w="109"/>
        <w:gridCol w:w="109"/>
        <w:gridCol w:w="109"/>
        <w:gridCol w:w="303"/>
        <w:gridCol w:w="1189"/>
        <w:gridCol w:w="157"/>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July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to three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120,558 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120,289 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evaluates its investments for expected credit losses. The Company had certain available-for-sale investment securities in a gross unrealized loss position, substantially all of which had been in such position for less than 12 months. The unrealized losses on the available-for-sale securities were primarily due to unfavorable changes in interest rates subsequent to the initial purchase of these securities. The Company expects to recover the full carrying value of its available-for-sale securities in an unrealized loss position as it does not intend or anticipate a need to sell these securities prior to recovering the associated unrealized losses. The Company also expects any credit losses would be immaterial based on the high-grade credit rating for each of such available-for-sale securities. As a result, the Company does not consider any portion of the unrealized losses as of July 31, 2026 or January 31, 2026 to represent credit losses.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April 2020 and November 2022, the Company entered into credit agreements (the “April 2020 Senior Secured Term Loan” and “November 2022 Senior Secured Credit Facility” as defined in </w:t>
      </w:r>
      <w:r>
        <w:rPr>
          <w:rFonts w:ascii="Times New Roman;serif" w:hAnsi="Times New Roman;serif"/>
          <w:b w:val="false"/>
          <w:i/>
          <w:color w:val="000000"/>
          <w:sz w:val="20"/>
        </w:rPr>
        <w:t>Note 8. Debt</w:t>
      </w:r>
      <w:r>
        <w:rPr>
          <w:rFonts w:ascii="Times New Roman;serif" w:hAnsi="Times New Roman;serif"/>
          <w:b w:val="false"/>
          <w:color w:val="000000"/>
          <w:sz w:val="20"/>
        </w:rPr>
        <w:t>) with Silicon Valley Bank (“SVB”). The credit facilities are carried at amortized cost, which approximated their fair values as of July 31, 2026 and January 31, 2026. If the credit facilities were measured at fair value in the financial statements, they would be classified as Level 2 in the fair value hierarchy. The April 2020 Senior Secured Term Loan was repaid in full and terminated in November 2022. On March 27, 2023, First Citizens BancShares, Inc. announced that it entered into an agreement to purchase assets and liabilities of SVB, inclusive of the November 2022 Senior Secured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5.    Business Combination</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27, 2026, the Company acquired 100% of the outstanding equity interests of Eigen Inc. (“StackAI”), a privately-held artificial intelligence company that offers a no-code automation platform, for aggregate cash consideration of $74.6 million. The Company paid $18.4 million of the consideration to an escrow account held by a third party for post-closing indemnification obligations. The acquisition is expected to help accelerate the Company’s broader AI platform strategy. </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transaction was accounted for as a business combination using the acquisition method of accounting in accordance with ASC 805. The Company allocated the purchase price to the tangible and identifiable intangible assets acquired and liabilities assumed based on their respective estimated fair values on the acquisition date, with the remaining balance allocated to goodwill. The preliminary allocation of purchase consideration was as follows (in thousands):</w:t>
      </w:r>
    </w:p>
    <w:tbl>
      <w:tblPr>
        <w:tblW w:w="5106" w:type="dxa"/>
        <w:jc w:val="left"/>
        <w:tblInd w:w="0" w:type="dxa"/>
        <w:tblLayout w:type="fixed"/>
        <w:tblCellMar>
          <w:top w:w="28" w:type="dxa"/>
          <w:left w:w="28" w:type="dxa"/>
          <w:bottom w:w="28" w:type="dxa"/>
          <w:right w:w="28" w:type="dxa"/>
        </w:tblCellMar>
      </w:tblPr>
      <w:tblGrid>
        <w:gridCol w:w="1455"/>
        <w:gridCol w:w="1280"/>
        <w:gridCol w:w="1285"/>
        <w:gridCol w:w="211"/>
        <w:gridCol w:w="721"/>
        <w:gridCol w:w="154"/>
      </w:tblGrid>
      <w:tr>
        <w:trPr/>
        <w:tc>
          <w:tcPr>
            <w:tcW w:w="145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Fair Value of Assets Acquired and Liabilities Assumed</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Goodwill represents the excess of the purchase consideration over the fair value of the identifiable net assets acquired. The goodwill is primarily attributed to the expected operational synergies, assembled workforce, and other intangible benefits that do not qualify for separate recognition. The goodwill is not deductible for tax purposes.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the component of identifiable intangible assets acquired and their estimated useful lives as of the date of the acquisition (in thousands):</w:t>
      </w:r>
    </w:p>
    <w:tbl>
      <w:tblPr>
        <w:tblW w:w="6684" w:type="dxa"/>
        <w:jc w:val="left"/>
        <w:tblInd w:w="0" w:type="dxa"/>
        <w:tblLayout w:type="fixed"/>
        <w:tblCellMar>
          <w:top w:w="28" w:type="dxa"/>
          <w:left w:w="28" w:type="dxa"/>
          <w:bottom w:w="28" w:type="dxa"/>
          <w:right w:w="28" w:type="dxa"/>
        </w:tblCellMar>
      </w:tblPr>
      <w:tblGrid>
        <w:gridCol w:w="848"/>
        <w:gridCol w:w="743"/>
        <w:gridCol w:w="748"/>
        <w:gridCol w:w="334"/>
        <w:gridCol w:w="1143"/>
        <w:gridCol w:w="172"/>
        <w:gridCol w:w="109"/>
        <w:gridCol w:w="109"/>
        <w:gridCol w:w="109"/>
        <w:gridCol w:w="692"/>
        <w:gridCol w:w="692"/>
        <w:gridCol w:w="985"/>
      </w:tblGrid>
      <w:tr>
        <w:trPr/>
        <w:tc>
          <w:tcPr>
            <w:tcW w:w="8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Useful Life (in years)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and trademark</w:t>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developed technology and trade names and trademark assets were estimated using the relief-from-royalty method, which utilizes assumptions including revenue growth rates, future expected cash flows, royalty rates and technology obsolescence curves. The fair value of the customer relationship asset was estimated using the multi-period excess earnings method, which utilizes assumptions including revenue growth rates, attrition rates and future expected cash flows.</w:t>
      </w:r>
    </w:p>
    <w:p>
      <w:pPr>
        <w:pStyle w:val="TextBody"/>
        <w:bidi w:val="0"/>
        <w:spacing w:lineRule="auto" w:line="288" w:before="0" w:after="18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connection with the acquisition, the Company granted equity awards to certain employees of the acquired company. These awards consist of 4.5 million restricted stock unit awards (“RSUs”) and 3.0 million performance-based restricted stock unit awards (“PSUs”). Additional PSUs equal to approximately $20.0 million are expected to be granted to StackAI employees approximately one-year from the acquisition date, subject to continued employment with the Company and the achievement of certain performance targets. The awards will vest over a period of two years after the grant date. As the awards are contingent upon future service, they are accounted for as post-combination stock-based compensation expense in accordance with ASC 718 and are not included as part of the purchase consideration for the acquisition under ASC 805.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 Company incurred acquisition-related costs of </w:t>
      </w:r>
      <w:r>
        <w:rPr>
          <w:rFonts w:ascii="Times New Roman;serif" w:hAnsi="Times New Roman;serif"/>
          <w:b w:val="false"/>
          <w:color w:val="000000"/>
          <w:sz w:val="20"/>
        </w:rPr>
        <w:t xml:space="preserve">$1.4 million and $1.9 million for the three and six months ended July 31, 2026 </w:t>
      </w:r>
      <w:r>
        <w:rPr>
          <w:rFonts w:ascii="Times New Roman;serif" w:hAnsi="Times New Roman;serif"/>
          <w:b w:val="false"/>
          <w:color w:val="000000"/>
          <w:sz w:val="20"/>
          <w:shd w:fill="FFFFFF" w:val="clear"/>
        </w:rPr>
        <w:t xml:space="preserve">in connection with this acquisition. No acquisition-related costs were incurred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July 31, 2025</w:t>
      </w:r>
      <w:r>
        <w:rPr>
          <w:rFonts w:ascii="Times New Roman;serif" w:hAnsi="Times New Roman;serif"/>
          <w:b w:val="false"/>
          <w:color w:val="000000"/>
          <w:sz w:val="20"/>
          <w:shd w:fill="FFFFFF" w:val="clear"/>
        </w:rPr>
        <w:t>. These expenses are included in general and administrative expenses on the Company’s condensed consolidated statement of operations.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 xml:space="preserve">The results of StackAI were included in our consolidated financial statements from the date of acquisition. For the period from May 27, 2026 through </w:t>
      </w:r>
      <w:r>
        <w:rPr>
          <w:rFonts w:ascii="Times New Roman;serif" w:hAnsi="Times New Roman;serif"/>
          <w:b w:val="false"/>
          <w:color w:val="000000"/>
          <w:sz w:val="20"/>
        </w:rPr>
        <w:t>July 31, 2026</w:t>
      </w:r>
      <w:r>
        <w:rPr>
          <w:rFonts w:ascii="Times New Roman;serif" w:hAnsi="Times New Roman;serif"/>
          <w:b w:val="false"/>
          <w:color w:val="000000"/>
          <w:sz w:val="20"/>
          <w:shd w:fill="FFFFFF" w:val="clear"/>
        </w:rPr>
        <w:t>, StackAI contributed an immaterial amount of revenue and loss before taxes. Pro forma financial information has not been presented because the effects of the acquisition were not material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Note 6.     Goodwill and Intangible Assets,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amounts of goodwill were as follows (in thousands):</w:t>
      </w:r>
    </w:p>
    <w:tbl>
      <w:tblPr>
        <w:tblW w:w="3869" w:type="dxa"/>
        <w:jc w:val="left"/>
        <w:tblInd w:w="0" w:type="dxa"/>
        <w:tblLayout w:type="fixed"/>
        <w:tblCellMar>
          <w:top w:w="28" w:type="dxa"/>
          <w:left w:w="28" w:type="dxa"/>
          <w:bottom w:w="28" w:type="dxa"/>
          <w:right w:w="28" w:type="dxa"/>
        </w:tblCellMar>
      </w:tblPr>
      <w:tblGrid>
        <w:gridCol w:w="875"/>
        <w:gridCol w:w="767"/>
        <w:gridCol w:w="773"/>
        <w:gridCol w:w="282"/>
        <w:gridCol w:w="966"/>
        <w:gridCol w:w="206"/>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31, 2026</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acquired</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July 31, 2026</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56,645 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net consists of the following (in thousands):</w:t>
      </w:r>
    </w:p>
    <w:tbl>
      <w:tblPr>
        <w:tblW w:w="8240" w:type="dxa"/>
        <w:jc w:val="left"/>
        <w:tblInd w:w="0" w:type="dxa"/>
        <w:tblLayout w:type="fixed"/>
        <w:tblCellMar>
          <w:top w:w="28" w:type="dxa"/>
          <w:left w:w="28" w:type="dxa"/>
          <w:bottom w:w="28" w:type="dxa"/>
          <w:right w:w="28" w:type="dxa"/>
        </w:tblCellMar>
      </w:tblPr>
      <w:tblGrid>
        <w:gridCol w:w="979"/>
        <w:gridCol w:w="858"/>
        <w:gridCol w:w="863"/>
        <w:gridCol w:w="1284"/>
        <w:gridCol w:w="1284"/>
        <w:gridCol w:w="1287"/>
        <w:gridCol w:w="109"/>
        <w:gridCol w:w="109"/>
        <w:gridCol w:w="109"/>
        <w:gridCol w:w="222"/>
        <w:gridCol w:w="759"/>
        <w:gridCol w:w="114"/>
        <w:gridCol w:w="109"/>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 and trademark</w:t>
            </w:r>
          </w:p>
        </w:tc>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intangible assets</w:t>
            </w:r>
          </w:p>
        </w:tc>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3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for intangible assets was $0.5 million for the three and six months ended July 31, 2026. There was no amortization expense for intangibles for the three and six months ended July 31,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future amortization expense related to intangible assets held as of July 31, 2026 were as follows (in thousands):</w:t>
      </w:r>
    </w:p>
    <w:tbl>
      <w:tblPr>
        <w:tblW w:w="3950" w:type="dxa"/>
        <w:jc w:val="left"/>
        <w:tblInd w:w="0" w:type="dxa"/>
        <w:tblLayout w:type="fixed"/>
        <w:tblCellMar>
          <w:top w:w="28" w:type="dxa"/>
          <w:left w:w="28" w:type="dxa"/>
          <w:bottom w:w="28" w:type="dxa"/>
          <w:right w:w="28" w:type="dxa"/>
        </w:tblCellMar>
      </w:tblPr>
      <w:tblGrid>
        <w:gridCol w:w="1035"/>
        <w:gridCol w:w="910"/>
        <w:gridCol w:w="919"/>
        <w:gridCol w:w="211"/>
        <w:gridCol w:w="721"/>
        <w:gridCol w:w="154"/>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amortization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Note 7.    Balance Sheet Components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7066" w:type="dxa"/>
        <w:jc w:val="left"/>
        <w:tblInd w:w="0" w:type="dxa"/>
        <w:tblLayout w:type="fixed"/>
        <w:tblCellMar>
          <w:top w:w="28" w:type="dxa"/>
          <w:left w:w="28" w:type="dxa"/>
          <w:bottom w:w="28" w:type="dxa"/>
          <w:right w:w="28" w:type="dxa"/>
        </w:tblCellMar>
      </w:tblPr>
      <w:tblGrid>
        <w:gridCol w:w="1505"/>
        <w:gridCol w:w="1322"/>
        <w:gridCol w:w="1327"/>
        <w:gridCol w:w="211"/>
        <w:gridCol w:w="826"/>
        <w:gridCol w:w="109"/>
        <w:gridCol w:w="109"/>
        <w:gridCol w:w="109"/>
        <w:gridCol w:w="109"/>
        <w:gridCol w:w="279"/>
        <w:gridCol w:w="956"/>
        <w:gridCol w:w="204"/>
      </w:tblGrid>
      <w:tr>
        <w:trPr/>
        <w:tc>
          <w:tcPr>
            <w:tcW w:w="15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Desktop and other computer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property and equipment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170,313 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$6.1 million and $5.2 million for the three months ended July 31, 2026 and 2025, respectively, and $12.3 million and $10.1 million for the six months ended July 31, 2026 and 2025, respectively.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(in thousands):</w:t>
      </w:r>
    </w:p>
    <w:tbl>
      <w:tblPr>
        <w:tblW w:w="6791" w:type="dxa"/>
        <w:jc w:val="left"/>
        <w:tblInd w:w="0" w:type="dxa"/>
        <w:tblLayout w:type="fixed"/>
        <w:tblCellMar>
          <w:top w:w="28" w:type="dxa"/>
          <w:left w:w="28" w:type="dxa"/>
          <w:bottom w:w="28" w:type="dxa"/>
          <w:right w:w="28" w:type="dxa"/>
        </w:tblCellMar>
      </w:tblPr>
      <w:tblGrid>
        <w:gridCol w:w="1424"/>
        <w:gridCol w:w="1248"/>
        <w:gridCol w:w="1258"/>
        <w:gridCol w:w="222"/>
        <w:gridCol w:w="759"/>
        <w:gridCol w:w="114"/>
        <w:gridCol w:w="109"/>
        <w:gridCol w:w="109"/>
        <w:gridCol w:w="109"/>
        <w:gridCol w:w="279"/>
        <w:gridCol w:w="956"/>
        <w:gridCol w:w="204"/>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 (in thousands):</w:t>
      </w:r>
    </w:p>
    <w:tbl>
      <w:tblPr>
        <w:tblW w:w="7173" w:type="dxa"/>
        <w:jc w:val="left"/>
        <w:tblInd w:w="0" w:type="dxa"/>
        <w:tblLayout w:type="fixed"/>
        <w:tblCellMar>
          <w:top w:w="28" w:type="dxa"/>
          <w:left w:w="28" w:type="dxa"/>
          <w:bottom w:w="28" w:type="dxa"/>
          <w:right w:w="28" w:type="dxa"/>
        </w:tblCellMar>
      </w:tblPr>
      <w:tblGrid>
        <w:gridCol w:w="1544"/>
        <w:gridCol w:w="1354"/>
        <w:gridCol w:w="1362"/>
        <w:gridCol w:w="211"/>
        <w:gridCol w:w="826"/>
        <w:gridCol w:w="109"/>
        <w:gridCol w:w="109"/>
        <w:gridCol w:w="109"/>
        <w:gridCol w:w="109"/>
        <w:gridCol w:w="255"/>
        <w:gridCol w:w="999"/>
        <w:gridCol w:w="186"/>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 loan,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sales and value-added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 for fringe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consulting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Note 8.     Debt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2020, the Company entered into a five-year $40.0 million term loan agreement with SVB (the “April 2020 Senior Secured Term Loan”) which provided for a senior secured term loan facility, in an aggregate principal amount of up to $40.0 million to be used for the construction of the Company’s corporate headquarters. Interest accrued and was payable monthly based on a floating rate per annum equal to the prime rate (per the Wall Street Journal) plus an applicable margin ranging from 0% to (1.0)% based on the Company’s unrestricted cash balance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lender. The April 2020 Senior Secured Term Loan was repaid in full and terminated in November 2022 in connection with a refinance.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2022, the Company entered into an agreement for a four-year credit facility (as amended on April 13, 2023, June 18, 2024, November 18, 2024, May 29, 2025, and February 26, 2026, the “November 2022 Senior Secured Credit Facility”) with SVB, which refinanced the April 2020 Senior Secured Term Loan. The November 2022 Senior Secured Credit Facility provides for senior secured credit facilities in the aggregate principal amount of $150.0 million, including a senior secured term loan facility in an aggregate principal amount of $50.0 million and a revolving loan facility in an aggregate principal amount of up to $100.0 million, including a $30.0 million letter of credit sub-facility, maturing on November 7, 2026. On March 27, 2023, First Citizens BancShares, Inc. announced that it entered into an agreement to purchase assets and liabilities of SVB, inclusive of the November 2022 Senior Secured Credit Facility.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November 2022 Senior Secured Credit Facility may be designated as ABR Loans or SOFR Loans, subject to certain terms and conditions under the agreement. ABR Loans accrue interest at a rate per annum equal to the ABR plus an applicable margin of 1.25%. Term SOFR Loans accrue interest at a rate per annum equal to the applicable adjusted term SOFR rate, which is equal to the applicable term SOFR rate plus a term SOFR adjustment of 10 basis points, provided such adjusted term SOFR rate shall not be less than zero, plus an applicable margin of 2.25%. Interest accrues and is payable on a monthly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November 2022 Senior Secured Credit Facility contains customary conditions to borrowing, events of default, and covenants, including covenants that restrict the Company’s ability to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including a consolidated adjusted quick ratio of 1.25 to 1.00, as well as a minimum cash adjusted earnings before interest, taxes, depreciation, and amortization (“EBITDA”), each tested on a quarterly basis.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Pursuant to the terms of the November 2022 Senior Secured Credit Facility, the Company may issue letters of credit which may reduce the total amount available for borrowing under the revolving credit facility. Additionally, the Company is required to pay an annual commitment fee that accrues at a rate of 0.15% per annum on the unused portion of the borrowing commitments under the revolving credit facility. The Company had an aggregate of </w:t>
      </w:r>
      <w:r>
        <w:rPr>
          <w:rFonts w:ascii="Times New Roman;serif" w:hAnsi="Times New Roman;serif"/>
          <w:b w:val="false"/>
          <w:color w:val="000000"/>
          <w:sz w:val="20"/>
          <w:shd w:fill="FFFFFF" w:val="clear"/>
        </w:rPr>
        <w:t>$21.7 million</w:t>
      </w:r>
      <w:r>
        <w:rPr>
          <w:color w:val="000000"/>
        </w:rPr>
        <w:t xml:space="preserve"> </w:t>
      </w:r>
      <w:r>
        <w:rPr>
          <w:rFonts w:ascii="Times New Roman;serif" w:hAnsi="Times New Roman;serif"/>
          <w:b w:val="false"/>
          <w:color w:val="000000"/>
          <w:sz w:val="20"/>
        </w:rPr>
        <w:t>of letters of credit outstanding under the revolving credit facility as of July 31, 2026, and the Company’s total available borrowing capacity under the revolving credit facility was $78.3 million as of July 31, 2026.</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As of July 31, 2026, </w:t>
      </w:r>
      <w:r>
        <w:rPr>
          <w:rFonts w:ascii="Times New Roman;serif" w:hAnsi="Times New Roman;serif"/>
          <w:b w:val="false"/>
          <w:color w:val="000000"/>
          <w:sz w:val="20"/>
          <w:shd w:fill="FFFFFF" w:val="clear"/>
        </w:rPr>
        <w:t>$50.0 million</w:t>
      </w:r>
      <w:r>
        <w:rPr>
          <w:color w:val="000000"/>
        </w:rPr>
        <w:t xml:space="preserve"> </w:t>
      </w:r>
      <w:r>
        <w:rPr>
          <w:rFonts w:ascii="Times New Roman;serif" w:hAnsi="Times New Roman;serif"/>
          <w:b w:val="false"/>
          <w:color w:val="000000"/>
          <w:sz w:val="20"/>
        </w:rPr>
        <w:t xml:space="preserve">was drawn and </w:t>
      </w:r>
      <w:r>
        <w:rPr>
          <w:rFonts w:ascii="Times New Roman;serif" w:hAnsi="Times New Roman;serif"/>
          <w:b w:val="false"/>
          <w:color w:val="000000"/>
          <w:sz w:val="20"/>
          <w:shd w:fill="FFFFFF" w:val="clear"/>
        </w:rPr>
        <w:t xml:space="preserve">$36.9 million </w:t>
      </w:r>
      <w:r>
        <w:rPr>
          <w:rFonts w:ascii="Times New Roman;serif" w:hAnsi="Times New Roman;serif"/>
          <w:b w:val="false"/>
          <w:color w:val="000000"/>
          <w:sz w:val="20"/>
        </w:rPr>
        <w:t>was outstanding under the November 2022 Senior Secured Credit Facility. As of July 31, 2026, the Company was in compliance with all financial covenants.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conjunction with the close of the November 2022 Senior Secured Credit Facility, the Company paid upfront issuance fees of $0.4 million. The upfront fees are amortized over the remaining term of the agreement. As of July 31, 2026, the Company had less than $0.1 million remaining of upfront issuance fees allocated to the revolving credit facility presented in the Company’s condensed consolidated balance sheet within prepaid expenses and other current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amounts of the November 2022 Senior Secured Credit Facility were as follows (in thousands):</w:t>
      </w:r>
    </w:p>
    <w:tbl>
      <w:tblPr>
        <w:tblW w:w="5620" w:type="dxa"/>
        <w:jc w:val="left"/>
        <w:tblInd w:w="0" w:type="dxa"/>
        <w:tblLayout w:type="fixed"/>
        <w:tblCellMar>
          <w:top w:w="28" w:type="dxa"/>
          <w:left w:w="28" w:type="dxa"/>
          <w:bottom w:w="28" w:type="dxa"/>
          <w:right w:w="28" w:type="dxa"/>
        </w:tblCellMar>
      </w:tblPr>
      <w:tblGrid>
        <w:gridCol w:w="999"/>
        <w:gridCol w:w="876"/>
        <w:gridCol w:w="884"/>
        <w:gridCol w:w="222"/>
        <w:gridCol w:w="759"/>
        <w:gridCol w:w="114"/>
        <w:gridCol w:w="109"/>
        <w:gridCol w:w="109"/>
        <w:gridCol w:w="109"/>
        <w:gridCol w:w="279"/>
        <w:gridCol w:w="956"/>
        <w:gridCol w:w="204"/>
      </w:tblGrid>
      <w:tr>
        <w:trPr/>
        <w:tc>
          <w:tcPr>
            <w:tcW w:w="99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40,625 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loan issuance costs</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40,823 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58" w:type="dxa"/>
        <w:jc w:val="left"/>
        <w:tblInd w:w="0" w:type="dxa"/>
        <w:tblLayout w:type="fixed"/>
        <w:tblCellMar>
          <w:top w:w="28" w:type="dxa"/>
          <w:left w:w="28" w:type="dxa"/>
          <w:bottom w:w="28" w:type="dxa"/>
          <w:right w:w="28" w:type="dxa"/>
        </w:tblCellMar>
      </w:tblPr>
      <w:tblGrid>
        <w:gridCol w:w="581"/>
        <w:gridCol w:w="510"/>
        <w:gridCol w:w="513"/>
        <w:gridCol w:w="211"/>
        <w:gridCol w:w="721"/>
        <w:gridCol w:w="109"/>
        <w:gridCol w:w="109"/>
        <w:gridCol w:w="109"/>
        <w:gridCol w:w="109"/>
        <w:gridCol w:w="211"/>
        <w:gridCol w:w="72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current portion of the term loan is presented within accrued expenses and other current liabilities in the condensed consolidated balance sheets.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expected future principal payments for all borrowings as of July 31, 2026 is as follows (in thousands): </w:t>
      </w:r>
    </w:p>
    <w:tbl>
      <w:tblPr>
        <w:tblW w:w="5730" w:type="dxa"/>
        <w:jc w:val="left"/>
        <w:tblInd w:w="0" w:type="dxa"/>
        <w:tblLayout w:type="fixed"/>
        <w:tblCellMar>
          <w:top w:w="28" w:type="dxa"/>
          <w:left w:w="28" w:type="dxa"/>
          <w:bottom w:w="28" w:type="dxa"/>
          <w:right w:w="28" w:type="dxa"/>
        </w:tblCellMar>
      </w:tblPr>
      <w:tblGrid>
        <w:gridCol w:w="1252"/>
        <w:gridCol w:w="1101"/>
        <w:gridCol w:w="1112"/>
        <w:gridCol w:w="440"/>
        <w:gridCol w:w="1504"/>
        <w:gridCol w:w="321"/>
      </w:tblGrid>
      <w:tr>
        <w:trPr/>
        <w:tc>
          <w:tcPr>
            <w:tcW w:w="1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Principal Payments</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2027</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2265"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future principal payments</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36,875 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Standby Letters of Credit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As of July 31, 2026, the Company had several letters of credit outstanding related to its operating leases </w:t>
      </w:r>
      <w:r>
        <w:rPr>
          <w:rFonts w:ascii="Times New Roman;serif" w:hAnsi="Times New Roman;serif"/>
          <w:b w:val="false"/>
          <w:color w:val="000000"/>
          <w:sz w:val="20"/>
          <w:shd w:fill="FFFFFF" w:val="clear"/>
        </w:rPr>
        <w:t>totaling $21.7 million</w:t>
      </w:r>
      <w:r>
        <w:rPr>
          <w:rFonts w:ascii="Times New Roman;serif" w:hAnsi="Times New Roman;serif"/>
          <w:b w:val="false"/>
          <w:color w:val="000000"/>
          <w:sz w:val="20"/>
        </w:rPr>
        <w:t xml:space="preserve">. The letters of credit expire at various dates between fiscal 2028 and fiscal 2035.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In November 2024, the Company entered into a 60-month contract with Amazon Web Services (“AWS”) for hosting-related services, which replaced the Company’s prior agreement with AWS and terminated the remaining commitments under the prior agreement. Pursuant to the terms of the November 2024 contract with AWS, the Company is required to spend $255.0 million over the term of the contract between December 2024 to November 2029. The commitment may be offset by up to</w:t>
      </w:r>
      <w:r>
        <w:rPr>
          <w:color w:val="000000"/>
          <w:shd w:fill="FFFFFF" w:val="clear"/>
        </w:rPr>
        <w:t xml:space="preserve"> </w:t>
      </w:r>
      <w:r>
        <w:rPr>
          <w:rFonts w:ascii="Times New Roman;serif" w:hAnsi="Times New Roman;serif"/>
          <w:b w:val="false"/>
          <w:color w:val="000000"/>
          <w:sz w:val="20"/>
        </w:rPr>
        <w:t>$4.2 million in credits, of which $3.7 million are subject to the Company meeting certain conditions of the agreement. As of July 31, 2026, the Company had purchase commitments remaining of $172.0 million</w:t>
      </w:r>
      <w:r>
        <w:rPr>
          <w:color w:val="000000"/>
          <w:shd w:fill="FFFFFF" w:val="clear"/>
        </w:rPr>
        <w:t xml:space="preserve"> </w:t>
      </w:r>
      <w:r>
        <w:rPr>
          <w:rFonts w:ascii="Times New Roman;serif" w:hAnsi="Times New Roman;serif"/>
          <w:b w:val="false"/>
          <w:color w:val="000000"/>
          <w:sz w:val="20"/>
          <w:shd w:fill="FFFFFF" w:val="clear"/>
        </w:rPr>
        <w:t xml:space="preserve">under this contract, which are not reflected on the Company’s condensed consolidated balance sheet as of </w:t>
      </w:r>
      <w:r>
        <w:rPr>
          <w:rFonts w:ascii="Times New Roman;serif" w:hAnsi="Times New Roman;serif"/>
          <w:b w:val="false"/>
          <w:color w:val="000000"/>
          <w:sz w:val="20"/>
        </w:rPr>
        <w:t>July 31, 2026. The Company may include certain agreements with third-party vendors purchased through AWS Marketplace within the AWS commitment, as spend for these agreements are eligible and expected to be used to meet the purchase commitment.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commitments under the AWS contract as of July 31, 2026, are as follows (in thousands):</w:t>
      </w:r>
    </w:p>
    <w:tbl>
      <w:tblPr>
        <w:tblW w:w="5188" w:type="dxa"/>
        <w:jc w:val="left"/>
        <w:tblInd w:w="0" w:type="dxa"/>
        <w:tblLayout w:type="fixed"/>
        <w:tblCellMar>
          <w:top w:w="28" w:type="dxa"/>
          <w:left w:w="28" w:type="dxa"/>
          <w:bottom w:w="28" w:type="dxa"/>
          <w:right w:w="28" w:type="dxa"/>
        </w:tblCellMar>
      </w:tblPr>
      <w:tblGrid>
        <w:gridCol w:w="1203"/>
        <w:gridCol w:w="1058"/>
        <w:gridCol w:w="1068"/>
        <w:gridCol w:w="329"/>
        <w:gridCol w:w="1290"/>
        <w:gridCol w:w="240"/>
      </w:tblGrid>
      <w:tr>
        <w:trPr/>
        <w:tc>
          <w:tcPr>
            <w:tcW w:w="12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 Commitments</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2027</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purchase commitments</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172,006 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During the six months ended July 31, 2026, other than certain non-cancelable operating leases described in </w:t>
      </w:r>
      <w:r>
        <w:rPr>
          <w:rFonts w:ascii="Times New Roman;serif" w:hAnsi="Times New Roman;serif"/>
          <w:b w:val="false"/>
          <w:i/>
          <w:color w:val="000000"/>
          <w:sz w:val="20"/>
        </w:rPr>
        <w:t xml:space="preserve">Note 10. Leases </w:t>
      </w:r>
      <w:r>
        <w:rPr>
          <w:rFonts w:ascii="Times New Roman;serif" w:hAnsi="Times New Roman;serif"/>
          <w:b w:val="false"/>
          <w:color w:val="000000"/>
          <w:sz w:val="20"/>
        </w:rPr>
        <w:t>and the commitment for hosting-related services described above, there have been no other material changes outside the ordinary course of business to the Company’s contractual obligations and commitments from those disclosed in the Company’s Annual Report on Form 10-K for the fiscal year ended January 31, 2026.</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the ordinary course of business, the Company enters into agreements of varying scope and terms pursuant to which it agrees to indemnify customers, vendors, lessors, business partners, and other parties with respect to certain matters, including, but not limited to, losses arising out of the breach of such agreements, services to be provided by the Company, or from intellectual property infringement claims made by third parties. For the six months ended July 31, 2026 and 2025, no demands have been made upon the Company to provide indemnification under such agreements, and there are no claims that the Company is aware of that could have a material adverse effect on its financial position,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in the normal course of business, the Company may be subject to various claims and other legal matters arising in the ordinary course of business. As of July 31, 2026, the Company believes that none of its current legal proceedings would have a material adverse effect on its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leases real estate facilities under non-cancelable operating leases with various expiration dates through fiscal 2037. The Company has no lease agreements that are classified as finance leases.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with initial lease terms in excess of one year included in the Company’s total operating lease liabilities as of July 31, 2026 are as follows (in thousands):</w:t>
      </w:r>
    </w:p>
    <w:tbl>
      <w:tblPr>
        <w:tblW w:w="5909" w:type="dxa"/>
        <w:jc w:val="left"/>
        <w:tblInd w:w="0" w:type="dxa"/>
        <w:tblLayout w:type="fixed"/>
        <w:tblCellMar>
          <w:top w:w="28" w:type="dxa"/>
          <w:left w:w="28" w:type="dxa"/>
          <w:bottom w:w="28" w:type="dxa"/>
          <w:right w:w="28" w:type="dxa"/>
        </w:tblCellMar>
      </w:tblPr>
      <w:tblGrid>
        <w:gridCol w:w="1376"/>
        <w:gridCol w:w="1211"/>
        <w:gridCol w:w="1222"/>
        <w:gridCol w:w="372"/>
        <w:gridCol w:w="1457"/>
        <w:gridCol w:w="271"/>
      </w:tblGrid>
      <w:tr>
        <w:trPr/>
        <w:tc>
          <w:tcPr>
            <w:tcW w:w="137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 Payments</w:t>
            </w:r>
          </w:p>
        </w:tc>
      </w:tr>
      <w:tr>
        <w:trPr/>
        <w:tc>
          <w:tcPr>
            <w:tcW w:w="3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2027</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operating lease payments</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298,655 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(77,388)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221,267 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subleased certain office spaces to third parties and has classified the subleases as operating leases. The subleases have lease terms ranging from four to five years. Sublease income was $1.2 million and $2.4 million for the three and six months ended July 31, 2026, respectively. Sublease income was $0.6 million and $1.2 million for the three and six months ended July 31, 2025, respectively. The Company recognizes sublease income as a reduction of lease expense in the Company’s condensed consolidated statements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amounts in the table above do not include sublease payments to be received of $14.7 million. As of July 31, 2026, the future total minimum sublease payments to be received were as follows (in thousands):</w:t>
      </w:r>
    </w:p>
    <w:tbl>
      <w:tblPr>
        <w:tblW w:w="5909" w:type="dxa"/>
        <w:jc w:val="left"/>
        <w:tblInd w:w="0" w:type="dxa"/>
        <w:tblLayout w:type="fixed"/>
        <w:tblCellMar>
          <w:top w:w="28" w:type="dxa"/>
          <w:left w:w="28" w:type="dxa"/>
          <w:bottom w:w="28" w:type="dxa"/>
          <w:right w:w="28" w:type="dxa"/>
        </w:tblCellMar>
      </w:tblPr>
      <w:tblGrid>
        <w:gridCol w:w="1192"/>
        <w:gridCol w:w="1048"/>
        <w:gridCol w:w="1059"/>
        <w:gridCol w:w="507"/>
        <w:gridCol w:w="1733"/>
        <w:gridCol w:w="370"/>
      </w:tblGrid>
      <w:tr>
        <w:trPr/>
        <w:tc>
          <w:tcPr>
            <w:tcW w:w="119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 ending January 31,</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Sublease Payments to be Received</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fiscal year 2027</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sublease payments to be received</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Note 11.     Net Loss Per Share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computes net loss per share using the two-class method required for multiple classes of common stock and participating securities. The rights, including the liquidation and dividend rights, of the Class A common stock and Class B common stock are substantially identical, other than voting and conversion rights. Accordingly, the Class A common stock and Class B common stock share equally in the Company’s net income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731"/>
        <w:gridCol w:w="1525"/>
        <w:gridCol w:w="1545"/>
        <w:gridCol w:w="211"/>
        <w:gridCol w:w="774"/>
        <w:gridCol w:w="109"/>
        <w:gridCol w:w="109"/>
        <w:gridCol w:w="109"/>
        <w:gridCol w:w="109"/>
        <w:gridCol w:w="211"/>
        <w:gridCol w:w="774"/>
        <w:gridCol w:w="109"/>
        <w:gridCol w:w="109"/>
        <w:gridCol w:w="109"/>
        <w:gridCol w:w="109"/>
        <w:gridCol w:w="211"/>
        <w:gridCol w:w="774"/>
        <w:gridCol w:w="109"/>
        <w:gridCol w:w="109"/>
        <w:gridCol w:w="109"/>
        <w:gridCol w:w="109"/>
        <w:gridCol w:w="211"/>
        <w:gridCol w:w="774"/>
        <w:gridCol w:w="156"/>
      </w:tblGrid>
      <w:tr>
        <w:trPr/>
        <w:tc>
          <w:tcPr>
            <w:tcW w:w="173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net loss per share, basic and diluted</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loss per share for the period presented because including them would have been anti-dilutive are as follows (in thousands):</w:t>
      </w:r>
    </w:p>
    <w:tbl>
      <w:tblPr>
        <w:tblW w:w="10205" w:type="dxa"/>
        <w:jc w:val="left"/>
        <w:tblInd w:w="0" w:type="dxa"/>
        <w:tblLayout w:type="fixed"/>
        <w:tblCellMar>
          <w:top w:w="28" w:type="dxa"/>
          <w:left w:w="28" w:type="dxa"/>
          <w:bottom w:w="28" w:type="dxa"/>
          <w:right w:w="28" w:type="dxa"/>
        </w:tblCellMar>
      </w:tblPr>
      <w:tblGrid>
        <w:gridCol w:w="1749"/>
        <w:gridCol w:w="1536"/>
        <w:gridCol w:w="1503"/>
        <w:gridCol w:w="499"/>
        <w:gridCol w:w="242"/>
        <w:gridCol w:w="218"/>
        <w:gridCol w:w="218"/>
        <w:gridCol w:w="218"/>
        <w:gridCol w:w="218"/>
        <w:gridCol w:w="499"/>
        <w:gridCol w:w="242"/>
        <w:gridCol w:w="218"/>
        <w:gridCol w:w="109"/>
        <w:gridCol w:w="109"/>
        <w:gridCol w:w="109"/>
        <w:gridCol w:w="445"/>
        <w:gridCol w:w="276"/>
        <w:gridCol w:w="197"/>
        <w:gridCol w:w="197"/>
        <w:gridCol w:w="197"/>
        <w:gridCol w:w="197"/>
        <w:gridCol w:w="445"/>
        <w:gridCol w:w="276"/>
        <w:gridCol w:w="288"/>
      </w:tblGrid>
      <w:tr>
        <w:trPr/>
        <w:tc>
          <w:tcPr>
            <w:tcW w:w="174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5,477 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23,342 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Performance-based restricted stock units </w:t>
            </w:r>
            <w:r>
              <w:rPr>
                <w:rFonts w:ascii="Times New Roman;serif" w:hAnsi="Times New Roman;serif"/>
                <w:b w:val="false"/>
                <w:color w:val="000000"/>
                <w:sz w:val="13"/>
              </w:rPr>
              <w:t>(1)</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2020 Employee Stock Purchase Plan</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32,737 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26,166 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(1)Performance-based restricted stock units are presented at the number of shares eligible to vest based on 100% target attainment of the market and performance conditions, however the number of shares that ultimately vest will range between zero and 200% depending on the specific award terms.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Note 12. Stockholders’ Equity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two classes of common stock that total 1,500,000,000 authorized shares: 1,000,000,000 authorized shares of Class A common stock and 500,000,000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 There were 161,140,004 shares of Class A common stock and 69,533,780 shares of Class B common stock issued and outstanding as of July 31, 2026. There were 162,018,631 shares of Class A common stock and 75,896,680 shares of Class B common stock outstanding as of January 31,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changes in the number of shares of common stock outstanding for the three and six months ended July 31, 2026 were related to changes in Class A common stock, other than conversions of Class B common stock into an equivalent number of shares of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 Plans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2009 Stock Plan (the “2009 Plan”), a 2012 Amended and Restated Stock Plan (the “2012 Plan”), and a 2020 Equity Incentive Plan (the “2020 Plan”). Each plan was initially established to grant equity awards to employees and consultants of the Company to assist in attracting, retaining, and motivating employees and consultants and to provide incentives to promote the success of the Company’s business. The number of shares reserved for issuance under the 2020 Plan increased by 11,895,765 shares of Class A common stock on February 1, 2026. As of July 31, 2026, 53,539,788 shares were reserved for issuance under the 2020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no outstanding awards under the 2009 Plan, and new issuances under the 2012 Plan terminated upon completion of the direct listing. Awards outstanding under the 2012 Plan continue to be outstanding and are governed by the provisions of the 2012 Plan. The 2020 Plan provides for the grant of incentive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(“ISOs”), within the meaning of Section 422 of the Code, nonstatutory stock options (“NSOs” and together with ISOs, “stock options”), stock appreciation rights, restricted stock awards, restricted stock unit awards (“RSUs”), performance-based restricted stock unit awards (“PSUs”), and other forms of equity compensation.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ISOs may be granted only to Company employees (including officers and directors who are also employees). NSOs may be granted to Company employees and consultants. Stock options under the 2020 Plan may be granted for periods of up to 10 years. The exercise price of ISOs and NSOs shall not be less than 100% of the estimated fair value of the shares on the date of grant as determined by the Company’s board of directors. Stock options granted generally vest over four years and vest at a rate of 25% upon the first anniversary of the vesting commencement date and 1/48 per month thereafter.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outstanding RSU awards issued pursuant to the 2012 Plan and 2020 Plan. RSUs granted generally vest on a predefined rate over a period of one to four years contingent upon continuous service.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Shares of common stock purchased under the 2012 Plan are subject to certain restrictions and repurchase rights.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Option activity under the Company’s combined stock plans is set forth below (in thousands, except years and per share data):</w:t>
      </w:r>
    </w:p>
    <w:tbl>
      <w:tblPr>
        <w:tblW w:w="9511" w:type="dxa"/>
        <w:jc w:val="left"/>
        <w:tblInd w:w="0" w:type="dxa"/>
        <w:tblLayout w:type="fixed"/>
        <w:tblCellMar>
          <w:top w:w="28" w:type="dxa"/>
          <w:left w:w="28" w:type="dxa"/>
          <w:bottom w:w="28" w:type="dxa"/>
          <w:right w:w="28" w:type="dxa"/>
        </w:tblCellMar>
      </w:tblPr>
      <w:tblGrid>
        <w:gridCol w:w="1353"/>
        <w:gridCol w:w="1186"/>
        <w:gridCol w:w="1195"/>
        <w:gridCol w:w="308"/>
        <w:gridCol w:w="308"/>
        <w:gridCol w:w="296"/>
        <w:gridCol w:w="109"/>
        <w:gridCol w:w="109"/>
        <w:gridCol w:w="109"/>
        <w:gridCol w:w="316"/>
        <w:gridCol w:w="766"/>
        <w:gridCol w:w="163"/>
        <w:gridCol w:w="109"/>
        <w:gridCol w:w="109"/>
        <w:gridCol w:w="109"/>
        <w:gridCol w:w="474"/>
        <w:gridCol w:w="474"/>
        <w:gridCol w:w="476"/>
        <w:gridCol w:w="109"/>
        <w:gridCol w:w="109"/>
        <w:gridCol w:w="109"/>
        <w:gridCol w:w="236"/>
        <w:gridCol w:w="807"/>
        <w:gridCol w:w="172"/>
      </w:tblGrid>
      <w:tr>
        <w:trPr/>
        <w:tc>
          <w:tcPr>
            <w:tcW w:w="135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Exercise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 Value</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January 31,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cancelled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July 31,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at July 31, 2026</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at July 31, 2026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stock options exercised during the periods presented were as follows:</w:t>
      </w:r>
    </w:p>
    <w:tbl>
      <w:tblPr>
        <w:tblW w:w="10205" w:type="dxa"/>
        <w:jc w:val="left"/>
        <w:tblInd w:w="0" w:type="dxa"/>
        <w:tblLayout w:type="fixed"/>
        <w:tblCellMar>
          <w:top w:w="28" w:type="dxa"/>
          <w:left w:w="28" w:type="dxa"/>
          <w:bottom w:w="28" w:type="dxa"/>
          <w:right w:w="28" w:type="dxa"/>
        </w:tblCellMar>
      </w:tblPr>
      <w:tblGrid>
        <w:gridCol w:w="1957"/>
        <w:gridCol w:w="1720"/>
        <w:gridCol w:w="1726"/>
        <w:gridCol w:w="213"/>
        <w:gridCol w:w="625"/>
        <w:gridCol w:w="109"/>
        <w:gridCol w:w="109"/>
        <w:gridCol w:w="109"/>
        <w:gridCol w:w="109"/>
        <w:gridCol w:w="213"/>
        <w:gridCol w:w="625"/>
        <w:gridCol w:w="109"/>
        <w:gridCol w:w="109"/>
        <w:gridCol w:w="109"/>
        <w:gridCol w:w="109"/>
        <w:gridCol w:w="211"/>
        <w:gridCol w:w="616"/>
        <w:gridCol w:w="109"/>
        <w:gridCol w:w="109"/>
        <w:gridCol w:w="109"/>
        <w:gridCol w:w="109"/>
        <w:gridCol w:w="211"/>
        <w:gridCol w:w="616"/>
        <w:gridCol w:w="164"/>
      </w:tblGrid>
      <w:tr>
        <w:trPr/>
        <w:tc>
          <w:tcPr>
            <w:tcW w:w="195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5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intrinsic value of stock options exercised (in thousands)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RSU activity is set forth below (in thousands, except per share data):</w:t>
      </w:r>
    </w:p>
    <w:tbl>
      <w:tblPr>
        <w:tblW w:w="9275" w:type="dxa"/>
        <w:jc w:val="left"/>
        <w:tblInd w:w="0" w:type="dxa"/>
        <w:tblLayout w:type="fixed"/>
        <w:tblCellMar>
          <w:top w:w="28" w:type="dxa"/>
          <w:left w:w="28" w:type="dxa"/>
          <w:bottom w:w="28" w:type="dxa"/>
          <w:right w:w="28" w:type="dxa"/>
        </w:tblCellMar>
      </w:tblPr>
      <w:tblGrid>
        <w:gridCol w:w="1397"/>
        <w:gridCol w:w="1226"/>
        <w:gridCol w:w="1232"/>
        <w:gridCol w:w="360"/>
        <w:gridCol w:w="361"/>
        <w:gridCol w:w="296"/>
        <w:gridCol w:w="109"/>
        <w:gridCol w:w="109"/>
        <w:gridCol w:w="109"/>
        <w:gridCol w:w="571"/>
        <w:gridCol w:w="1668"/>
        <w:gridCol w:w="295"/>
        <w:gridCol w:w="109"/>
        <w:gridCol w:w="109"/>
        <w:gridCol w:w="109"/>
        <w:gridCol w:w="215"/>
        <w:gridCol w:w="843"/>
        <w:gridCol w:w="157"/>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Intrinsic Value</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at January 31, 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cancelled/forfeited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 at July 31, 2026</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 not yet released at July 31, 2026</w:t>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RSUs granted during the six months ended July 31, 2026 and 2025 was $7.11 and $17.40, respectively. The total grant date fair value of RSUs vested during the six months ended July 31, 2026 and 2025 was $74.9 million and $97.0 million, respectively.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Performance-Based Restricted Stock Units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PSUs to certain employees which are subject to vesting based on either the achievement of a market-based condition and service-based condition (“Market-Based Awards”) or a performance-based condition and service-based condition (“Performance-Based Awards”). The number of shares eligible to vest depend on the attainment level of the market and performance conditions over a range of one to four annual performance periods.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Market-Based Awards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Market-Based Awards vest based on both (i) continuous service through each vesting date and (ii) the Company’s relative total shareholder return performance as compared to a defined group of peer companies during the performance periods. The Company estimates the grant-date fair value of the Market-Based Awards using a Monte Carlo simulation model, which models multiple stock price paths in order to estimate the grant date fair value of the awards. The valuation model incorporates various assumptions including expected stock price volatility, expected term, expected dividend yield, and risk-free interest rates. The Company estimates the volatility of its common stock and the common stock of its peer companies on the date of grant based on the respective historical equity volatility. The expected term is based on the award agreement, the expected dividend yield input is zero as the Company has never declared a dividend and does not expect to pay any cash dividends in the foreseeable future, and the risk-free rate is based on the U.S. Treasury yield curve in effect at the time of the grant. The Company recognizes stock-based compensation expense for the Market-Based Awards using the accelerated attribution method over the requisite service period. Failure to satisfy the market condition results in the forfeiture of units but does not result in the reversal of previously recognized compensation cost.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calculate the fair value of the Market-Based Awards granted during the six months ended July 31, 2026:</w:t>
      </w:r>
    </w:p>
    <w:tbl>
      <w:tblPr>
        <w:tblW w:w="4652" w:type="dxa"/>
        <w:jc w:val="left"/>
        <w:tblInd w:w="0" w:type="dxa"/>
        <w:tblLayout w:type="fixed"/>
        <w:tblCellMar>
          <w:top w:w="28" w:type="dxa"/>
          <w:left w:w="28" w:type="dxa"/>
          <w:bottom w:w="28" w:type="dxa"/>
          <w:right w:w="28" w:type="dxa"/>
        </w:tblCellMar>
      </w:tblPr>
      <w:tblGrid>
        <w:gridCol w:w="668"/>
        <w:gridCol w:w="586"/>
        <w:gridCol w:w="590"/>
        <w:gridCol w:w="291"/>
        <w:gridCol w:w="291"/>
        <w:gridCol w:w="723"/>
        <w:gridCol w:w="168"/>
        <w:gridCol w:w="168"/>
        <w:gridCol w:w="168"/>
        <w:gridCol w:w="255"/>
        <w:gridCol w:w="256"/>
        <w:gridCol w:w="488"/>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 - 4.1%</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to 4 years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64.5% - 73.4%</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July 31, 2026, the Company recognized $3.1 million and $5.6 million of stock-based compensation expense related to its Market-Based Awards, respectively. During the three and six months ended July 31, 2025, the Company recognized $0.3 million of stock-based compensation expense related to the Market-Based Awards.</w:t>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Performance-Based Awards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Performance-Based Awards will vest upon satisfaction of both (i) continuous service through each vesting date and (ii) achievement of certain performance targets during the performance periods. Under ASC 718, the Performance-Based Awards are determined to be granted once the performance targets are approved by the board of directors, as this is when a mutual understanding of the key terms of the awards have been established. The Company estimates the grant-date fair value of the Performance-Based Awards based on the price of the Company’s common stock on the date of grant. Stock-based compensation for these awards is recognized using the accelerated attribution method over the requisite service period and is only recognized if achievement of the performance targets is considered probable. The probability of achievement is assessed at the grant date and is reassessed each reporting period. Stock-based compensation for these awards will be adjusted to reflect the number of awards that ultimately vest.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July 31, 2026, the Company recognized $2.8 million and $3.1 million of stock-based compensation expense related to its Performance-Based Awards, respectively. The Company did not recognize any related stock-based compensation expense during the three and six months ended July 31,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PSU activity is set forth below (in thousands, except per share data):</w:t>
      </w:r>
    </w:p>
    <w:tbl>
      <w:tblPr>
        <w:tblW w:w="8299" w:type="dxa"/>
        <w:jc w:val="left"/>
        <w:tblInd w:w="0" w:type="dxa"/>
        <w:tblLayout w:type="fixed"/>
        <w:tblCellMar>
          <w:top w:w="28" w:type="dxa"/>
          <w:left w:w="28" w:type="dxa"/>
          <w:bottom w:w="28" w:type="dxa"/>
          <w:right w:w="28" w:type="dxa"/>
        </w:tblCellMar>
      </w:tblPr>
      <w:tblGrid>
        <w:gridCol w:w="1081"/>
        <w:gridCol w:w="950"/>
        <w:gridCol w:w="953"/>
        <w:gridCol w:w="311"/>
        <w:gridCol w:w="305"/>
        <w:gridCol w:w="296"/>
        <w:gridCol w:w="109"/>
        <w:gridCol w:w="109"/>
        <w:gridCol w:w="109"/>
        <w:gridCol w:w="571"/>
        <w:gridCol w:w="1668"/>
        <w:gridCol w:w="295"/>
        <w:gridCol w:w="109"/>
        <w:gridCol w:w="109"/>
        <w:gridCol w:w="109"/>
        <w:gridCol w:w="236"/>
        <w:gridCol w:w="807"/>
        <w:gridCol w:w="172"/>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 Value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PSUs at January 31, 2026</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 granted</w:t>
            </w:r>
            <w:r>
              <w:rPr>
                <w:color w:val="000000"/>
              </w:rPr>
              <w:t xml:space="preserve"> </w:t>
            </w:r>
            <w:r>
              <w:rPr>
                <w:rFonts w:ascii="Times New Roman;serif" w:hAnsi="Times New Roman;serif"/>
                <w:b w:val="false"/>
                <w:color w:val="000000"/>
                <w:sz w:val="13"/>
              </w:rPr>
              <w:t>(1)</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cancelled/forfeited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PSUs at July 31, 2026</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5,049 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Company’s total PSUs granted were made up of 866,485 Market-Based Awards and 3,289,492 Performance-Based Awards during the six months ended July 31, 2026.</w:t>
      </w:r>
    </w:p>
    <w:p>
      <w:pPr>
        <w:pStyle w:val="TextBody"/>
        <w:bidi w:val="0"/>
        <w:spacing w:lineRule="auto" w:line="288" w:before="12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weighted-average grant date fair value of PSUs granted during the six months ended July 31, 2026 and 2025 was $7.72 and $20.23, respectively. No PSU awards vested during the six months ended July 31, 2026 and 2025.</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stock-based awards to employees and non-employees in the Company’s condensed consolidated statements of operations for the periods below were as follows (in thousands):</w:t>
      </w:r>
    </w:p>
    <w:tbl>
      <w:tblPr>
        <w:tblW w:w="8745"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stock-based compensation expense related to awards granted to non-employees for the three and six months ended July 31, 2026 and 2025 were not material.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 related to unvested awards not yet recognized under all equity compensation plans was as follows:</w:t>
      </w:r>
    </w:p>
    <w:tbl>
      <w:tblPr>
        <w:tblW w:w="10205" w:type="dxa"/>
        <w:jc w:val="left"/>
        <w:tblInd w:w="0" w:type="dxa"/>
        <w:tblLayout w:type="fixed"/>
        <w:tblCellMar>
          <w:top w:w="28" w:type="dxa"/>
          <w:left w:w="28" w:type="dxa"/>
          <w:bottom w:w="28" w:type="dxa"/>
          <w:right w:w="28" w:type="dxa"/>
        </w:tblCellMar>
      </w:tblPr>
      <w:tblGrid>
        <w:gridCol w:w="1621"/>
        <w:gridCol w:w="1426"/>
        <w:gridCol w:w="1446"/>
        <w:gridCol w:w="322"/>
        <w:gridCol w:w="1261"/>
        <w:gridCol w:w="166"/>
        <w:gridCol w:w="109"/>
        <w:gridCol w:w="109"/>
        <w:gridCol w:w="109"/>
        <w:gridCol w:w="1064"/>
        <w:gridCol w:w="1064"/>
        <w:gridCol w:w="1508"/>
      </w:tblGrid>
      <w:tr>
        <w:trPr/>
        <w:tc>
          <w:tcPr>
            <w:tcW w:w="16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r>
      <w:tr>
        <w:trPr/>
        <w:tc>
          <w:tcPr>
            <w:tcW w:w="4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4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Unrecognized Expense </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Weighted-Average Expected Recognition Period </w:t>
              <w:br/>
              <w:t>(in years)</w:t>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4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4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stock-based compensation expense</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80" w:after="180"/>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2020, the Company’s board of directors adopted and approved the 2020 Employee Stock Purchase Plan (“ESPP”), which became effective on the effective date of the Company's registration statement on Form S-1 filed with the SEC in connection with the direct listing. The number of shares reserved under the ESPP was automatically increased on February 1, 2026 to 14,596,024 shares of Class A common stock, pursuant to the evergreen provisions of the ESPP.</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any limitations contained therein, the ESPP allows eligible participants to contribute, through payroll deductions, up to 15% of their eligible compensation to purchase shares of the Company’s Class A common stock at a purchase price equal to 85% of the fair market value of the Class A common stock on either the first day of the offering period or the purchase date, whichever fair market value is lower. The ESPP generally provides for consecutive 24-month offering periods, each consisting of four separate consecutive purchase periods of approximately six months in length. The ESPP also includes a two year look back in purchase price, including a reset feature. The reset feature is triggered if the price on the date of purchase is less than the price on the first day of the offering period.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stock-based compensation expense related to the ESPP of $2.1 million and $1.5 million during the three months ended July 31, 2026 and 2025, respectively, and $3.8 million and $3.7 million during the six months ended July 31, 2026 and 2025, respectively. As of July 31, 2026 and January 31, 2026, $3.6 million and $6.0 million, respectively, have been withheld in contributions from employees. As of July 31, 2026, total unrecognized stock-based compensation expense related to the ESPP was $6.8 million, which will be amortized over a weighted-average vesting term of 1.1 years.</w:t>
      </w:r>
    </w:p>
    <w:p>
      <w:pPr>
        <w:pStyle w:val="TextBody"/>
        <w:bidi w:val="0"/>
        <w:spacing w:lineRule="auto" w:line="288" w:before="80" w:after="180"/>
        <w:jc w:val="left"/>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the Company’s board of directors authorized a stock repurchase program of up to $150.0 million of its outstanding Class A common stock (the “Repurchase Program”). The Repurchase Program was later amended on May 30, 2025 to remove the original expiration date and authorize the repurchase of an additional $100.0 million of Class A common stock. On February 27, 2026, the Repurchase Program was amended by the board of directors to authorize the repurchase of an additional $160.0 million of Class A common stock. Under the Repurchase Program, which is designed to return value to the Company’s stockholders and reduce share count over time, the Company may repurchase shares in the open market, through privately negotiated transactions, by entering into structured repurchase agreements with third parties, by making block purchases, and/or pursuant to Rule 10b5-1 trading plans. The timing, manner, price, and amount of any repurchases under the Repurchase Program will be determined by the Company in its discretion.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Repurchase Program does not obligate the Company to acquire any particular amount of Class A common stock, and the Repurchase Program may be suspended or discontinued at any time at the Company’s discretion. The Repurchase Program will be funded using the Company’s working capital, has no fixed term as amended, and will continue until the funds committed to the Repurchase Program are exhausted or such authorization is revoked by the Company’s board of directors.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repurchase activity under the Company’s Repurchase Program (in thousands, except per share data):</w:t>
      </w:r>
    </w:p>
    <w:tbl>
      <w:tblPr>
        <w:tblW w:w="8009" w:type="dxa"/>
        <w:jc w:val="left"/>
        <w:tblInd w:w="0" w:type="dxa"/>
        <w:tblLayout w:type="fixed"/>
        <w:tblCellMar>
          <w:top w:w="28" w:type="dxa"/>
          <w:left w:w="28" w:type="dxa"/>
          <w:bottom w:w="28" w:type="dxa"/>
          <w:right w:w="28" w:type="dxa"/>
        </w:tblCellMar>
      </w:tblPr>
      <w:tblGrid>
        <w:gridCol w:w="1021"/>
        <w:gridCol w:w="898"/>
        <w:gridCol w:w="90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repurchased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Aggregate purchase price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$102.9 million remained available for future stock repurchases under the Repurchase Program. All shares of Class A common stock repurchased under the Repurchase Program were retired. Upon retirement, the par value of the common stock repurchased was deducted from common stock and any excess of repurchase price over par value was recorded entirely to accumulated deficit 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13.    Interest Income and Other Income (Expense), Net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 consist of the following (in thousands):</w:t>
      </w:r>
    </w:p>
    <w:tbl>
      <w:tblPr>
        <w:tblW w:w="9586" w:type="dxa"/>
        <w:jc w:val="left"/>
        <w:tblInd w:w="0" w:type="dxa"/>
        <w:tblLayout w:type="fixed"/>
        <w:tblCellMar>
          <w:top w:w="28" w:type="dxa"/>
          <w:left w:w="28" w:type="dxa"/>
          <w:bottom w:w="28" w:type="dxa"/>
          <w:right w:w="28" w:type="dxa"/>
        </w:tblCellMar>
      </w:tblPr>
      <w:tblGrid>
        <w:gridCol w:w="1733"/>
        <w:gridCol w:w="1519"/>
        <w:gridCol w:w="1533"/>
        <w:gridCol w:w="214"/>
        <w:gridCol w:w="626"/>
        <w:gridCol w:w="110"/>
        <w:gridCol w:w="110"/>
        <w:gridCol w:w="110"/>
        <w:gridCol w:w="110"/>
        <w:gridCol w:w="214"/>
        <w:gridCol w:w="626"/>
        <w:gridCol w:w="110"/>
        <w:gridCol w:w="109"/>
        <w:gridCol w:w="109"/>
        <w:gridCol w:w="109"/>
        <w:gridCol w:w="211"/>
        <w:gridCol w:w="616"/>
        <w:gridCol w:w="109"/>
        <w:gridCol w:w="109"/>
        <w:gridCol w:w="109"/>
        <w:gridCol w:w="109"/>
        <w:gridCol w:w="211"/>
        <w:gridCol w:w="616"/>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on foreign currency transactions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(expense) income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and other income (expense), net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Other non-operating (expense) income</w:t>
      </w:r>
      <w:r>
        <w:rPr>
          <w:color w:val="3051F2"/>
        </w:rPr>
        <w:t xml:space="preserve"> </w:t>
      </w:r>
      <w:r>
        <w:rPr>
          <w:rFonts w:ascii="Times New Roman;serif" w:hAnsi="Times New Roman;serif"/>
          <w:b w:val="false"/>
          <w:color w:val="000000"/>
          <w:sz w:val="20"/>
        </w:rPr>
        <w:t>consists primarily of realized foreign currency gains and losses on transactions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14.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income tax benefit was $0.8 million and the Company’s income tax expense was $0.7 million for the three and six months ended July 31, 2026, respectively, primarily due to a valuation allowance release from the StackAI acquisition and offset by income taxes in foreign jurisdiction. The Company’s income tax expense was $1.4 million and $2.6 million for the three and six months ended July 31, 2025, respectively, primarily due to income taxes in foreign jurisdictions.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United States enacted federal tax legislation commonly referred to as the One Big Beautiful Bill Act (the “OBBB Act”). Included in this legislation are provisions that allow for the immediate expensing of domestic research and development expenses, permanent extensions and modifications of certain provisions of the 2017 Tax Cuts and Jobs Act, and modifications to the U.S. international tax system. The Company evaluated the impact of the OBBB Act on its tax provision, valuation allowance, and uncertain tax positions. The OBBB Act did not have a material impact on the Company's financial statements. The Company maintains a full valuation allowance, and any change in net deferred tax assets from the OBBB Act would be accompanied by a corresponding adjustment to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 xml:space="preserve">Note 15.    Geographic Information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revenues and long-lived assets, which primarily consist of property and equipment, net and operating lease ROU assets, by geographic area for the periods presented below (in thousands):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Revenues</w:t>
      </w:r>
    </w:p>
    <w:tbl>
      <w:tblPr>
        <w:tblW w:w="6929" w:type="dxa"/>
        <w:jc w:val="left"/>
        <w:tblInd w:w="0" w:type="dxa"/>
        <w:tblLayout w:type="fixed"/>
        <w:tblCellMar>
          <w:top w:w="28" w:type="dxa"/>
          <w:left w:w="28" w:type="dxa"/>
          <w:bottom w:w="28" w:type="dxa"/>
          <w:right w:w="28" w:type="dxa"/>
        </w:tblCellMar>
      </w:tblPr>
      <w:tblGrid>
        <w:gridCol w:w="479"/>
        <w:gridCol w:w="419"/>
        <w:gridCol w:w="4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by geography are based on the shipping address of the customer.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Long-Lived Assets</w:t>
      </w:r>
    </w:p>
    <w:tbl>
      <w:tblPr>
        <w:tblW w:w="4878" w:type="dxa"/>
        <w:jc w:val="left"/>
        <w:tblInd w:w="0" w:type="dxa"/>
        <w:tblLayout w:type="fixed"/>
        <w:tblCellMar>
          <w:top w:w="28" w:type="dxa"/>
          <w:left w:w="28" w:type="dxa"/>
          <w:bottom w:w="28" w:type="dxa"/>
          <w:right w:w="28" w:type="dxa"/>
        </w:tblCellMar>
      </w:tblPr>
      <w:tblGrid>
        <w:gridCol w:w="713"/>
        <w:gridCol w:w="624"/>
        <w:gridCol w:w="628"/>
        <w:gridCol w:w="211"/>
        <w:gridCol w:w="826"/>
        <w:gridCol w:w="109"/>
        <w:gridCol w:w="109"/>
        <w:gridCol w:w="109"/>
        <w:gridCol w:w="109"/>
        <w:gridCol w:w="255"/>
        <w:gridCol w:w="999"/>
        <w:gridCol w:w="186"/>
      </w:tblGrid>
      <w:tr>
        <w:trPr/>
        <w:tc>
          <w:tcPr>
            <w:tcW w:w="71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221,735 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ASANA,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180"/>
        <w:ind w:left="0" w:right="0" w:hanging="900"/>
        <w:jc w:val="left"/>
        <w:rPr>
          <w:rFonts w:ascii="Times New Roman;serif" w:hAnsi="Times New Roman;serif"/>
          <w:b/>
          <w:color w:val="000000"/>
          <w:sz w:val="20"/>
        </w:rPr>
      </w:pPr>
      <w:r>
        <w:rPr>
          <w:rFonts w:ascii="Times New Roman;serif" w:hAnsi="Times New Roman;serif"/>
          <w:b/>
          <w:color w:val="000000"/>
          <w:sz w:val="20"/>
        </w:rPr>
        <w:t>Note 16.     Restructuring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2025, the Company approved a restructuring plan (the “2025 Restructuring Plan”) intended to improve operational efficiencies and operating costs and better align the Company’s workforce with its business needs, top strategic priorities, and key growth opportunities. The 2025 Restructuring Plan involved a reduction of the Company’s workforce by approximately 5% globally.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2025, the Company had recorded cumulative total restructuring charges of $6.7 million related to the 2025 Restructuring Plan, consisting of $6.0 million of severance and related charges and $0.7 million of stock-based compensation expense. During the six months ended July 31, 2025, the Company recorded restructuring charges of $2.2 million and settled the restructuring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Separate from the 2025 Restructuring Plan, during the three months ended July 31, 2026, the Company recorded $2.5 million of restructuring charges related to an insignificant workforce reduction, consisting of $2.5 million of severance and related charges and less than $0.1 million of stock-based compensation benefit. As of July 31, 2026, the Company had $0.2 million restructuring charges reflected within accrued expenses and other current liabilities.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costs consist of the following activity for the periods presented (in thousands):</w:t>
      </w:r>
    </w:p>
    <w:tbl>
      <w:tblPr>
        <w:tblW w:w="5153" w:type="dxa"/>
        <w:jc w:val="left"/>
        <w:tblInd w:w="0" w:type="dxa"/>
        <w:tblLayout w:type="fixed"/>
        <w:tblCellMar>
          <w:top w:w="28" w:type="dxa"/>
          <w:left w:w="28" w:type="dxa"/>
          <w:bottom w:w="28" w:type="dxa"/>
          <w:right w:w="28" w:type="dxa"/>
        </w:tblCellMar>
      </w:tblPr>
      <w:tblGrid>
        <w:gridCol w:w="1052"/>
        <w:gridCol w:w="925"/>
        <w:gridCol w:w="932"/>
        <w:gridCol w:w="211"/>
        <w:gridCol w:w="616"/>
        <w:gridCol w:w="109"/>
        <w:gridCol w:w="109"/>
        <w:gridCol w:w="109"/>
        <w:gridCol w:w="109"/>
        <w:gridCol w:w="211"/>
        <w:gridCol w:w="616"/>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restructuring costs are recognized in the condensed consolidated statement of operations for the periods presented (in thousands):</w:t>
      </w:r>
    </w:p>
    <w:tbl>
      <w:tblPr>
        <w:tblW w:w="4554" w:type="dxa"/>
        <w:jc w:val="left"/>
        <w:tblInd w:w="0" w:type="dxa"/>
        <w:tblLayout w:type="fixed"/>
        <w:tblCellMar>
          <w:top w:w="28" w:type="dxa"/>
          <w:left w:w="28" w:type="dxa"/>
          <w:bottom w:w="28" w:type="dxa"/>
          <w:right w:w="28" w:type="dxa"/>
        </w:tblCellMar>
      </w:tblPr>
      <w:tblGrid>
        <w:gridCol w:w="835"/>
        <w:gridCol w:w="736"/>
        <w:gridCol w:w="739"/>
        <w:gridCol w:w="211"/>
        <w:gridCol w:w="616"/>
        <w:gridCol w:w="109"/>
        <w:gridCol w:w="109"/>
        <w:gridCol w:w="109"/>
        <w:gridCol w:w="109"/>
        <w:gridCol w:w="211"/>
        <w:gridCol w:w="61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76"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 on March 13, 2026. As described in the section titled “Special Note Regarding Forward-Looking Statements,” the following discussion and analysis contains forward-looking statements that involve risks and uncertainties, as well as assumptions that, if they never materialize or prove 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Asana is the work management platform built for the agentic enterprise, where humans and AI agents run critical workflows together. Our platform enables individuals to work smarter, teams to move faster, and organizations to deliver results. Customers use Asana to connect their work to company goals and orchestrate mission critical workflows like product launches, employee onboarding, resource planning, tracking company-wide strategic initiatives and more. By combining shared memory with enterprise-grade governance, our platform enables organizations to coordinate work across human and AI team members on the same live plan. This drives clarity, accountability, and impact across the organization from executives and department heads to team leads, individuals, and agents delivering the work. In Asana, the “Who, What, When, and Why” of work is transparent, ensuring that every action, whether taken by a person or an AI agent, is grounded in real business context and aligned to strategic goals.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complementary products within the Asana platform to meet the needs of diverse organizations: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core work management product, available in a tiered, seat-based model;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AI Teammates, collaborative AI agents that work like real teammates to accelerate outcomes, which operates on a consumption basis;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Asana AI Studio, a no-code builder that lets teams build and embed AI into workflows, also on a consumption basis.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employ a hybrid go-to-market approach, combining a product-led model, direct sales and channel partners.</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growth and financial performance are dependent upon many factors, including the key factors described below.</w:t>
      </w:r>
    </w:p>
    <w:p>
      <w:pPr>
        <w:pStyle w:val="TextBody"/>
        <w:bidi w:val="0"/>
        <w:spacing w:lineRule="auto" w:line="288" w:before="120" w:after="180"/>
        <w:ind w:left="0" w:right="0" w:hanging="360"/>
        <w:jc w:val="left"/>
        <w:rPr>
          <w:rFonts w:ascii="Times New Roman;serif" w:hAnsi="Times New Roman;serif"/>
          <w:b/>
          <w:i/>
          <w:color w:val="000000"/>
          <w:sz w:val="20"/>
        </w:rPr>
      </w:pPr>
      <w:r>
        <w:rPr>
          <w:rFonts w:ascii="Times New Roman;serif" w:hAnsi="Times New Roman;serif"/>
          <w:b/>
          <w:i/>
          <w:color w:val="000000"/>
          <w:sz w:val="20"/>
        </w:rPr>
        <w:t>Paying Customers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continuing to grow the number of customers that use our platform, and specifically on growing the number of customers spending over $5,000 on an annualized basis (“Core customers”), and those spending over $100,000 on an annualized basis. Our operating results and growth opportunity depend, in part, on our ability to attract new customers and expand within those same organizations. We believe we have significant greenfield opportunities among addressable customers worldwide, and we will continue to invest in our research and development and our sales and marketing organizations to address this opportunity.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customers spending over $5,000 and $100,000 as those organizations on a paid subscription plan that had $5,000 or more or $100,000 or more in annualized GAAP revenues in a given quarter, respectively, inclusive of discounts. As customers realize the productivity benefits we provide, our platform often becomes critical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managing their work, increasing employee productivity and achieving their objectives, which drives further adoption and expansion opportunities, and results in higher annualized contract values. We believe that our ability to increase the number of these customers is an important indicator of the components of our business, including: the continued acquisition of new customers, retaining and expanding our user base within existing customers, our continued investment in product development and functionality required by larger organizations, and the strategic expansion of our direct sales force.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we had 26,778 Core customers contributing approximately 77% and 76% of revenues for the three and six months then ended, respectively. As of July 31, 2025, we had 25,006 Core customers who contributed approximately 76% and 75% of revenues for the three and six months then ended, respectively.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we had 890 and 770 customers spending over $100,000, on an annualized basis, respectively.</w:t>
      </w:r>
    </w:p>
    <w:p>
      <w:pPr>
        <w:pStyle w:val="TextBody"/>
        <w:bidi w:val="0"/>
        <w:spacing w:lineRule="auto" w:line="288" w:before="12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Dollar-based Net Retention Rate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derive a portion of our revenue growth from expansion within our existing customer base, where we have an opportunity to expand adoption of Asana across teams, departments, and organizations. We believe that our dollar-based net retention rate demonstrates our opportunity to further expand within our existing customer base, particularly those that generate higher levels of annual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due to a number of factors, including the expected growth of our revenue base, the level of penetration within our customer base, our ability to retain our customers, and the macroeconomic environment. For example, macroeconomic conditions have affected customers’ renewal decisions, which has impacted our dollar-based net retention rate in recent periods.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and 2025, our dollar-based net retention rate was 97% and 96%, respectively.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and 2025, our dollar-based net retention rate for our Core customers was 98% and 96%, respectively. Our dollar-based net retention rate for customers spending over $100,000 on an annualized basis for the same periods was 98% and 95%, respectively.</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Current Economic Conditions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Global macroeconomic events including inflation, fluctuating interest rates, bank failures, supply chain disruptions, fluctuations in currency exchange rates, tariffs and changes in trade agreements, and geopolitical unrest have led to economic uncertainty. These macroeconomic conditions have and are likely to continue to have adverse effects on the rate of global IT spending, including the buying patterns of our customers and prospective customers, and the length of our sales cycles.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introduction and acceptance of AI-assisted technologies has impacted traditional search engine user discovery of our products, particularly by small and midsize businesses. While we have aligned our product-led growth initiatives to this new environment and seen modest quarter-over-quarter traffic recovery from these customers as well as improvements in web conversion and retention, we expect these shifting dynamics to continue to impact us throughout fiscal year 2027.</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Acquisition of StackAI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2026, we announced the acquisition of Eigen Inc. (“StackAI”), a privately held artificial intelligence company that offers a no-code AI automation platform that allows businesses to build, test, and deploy custom AI agents and complex workflows.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Leadership Transitions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2026, we announced the resignation of Veronica Sosa, our Chief Accounting Officer and principal accounting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generate revenues from subscription fees earned from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generate revenues from our consumption-based AI products and professional services, which are not material to the consolidated financial statements. </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revenues consists primarily of the cost of providing our platform to free users and paying customers and is comprised of third-party hosting fees, personnel-related expenses for our operations and support personnel including allocated overhead costs for facilities and shared IT-related expenses, third-party implementation services partner fees, credit card processing fees, infrastructure and application performance monitoring costs, and amortization of our capitalized internal-use software costs.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acquire new customers and existing customers increase their use of our cloud-based platform, we expect that our cost of revenues will continue to increase.</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Gross Profit and Gross Margin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sales and marketing, and general and administrative expenses. Personnel-related expenses are the most significant component of operating expenses and consist of salaries, employer payroll taxes, benefits, stock-based compensation expense, and, in the case of sales and marketing expenses, sales commissions. Operating expenses also include an allocation of overhead costs for facilities and shared IT-related expenses, including depreciation expense.</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expenses. These expenses also include product design costs, third-party services and consulting expenses, software subscriptions and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including the integration of AI in our products, and as a result, we expect research and development expenses to continue to increase in dollar amount, but to decrease as a percentage of revenues over time.</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personnel-related expenses and expenses for performance marketing, brand marketing, pipeline generation, and sponsorship activities. These expenses also include allocated overhead costs, travel-related expenses, and professional fees. Sales commissions earned by our sales force that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considered incremental and recoverable costs of obtaining a subscription with a customer are deferred and amortized on a straight-line basis over the expected period of benefit of three years.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period to period depending on the extent and timing of our initiatives.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personnel-related expenses for our finance, human resources, information technology, and legal organizations, and for certain of our executives. These expenses also include non-personnel costs, such as outside legal, accounting, and other professional fees, software subscriptions and expensed computer equipment, certain tax, license, and insurance-related expenses, impairment charges, and allocated overhead costs.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recognized and will continue to recognize certain expenses as part of being a publicly traded company, consisting of professional fees and other expenses. As a public company, we incur additional costs associated with accounting, compliance, insurance, and investor relations. We expect our general and administrative expenses to continue to increase in dollar amount for the foreseeable future but to generally decrease as a percentage of our revenues, although the percentage may fluctuate from period to period depending on the timing and amount of our general and administrative expenses.</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Interest Income and Other Income (Expense), Net and Interest Expense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 consists of income earned on our marketable securities and investments, in addition to foreign currency transaction gains and losses.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expense from our credit facilities.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consists primarily of income taxes in certain foreign jurisdictions in which we conduct business. To date, we have not recorded a material provision for income taxes for any of the periods presented other than for foreign income tax. In the United States, we have recorded deferred tax assets for which we provide a full valuation allowance, which primarily include net operating loss carryforwards and research and development tax credit carryforwards. As a result of the StackAI acquisition, the Company released a portion of its valuation allowance, which resulted in a tax benefit for the quarter. We expect to maintain this full valuation allowance for the foreseeable future as it is more likely than not the deferred tax assets will not be realized based on our history of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our results of operations for the periods presented and as a percentage of our revenues for those periods. The period-to-period comparison of financial results is not necessarily indicative of financial results to be achieved in future periods. </w:t>
      </w:r>
    </w:p>
    <w:tbl>
      <w:tblPr>
        <w:tblW w:w="9599" w:type="dxa"/>
        <w:jc w:val="left"/>
        <w:tblInd w:w="0" w:type="dxa"/>
        <w:tblLayout w:type="fixed"/>
        <w:tblCellMar>
          <w:top w:w="28" w:type="dxa"/>
          <w:left w:w="28" w:type="dxa"/>
          <w:bottom w:w="28" w:type="dxa"/>
          <w:right w:w="28" w:type="dxa"/>
        </w:tblCellMar>
      </w:tblPr>
      <w:tblGrid>
        <w:gridCol w:w="1445"/>
        <w:gridCol w:w="1267"/>
        <w:gridCol w:w="127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revenues</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color w:val="000000"/>
              </w:rPr>
              <w:t xml:space="preser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(1)Amounts include stock-based compensation expense as follows:</w:t>
      </w:r>
    </w:p>
    <w:tbl>
      <w:tblPr>
        <w:tblW w:w="8745"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100" w:after="283"/>
        <w:jc w:val="both"/>
        <w:rPr/>
      </w:pPr>
      <w:r>
        <w:rPr/>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components of our statements of operations data, for each of the periods presented, as a percentage of revenues. </w:t>
      </w:r>
    </w:p>
    <w:tbl>
      <w:tblPr>
        <w:tblW w:w="9076" w:type="dxa"/>
        <w:jc w:val="left"/>
        <w:tblInd w:w="0" w:type="dxa"/>
        <w:tblLayout w:type="fixed"/>
        <w:tblCellMar>
          <w:top w:w="28" w:type="dxa"/>
          <w:left w:w="28" w:type="dxa"/>
          <w:bottom w:w="28" w:type="dxa"/>
          <w:right w:w="28" w:type="dxa"/>
        </w:tblCellMar>
      </w:tblPr>
      <w:tblGrid>
        <w:gridCol w:w="1448"/>
        <w:gridCol w:w="1266"/>
        <w:gridCol w:w="1275"/>
        <w:gridCol w:w="233"/>
        <w:gridCol w:w="233"/>
        <w:gridCol w:w="464"/>
        <w:gridCol w:w="186"/>
        <w:gridCol w:w="186"/>
        <w:gridCol w:w="186"/>
        <w:gridCol w:w="233"/>
        <w:gridCol w:w="233"/>
        <w:gridCol w:w="464"/>
        <w:gridCol w:w="109"/>
        <w:gridCol w:w="109"/>
        <w:gridCol w:w="109"/>
        <w:gridCol w:w="233"/>
        <w:gridCol w:w="233"/>
        <w:gridCol w:w="418"/>
        <w:gridCol w:w="168"/>
        <w:gridCol w:w="168"/>
        <w:gridCol w:w="168"/>
        <w:gridCol w:w="233"/>
        <w:gridCol w:w="233"/>
        <w:gridCol w:w="488"/>
      </w:tblGrid>
      <w:tr>
        <w:trPr/>
        <w:tc>
          <w:tcPr>
            <w:tcW w:w="144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revenues)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provision for income taxes</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Less than 1%.</w:t>
      </w:r>
    </w:p>
    <w:p>
      <w:pPr>
        <w:pStyle w:val="TextBody"/>
        <w:bidi w:val="0"/>
        <w:spacing w:lineRule="auto" w:line="288" w:before="0" w:after="0"/>
        <w:jc w:val="both"/>
        <w:rPr/>
      </w:pPr>
      <w:r>
        <w:rPr>
          <w:rFonts w:ascii="Times New Roman;serif" w:hAnsi="Times New Roman;serif"/>
          <w:b w:val="false"/>
          <w:color w:val="000000"/>
          <w:sz w:val="18"/>
        </w:rPr>
        <w:t>Note: Certain figures may not sum du</w:t>
      </w:r>
      <w:r>
        <w:rPr>
          <w:rFonts w:ascii="Times New Roman;serif" w:hAnsi="Times New Roman;serif"/>
          <w:b w:val="false"/>
          <w:color w:val="000000"/>
          <w:sz w:val="18"/>
          <w:shd w:fill="FFFFFF" w:val="clear"/>
        </w:rPr>
        <w:t>e to roundi</w:t>
      </w:r>
      <w:r>
        <w:rPr>
          <w:rFonts w:ascii="Times New Roman;serif" w:hAnsi="Times New Roman;serif"/>
          <w:b w:val="false"/>
          <w:color w:val="000000"/>
          <w:sz w:val="18"/>
        </w:rPr>
        <w:t>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Comparison of Three Months Ended July 31, 2026 to Three Months Ended July 31, 2025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Revenues </w:t>
      </w:r>
    </w:p>
    <w:tbl>
      <w:tblPr>
        <w:tblW w:w="6146" w:type="dxa"/>
        <w:jc w:val="left"/>
        <w:tblInd w:w="0" w:type="dxa"/>
        <w:tblLayout w:type="fixed"/>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increased $19.5 million, or 10%, during the three months ended July 31, 2026 compared to the three months ended July 31, 2025. The increase in revenues was primarily due to the addition of new paying customers and a continued shift in our sales mix toward our higher priced Enterprise+ subscription plan.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Cost of Revenues</w:t>
      </w:r>
    </w:p>
    <w:tbl>
      <w:tblPr>
        <w:tblW w:w="6489" w:type="dxa"/>
        <w:jc w:val="left"/>
        <w:tblInd w:w="0" w:type="dxa"/>
        <w:tblLayout w:type="fixed"/>
        <w:tblCellMar>
          <w:top w:w="28" w:type="dxa"/>
          <w:left w:w="28" w:type="dxa"/>
          <w:bottom w:w="28" w:type="dxa"/>
          <w:right w:w="28" w:type="dxa"/>
        </w:tblCellMar>
      </w:tblPr>
      <w:tblGrid>
        <w:gridCol w:w="531"/>
        <w:gridCol w:w="468"/>
        <w:gridCol w:w="4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Cost of revenues increased $10.1 million, or 50%, during the three months ended July 31, 2026 compared to the three months ended July 31, 2025. The increase was primarily due to </w:t>
      </w:r>
      <w:r>
        <w:rPr>
          <w:rFonts w:ascii="Times New Roman;serif" w:hAnsi="Times New Roman;serif"/>
          <w:b w:val="false"/>
          <w:color w:val="000000"/>
          <w:sz w:val="20"/>
          <w:shd w:fill="FFFFFF" w:val="clear"/>
        </w:rPr>
        <w:t>an increase of $4.1 million in third-party hosting costs, an increase of $2.0 million in infrastructure-related costs, an increase of $1.9 million in personnel-related costs, an increase of $1.0 million in amortization of capitalized software development costs, an increase of $0.4 million in credit card processing fees, and an increase of $0.4 million in amortization of StackAI developed technology and trade names and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434"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Research and development expenses increased $2.4 million, or 3%, during the three months ended July 31, 2026 compared to the three months ended July 31, 2025.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was primarily due to </w:t>
      </w:r>
      <w:r>
        <w:rPr>
          <w:rFonts w:ascii="Times New Roman;serif" w:hAnsi="Times New Roman;serif"/>
          <w:b w:val="false"/>
          <w:color w:val="000000"/>
          <w:sz w:val="20"/>
        </w:rPr>
        <w:t xml:space="preserve">an increase of $1.8 million in subscription and software related expenses, an increase of $1.6 million in personnel-related costs, an increase of $0.4 million in allocated overhead costs, an increase of $0.3 million in professional fees, and partially offset by an increase of $1.8 million in capitalized internal-use software. </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Sales and marketing expenses decreased $2.3 million, or 2%, during the three months ended July 31, 2026 compared to the three months ended July 31, 2025.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was primarily due to a decrease of $1.4 million in personnel-related costs, a decrease of $1.2 million in professional fees, a decrease of $1.0 million in cloud computing and related costs, and partially offset by an increase of $1.1 million in subscription and software related expenses, and an increase of $0.2 million in travel and entertainment costs.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both"/>
        <w:rPr/>
      </w:pPr>
      <w:r>
        <w:rPr>
          <w:rFonts w:ascii="Times New Roman;serif" w:hAnsi="Times New Roman;serif"/>
          <w:b w:val="false"/>
          <w:color w:val="000000"/>
          <w:sz w:val="20"/>
        </w:rPr>
        <w:t>Genera</w:t>
      </w:r>
      <w:r>
        <w:rPr>
          <w:rFonts w:ascii="Times New Roman;serif" w:hAnsi="Times New Roman;serif"/>
          <w:b w:val="false"/>
          <w:color w:val="000000"/>
          <w:sz w:val="20"/>
          <w:shd w:fill="FFFFFF" w:val="clear"/>
        </w:rPr>
        <w:t xml:space="preserve">l and administrative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$1.1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3%,</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months ended July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three months ended July 31,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 xml:space="preserve">increase </w:t>
      </w:r>
      <w:r>
        <w:rPr>
          <w:rFonts w:ascii="Times New Roman;serif" w:hAnsi="Times New Roman;serif"/>
          <w:b w:val="false"/>
          <w:color w:val="000000"/>
          <w:sz w:val="20"/>
          <w:shd w:fill="FFFFFF" w:val="clear"/>
        </w:rPr>
        <w:t>was primarily due to an increase of $1.5 million in professional fees, an increase of $0.7 million in subscription and software related expenses, an increase of $0.6 million in provision for credit losses, and partially offset by a decrease of $2.0 million in personnel-related costs.</w:t>
      </w:r>
    </w:p>
    <w:p>
      <w:pPr>
        <w:pStyle w:val="TextBody"/>
        <w:bidi w:val="0"/>
        <w:spacing w:lineRule="auto" w:line="288" w:before="0" w:after="180"/>
        <w:ind w:left="0" w:right="0" w:firstLine="360"/>
        <w:jc w:val="both"/>
        <w:rPr/>
      </w:pPr>
      <w:r>
        <w:rPr>
          <w:rFonts w:ascii="Times New Roman;serif" w:hAnsi="Times New Roman;serif"/>
          <w:b/>
          <w:i/>
          <w:color w:val="000000"/>
          <w:sz w:val="20"/>
          <w:shd w:fill="FFFFFF" w:val="clear"/>
        </w:rPr>
        <w:t xml:space="preserve">Interest Income, </w:t>
      </w:r>
      <w:r>
        <w:rPr>
          <w:rFonts w:ascii="Times New Roman;serif" w:hAnsi="Times New Roman;serif"/>
          <w:b/>
          <w:i/>
          <w:color w:val="000000"/>
          <w:sz w:val="20"/>
        </w:rPr>
        <w:t>Interest Expense, and Other Income (Expense), Net</w:t>
      </w:r>
    </w:p>
    <w:tbl>
      <w:tblPr>
        <w:tblW w:w="8865" w:type="dxa"/>
        <w:jc w:val="left"/>
        <w:tblInd w:w="0" w:type="dxa"/>
        <w:tblLayout w:type="fixed"/>
        <w:tblCellMar>
          <w:top w:w="28" w:type="dxa"/>
          <w:left w:w="28" w:type="dxa"/>
          <w:bottom w:w="28" w:type="dxa"/>
          <w:right w:w="28" w:type="dxa"/>
        </w:tblCellMar>
      </w:tblPr>
      <w:tblGrid>
        <w:gridCol w:w="1444"/>
        <w:gridCol w:w="1271"/>
        <w:gridCol w:w="1275"/>
        <w:gridCol w:w="214"/>
        <w:gridCol w:w="626"/>
        <w:gridCol w:w="110"/>
        <w:gridCol w:w="110"/>
        <w:gridCol w:w="110"/>
        <w:gridCol w:w="110"/>
        <w:gridCol w:w="214"/>
        <w:gridCol w:w="626"/>
        <w:gridCol w:w="110"/>
        <w:gridCol w:w="109"/>
        <w:gridCol w:w="109"/>
        <w:gridCol w:w="109"/>
        <w:gridCol w:w="211"/>
        <w:gridCol w:w="691"/>
        <w:gridCol w:w="109"/>
        <w:gridCol w:w="109"/>
        <w:gridCol w:w="109"/>
        <w:gridCol w:w="109"/>
        <w:gridCol w:w="218"/>
        <w:gridCol w:w="218"/>
        <w:gridCol w:w="54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Interest income and other income (expense), net decreased by $1.4 million, or 42%, during the three months ended July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three months ended July 31, 2025, primarily due to a decrease of $1.7 million in interest income on marketable securities, offset by an increase of $0.3 million for the impact of foreign currency transaction gains and losses. Interest expense decreased by $0.2 million, or 19%, durin</w:t>
      </w:r>
      <w:r>
        <w:rPr>
          <w:rFonts w:ascii="Times New Roman;serif" w:hAnsi="Times New Roman;serif"/>
          <w:b w:val="false"/>
          <w:color w:val="000000"/>
          <w:sz w:val="20"/>
          <w:shd w:fill="FFFFFF" w:val="clear"/>
        </w:rPr>
        <w:t xml:space="preserve">g the </w:t>
      </w:r>
      <w:r>
        <w:rPr>
          <w:rFonts w:ascii="Times New Roman;serif" w:hAnsi="Times New Roman;serif"/>
          <w:b w:val="false"/>
          <w:color w:val="000000"/>
          <w:sz w:val="20"/>
        </w:rPr>
        <w:t>three months ended July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three months ended July 31, 2025</w:t>
      </w:r>
      <w:r>
        <w:rPr>
          <w:rFonts w:ascii="Times New Roman;serif" w:hAnsi="Times New Roman;serif"/>
          <w:b w:val="false"/>
          <w:color w:val="000000"/>
          <w:sz w:val="20"/>
          <w:shd w:fill="FFFFFF" w:val="clear"/>
        </w:rPr>
        <w:t>, primarily due to a decrease in interest rates and reduced outstanding term loan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 xml:space="preserve">Comparison of Six Months Ended July 31, 2026 to Six Months Ended July 31, 2025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Revenues </w:t>
      </w:r>
    </w:p>
    <w:tbl>
      <w:tblPr>
        <w:tblW w:w="6146" w:type="dxa"/>
        <w:jc w:val="left"/>
        <w:tblInd w:w="0" w:type="dxa"/>
        <w:tblLayout w:type="fixed"/>
        <w:tblCellMar>
          <w:top w:w="28" w:type="dxa"/>
          <w:left w:w="28" w:type="dxa"/>
          <w:bottom w:w="28" w:type="dxa"/>
          <w:right w:w="28" w:type="dxa"/>
        </w:tblCellMar>
      </w:tblPr>
      <w:tblGrid>
        <w:gridCol w:w="332"/>
        <w:gridCol w:w="291"/>
        <w:gridCol w:w="29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6"/>
        <w:gridCol w:w="186"/>
        <w:gridCol w:w="544"/>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increased $37.3 million, or 10%, during the six months ended July 31, 2026 compared to the six months ended July 31, 2025. The increase in revenues was primarily due to the addition of new paying customers and a continued shift in our sales mix toward our higher priced Enterprise+ subscription plans.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Cost of Revenues</w:t>
      </w:r>
    </w:p>
    <w:tbl>
      <w:tblPr>
        <w:tblW w:w="6489" w:type="dxa"/>
        <w:jc w:val="left"/>
        <w:tblInd w:w="0" w:type="dxa"/>
        <w:tblLayout w:type="fixed"/>
        <w:tblCellMar>
          <w:top w:w="28" w:type="dxa"/>
          <w:left w:w="28" w:type="dxa"/>
          <w:bottom w:w="28" w:type="dxa"/>
          <w:right w:w="28" w:type="dxa"/>
        </w:tblCellMar>
      </w:tblPr>
      <w:tblGrid>
        <w:gridCol w:w="531"/>
        <w:gridCol w:w="468"/>
        <w:gridCol w:w="4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6"/>
        <w:gridCol w:w="186"/>
        <w:gridCol w:w="54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revenues increased $16.3 million, or 41%, during the six months ended July 31, 2026 compared to the six months ended July 31, 2025. The increase was primarily due to an increase of $6.6 in third-party hosting costs, an increase of $3.8 million in personnel-related costs, an increase of $2.4 million in infrastructure and application performance monitoring costs, an increase of $2.2 million in amortization of capitalized software development costs, and an increase of $0.8 million in credit card processing fees.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7614"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Research and development expenses decreased $6.7 million, or 4%, during the six months ended July 31, 2026 compared to the six months ended July 31, 2025.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was primarily due to a decrease of $6.0 million in personnel-related costs, an increase of $3.3 million in capitalized internal-use software, a decrease of $0.7 million in allocated overhead costs, and partially offset by an increase of $3.0 million in subscription and software related expenses, and an increase of $0.3 million in technology infrastructure and related costs.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Sales and marketing expenses decreased $9.7 million, or 5%, during the six months ended July 31, 2026 compared to the six months ended July 31, 2025.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decrease</w:t>
      </w:r>
      <w:r>
        <w:rPr>
          <w:color w:val="000000"/>
          <w:shd w:fill="FFFFFF" w:val="clear"/>
        </w:rPr>
        <w:t xml:space="preserve"> </w:t>
      </w:r>
      <w:r>
        <w:rPr>
          <w:rFonts w:ascii="Times New Roman;serif" w:hAnsi="Times New Roman;serif"/>
          <w:b w:val="false"/>
          <w:color w:val="000000"/>
          <w:sz w:val="20"/>
          <w:shd w:fill="FFFFFF" w:val="clear"/>
        </w:rPr>
        <w:t>was primarily due to a decrease of $5.6 million in personnel-related costs, a decrease of $2.2 million in professional fees, and a decrease of $1.7 million in travel and entertainment costs.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both"/>
        <w:rPr/>
      </w:pPr>
      <w:r>
        <w:rPr>
          <w:rFonts w:ascii="Times New Roman;serif" w:hAnsi="Times New Roman;serif"/>
          <w:b w:val="false"/>
          <w:color w:val="000000"/>
          <w:sz w:val="20"/>
        </w:rPr>
        <w:t>Genera</w:t>
      </w:r>
      <w:r>
        <w:rPr>
          <w:rFonts w:ascii="Times New Roman;serif" w:hAnsi="Times New Roman;serif"/>
          <w:b w:val="false"/>
          <w:color w:val="000000"/>
          <w:sz w:val="20"/>
          <w:shd w:fill="FFFFFF" w:val="clear"/>
        </w:rPr>
        <w:t xml:space="preserve">l and administrative expenses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$0.5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1%,</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 months ended July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six months ended July 31, 2025</w:t>
      </w:r>
      <w:r>
        <w:rPr>
          <w:rFonts w:ascii="Times New Roman;serif" w:hAnsi="Times New Roman;serif"/>
          <w:b w:val="false"/>
          <w:color w:val="000000"/>
          <w:sz w:val="20"/>
          <w:shd w:fill="FFFFFF" w:val="clear"/>
        </w:rPr>
        <w:t xml:space="preserve">. The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was primarily due to an increase of $2.7 million in professional fees, and partially offset by a decrease of $1.5 million in personnel-related costs, and a decrease of $0.7 million in allocated overhead costs.</w:t>
      </w:r>
    </w:p>
    <w:p>
      <w:pPr>
        <w:pStyle w:val="TextBody"/>
        <w:bidi w:val="0"/>
        <w:spacing w:lineRule="auto" w:line="288" w:before="0" w:after="180"/>
        <w:ind w:left="0" w:right="0" w:firstLine="360"/>
        <w:jc w:val="both"/>
        <w:rPr/>
      </w:pPr>
      <w:r>
        <w:rPr>
          <w:rFonts w:ascii="Times New Roman;serif" w:hAnsi="Times New Roman;serif"/>
          <w:b/>
          <w:i/>
          <w:color w:val="000000"/>
          <w:sz w:val="20"/>
          <w:shd w:fill="FFFFFF" w:val="clear"/>
        </w:rPr>
        <w:t xml:space="preserve">Interest Income, </w:t>
      </w:r>
      <w:r>
        <w:rPr>
          <w:rFonts w:ascii="Times New Roman;serif" w:hAnsi="Times New Roman;serif"/>
          <w:b/>
          <w:i/>
          <w:color w:val="000000"/>
          <w:sz w:val="20"/>
        </w:rPr>
        <w:t>Interest Expense, and Other Income (Expense), Net</w:t>
      </w:r>
    </w:p>
    <w:tbl>
      <w:tblPr>
        <w:tblW w:w="8834" w:type="dxa"/>
        <w:jc w:val="left"/>
        <w:tblInd w:w="0" w:type="dxa"/>
        <w:tblLayout w:type="fixed"/>
        <w:tblCellMar>
          <w:top w:w="28" w:type="dxa"/>
          <w:left w:w="28" w:type="dxa"/>
          <w:bottom w:w="28" w:type="dxa"/>
          <w:right w:w="28" w:type="dxa"/>
        </w:tblCellMar>
      </w:tblPr>
      <w:tblGrid>
        <w:gridCol w:w="1444"/>
        <w:gridCol w:w="1271"/>
        <w:gridCol w:w="1275"/>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218"/>
        <w:gridCol w:w="218"/>
        <w:gridCol w:w="544"/>
      </w:tblGrid>
      <w:tr>
        <w:trPr/>
        <w:tc>
          <w:tcPr>
            <w:tcW w:w="144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income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180"/>
        <w:ind w:left="0" w:right="0" w:firstLine="360"/>
        <w:jc w:val="both"/>
        <w:rPr/>
      </w:pPr>
      <w:r>
        <w:rPr>
          <w:rFonts w:ascii="Times New Roman;serif" w:hAnsi="Times New Roman;serif"/>
          <w:b w:val="false"/>
          <w:color w:val="000000"/>
          <w:sz w:val="20"/>
        </w:rPr>
        <w:t>Interest income and other income (expense), net decreased by $4.3 million, or 47%, during the six months ended July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six months ended July 31,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primarily due to a decrease of $2.1 million in interest income on marketable securities and a decrease of $2.2 million for the impact of foreign currency transaction gains and losses. Interest expense decreased by $0.3 million, or 19%, durin</w:t>
      </w:r>
      <w:r>
        <w:rPr>
          <w:rFonts w:ascii="Times New Roman;serif" w:hAnsi="Times New Roman;serif"/>
          <w:b w:val="false"/>
          <w:color w:val="000000"/>
          <w:sz w:val="20"/>
          <w:shd w:fill="FFFFFF" w:val="clear"/>
        </w:rPr>
        <w:t xml:space="preserve">g the </w:t>
      </w:r>
      <w:r>
        <w:rPr>
          <w:rFonts w:ascii="Times New Roman;serif" w:hAnsi="Times New Roman;serif"/>
          <w:b w:val="false"/>
          <w:color w:val="000000"/>
          <w:sz w:val="20"/>
        </w:rPr>
        <w:t>six months ended July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six months ended July 31, 2025</w:t>
      </w:r>
      <w:r>
        <w:rPr>
          <w:rFonts w:ascii="Times New Roman;serif" w:hAnsi="Times New Roman;serif"/>
          <w:b w:val="false"/>
          <w:color w:val="000000"/>
          <w:sz w:val="20"/>
          <w:shd w:fill="FFFFFF" w:val="clear"/>
        </w:rPr>
        <w:t>, primarily due to a decrease in interest rates and a decrease in the outstanding term loan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8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 </w:t>
      </w:r>
    </w:p>
    <w:tbl>
      <w:tblPr>
        <w:tblW w:w="8189" w:type="dxa"/>
        <w:jc w:val="left"/>
        <w:tblInd w:w="0" w:type="dxa"/>
        <w:tblLayout w:type="fixed"/>
        <w:tblCellMar>
          <w:top w:w="28" w:type="dxa"/>
          <w:left w:w="28" w:type="dxa"/>
          <w:bottom w:w="28" w:type="dxa"/>
          <w:right w:w="28" w:type="dxa"/>
        </w:tblCellMar>
      </w:tblPr>
      <w:tblGrid>
        <w:gridCol w:w="1086"/>
        <w:gridCol w:w="955"/>
        <w:gridCol w:w="95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i/>
          <w:color w:val="000000"/>
          <w:sz w:val="20"/>
        </w:rPr>
      </w:pPr>
      <w:r>
        <w:rPr>
          <w:rFonts w:ascii="Times New Roman;serif" w:hAnsi="Times New Roman;serif"/>
          <w:b/>
          <w:i/>
          <w:color w:val="000000"/>
          <w:sz w:val="20"/>
        </w:rPr>
        <w:t>Non-GAAP Income (Loss) From Operations and Non-GAAP Net Income (Loss)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non-GAAP income (loss) from operations as loss from operations plus stock-based compensation-related charges including the related employer payroll tax associated with RSUs and amortization of stock-based compensation capitalized in internal-use software, impairment of long-lived assets, restructuring costs, acquisition-related costs, and amortization of intangible assets. The amount of employer payroll tax-related items on employee stock transactions is dependent on our stock price and other factors that are beyond our control and that do not correlate to the operation of the business. The restructuring costs are related to the reduction of our global workforce, which resulted in expenses related to severance, benefits, and other related items. When evaluating the performance of our business and making operating plans, we do not consider these items (for example, when considering the impact of equity award grants, we place a greater emphasis on overall stockholder dilution rather than the accounting charges associated with such grants). We believe the costs associated with restructuring are distinguishable from ongoing operating costs and are not reflective of underlying trends in our business. The acquisition-related costs and the amortization of intangible assets are both related to business combinations and have no direct correlation to the operation of the business. We believe it is useful to exclude these expenses in order to better understand the long-term performance of our core business, to facilitate comparison of our results to those of peer companies, and to facilitate comparison over multiple periods.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non-GAAP net income (loss) as net loss plus stock-based compensation expense-related charges including the related employer payroll tax associated with RSUs and amortization of stock-based compensation capitalized in internal-use software, impairment of long-lived assets, restructuring costs, acquisition-related costs, and amortization of intangible assets.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non-GAAP income (loss) from operations and non-GAAP net income (loss) in conjunction with traditional GAAP measures to evaluate our financial performance. We believe that non-GAAP income (loss) from operations and non-GAAP net income (loss) provide our management and investors consistency and comparability with our past financial performance and facilitates period-to-period comparisons of operations.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Free Cash Flow and Adjusted Free Cash Flow</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free cash flow as net cash from operating activities less cash used for purchases of property and equipment and capitalized internal-use software costs. We define adjusted free cash flow as free cash flow plus restructuring costs paid. We believe that free cash flow and adjusted free cash flow are useful indicators of liquidity that provide information to management and investors, even if negative, about the amount of cash used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operations other than that used for investments in property and equipment and capitalized internal-use software costs, adjusted for expenditures which are distinguishable from our ongoing operations.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Limitations and Reconciliations of Non-GAAP Financial Measures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and adjusted free cash flow do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most directly comparable GAAP financial measure to each of these non-GAAP financial measures.</w:t>
      </w:r>
    </w:p>
    <w:p>
      <w:pPr>
        <w:pStyle w:val="TextBody"/>
        <w:bidi w:val="0"/>
        <w:spacing w:lineRule="auto" w:line="288" w:before="0" w:after="18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Non-GAAP Income (Loss) From Operations </w:t>
      </w:r>
    </w:p>
    <w:tbl>
      <w:tblPr>
        <w:tblW w:w="9270" w:type="dxa"/>
        <w:jc w:val="center"/>
        <w:tblInd w:w="0" w:type="dxa"/>
        <w:tblLayout w:type="fixed"/>
        <w:tblCellMar>
          <w:top w:w="28" w:type="dxa"/>
          <w:left w:w="28" w:type="dxa"/>
          <w:bottom w:w="28" w:type="dxa"/>
          <w:right w:w="28" w:type="dxa"/>
        </w:tblCellMar>
      </w:tblPr>
      <w:tblGrid>
        <w:gridCol w:w="1366"/>
        <w:gridCol w:w="1203"/>
        <w:gridCol w:w="1211"/>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36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compensation-related charges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(1)Stock-based compensation-related charges includes related payroll tax associated with RSUs and amortization of stock-based compensation capitalized in internal-use software. We began excluding amortization of stock-based compensation capitalized in internal-use software from our non-GAAP measures starting in the quarter ended April 30, 2026 and have presented the change prospectively as prior period amounts were immaterial. The amounts of amortization of stock-based compensation capitalized in internal-use software was $1.1 million and $2.2 million for the three and six months ended July 31, 2026, respectively, and was $0.7 million and $1.3 million for the three and six months ended July 31, 2025, respectively. This change has no impact on our GAAP financial results.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Non-GAAP Net Income (Loss)</w:t>
      </w:r>
    </w:p>
    <w:tbl>
      <w:tblPr>
        <w:tblW w:w="9269" w:type="dxa"/>
        <w:jc w:val="center"/>
        <w:tblInd w:w="0" w:type="dxa"/>
        <w:tblLayout w:type="fixed"/>
        <w:tblCellMar>
          <w:top w:w="28" w:type="dxa"/>
          <w:left w:w="28" w:type="dxa"/>
          <w:bottom w:w="28" w:type="dxa"/>
          <w:right w:w="28" w:type="dxa"/>
        </w:tblCellMar>
      </w:tblPr>
      <w:tblGrid>
        <w:gridCol w:w="1523"/>
        <w:gridCol w:w="1118"/>
        <w:gridCol w:w="113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compensation-related charges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rFonts w:ascii="Times New Roman;serif" w:hAnsi="Times New Roman;serif"/>
          <w:b w:val="false"/>
          <w:color w:val="000000"/>
          <w:sz w:val="18"/>
        </w:rPr>
      </w:pPr>
      <w:r>
        <w:rPr>
          <w:rFonts w:ascii="Times New Roman;serif" w:hAnsi="Times New Roman;serif"/>
          <w:b w:val="false"/>
          <w:color w:val="000000"/>
          <w:sz w:val="18"/>
        </w:rPr>
        <w:t>__________________</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(1)Stock-based compensation-related charges includes related payroll tax associated with RSUs and amortization of stock-based compensation capitalized in internal-use software. We began excluding amortization of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capitalized in internal-use software from our non-GAAP measures starting in the quarter ended April 30, 2026 and have presented the change prospectively as prior period amounts were immaterial. The amounts of amortization of stock-based compensation capitalized in internal-use software was $1.1 million and $2.2 million for the three and six months ended July 31, 2026, respectively, and was $0.7 million and $1.3 million for the three and six months ended July 31, 2025, respectively. This change has no impact on our GAAP financial results.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Free Cash Flow and Adjusted Free Cash Flow</w:t>
      </w:r>
    </w:p>
    <w:tbl>
      <w:tblPr>
        <w:tblW w:w="9690" w:type="dxa"/>
        <w:jc w:val="left"/>
        <w:tblInd w:w="0" w:type="dxa"/>
        <w:tblLayout w:type="fixed"/>
        <w:tblCellMar>
          <w:top w:w="28" w:type="dxa"/>
          <w:left w:w="28" w:type="dxa"/>
          <w:bottom w:w="28" w:type="dxa"/>
          <w:right w:w="28" w:type="dxa"/>
        </w:tblCellMar>
      </w:tblPr>
      <w:tblGrid>
        <w:gridCol w:w="1519"/>
        <w:gridCol w:w="1336"/>
        <w:gridCol w:w="1345"/>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internal-use software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paid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both"/>
        <w:rPr/>
      </w:pPr>
      <w:r>
        <w:rPr>
          <w:rFonts w:ascii="Times New Roman;serif" w:hAnsi="Times New Roman;serif"/>
          <w:b w:val="false"/>
          <w:color w:val="000000"/>
          <w:sz w:val="20"/>
          <w:shd w:fill="FFFFFF" w:val="clear"/>
        </w:rPr>
        <w:t>Since inception, we have financed operations primarily through the net proceeds we have received from the sales of our preferred stock and common stock,</w:t>
      </w:r>
      <w:r>
        <w:rPr>
          <w:color w:val="000000"/>
        </w:rPr>
        <w:t xml:space="preserve"> </w:t>
      </w:r>
      <w:r>
        <w:rPr>
          <w:rFonts w:ascii="Times New Roman;serif" w:hAnsi="Times New Roman;serif"/>
          <w:b w:val="false"/>
          <w:color w:val="000000"/>
          <w:sz w:val="20"/>
        </w:rPr>
        <w:t>the issuance of senior mandatory convertible promissory notes in January and June 2020 to a trust affiliated with our co-founder, Chair, and former CEO, Dustin Moskovitz, cash generated from the sale of subscriptions to our platform, and financing activities including a private placement transaction with Mr. Moskovitz. We have generated losses from our operations as reflected in our accumulated deficit of $2,299.8 million as of July 31,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July 31, 2026, our principal sources of liquidity were cash, cash equivalents, and marketable securities of $339.9 million.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2022, we entered into a four-year credit agreement with SVB, which provided for a senior secured credit facilities in the aggregate principal amount of up to $150.0 million, consisting of a term loan facility in the aggregate principal amount of $50.0 million and a revolving loan facility in an aggregate principal amount of up to $100.0 million, including a $30.0 million letter of credit sub-facility (as amended on April 13, 2023, June 18, 2024, November 18, 2024, May 29, 2025, and February 26, 2026, the “November 2022 Senior Secured Credit Facility”). The November 2022 Senior Secured Credit Facility refinanced our prior credit agreement with SVB (the “April 2020 Senior Secured Term Loan”) and terminates on November 7, 2026.</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Borrowings under the November 2022 Senior Secured Credit Facility may be designated as ABR Loans or SOFR Loans, subject to certain terms and conditions under the agreement. Interest will accrue on any outstanding balance at a floating rate tied to the adjusted term SOFR, the prime rate or the federal funds effective rate. Interest is payable monthly in arrears. Pursuant to the terms of the revolving credit facility, we are required to pay an annual commitment fee that accrues at a rate of 0.15% per annum on the unused portion of the borrowing commitments under the revolving credit facility. Refer to </w:t>
      </w:r>
      <w:r>
        <w:rPr>
          <w:rFonts w:ascii="Times New Roman;serif" w:hAnsi="Times New Roman;serif"/>
          <w:b w:val="false"/>
          <w:i/>
          <w:color w:val="000000"/>
          <w:sz w:val="20"/>
        </w:rPr>
        <w:t>Note 8. Debt</w:t>
      </w:r>
      <w:r>
        <w:rPr>
          <w:color w:val="000000"/>
        </w:rPr>
        <w:t xml:space="preserve"> </w:t>
      </w:r>
      <w:r>
        <w:rPr>
          <w:rFonts w:ascii="Times New Roman;serif" w:hAnsi="Times New Roman;serif"/>
          <w:b w:val="false"/>
          <w:color w:val="000000"/>
          <w:sz w:val="20"/>
        </w:rPr>
        <w:t>for further details.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As of July 31, 2026, under the November 2022 Senior Secured Credit Facility there was </w:t>
      </w:r>
      <w:r>
        <w:rPr>
          <w:rFonts w:ascii="Times New Roman;serif" w:hAnsi="Times New Roman;serif"/>
          <w:b w:val="false"/>
          <w:color w:val="000000"/>
          <w:sz w:val="20"/>
          <w:shd w:fill="FFFFFF" w:val="clear"/>
        </w:rPr>
        <w:t>$50.0 million</w:t>
      </w:r>
      <w:r>
        <w:rPr>
          <w:color w:val="000000"/>
        </w:rPr>
        <w:t xml:space="preserve"> </w:t>
      </w:r>
      <w:r>
        <w:rPr>
          <w:rFonts w:ascii="Times New Roman;serif" w:hAnsi="Times New Roman;serif"/>
          <w:b w:val="false"/>
          <w:color w:val="000000"/>
          <w:sz w:val="20"/>
        </w:rPr>
        <w:t xml:space="preserve">drawn and </w:t>
      </w:r>
      <w:r>
        <w:rPr>
          <w:rFonts w:ascii="Times New Roman;serif" w:hAnsi="Times New Roman;serif"/>
          <w:b w:val="false"/>
          <w:color w:val="000000"/>
          <w:sz w:val="20"/>
          <w:shd w:fill="FFFFFF" w:val="clear"/>
        </w:rPr>
        <w:t>$36.9 million</w:t>
      </w:r>
      <w:r>
        <w:rPr>
          <w:color w:val="000000"/>
        </w:rPr>
        <w:t xml:space="preserve"> </w:t>
      </w:r>
      <w:r>
        <w:rPr>
          <w:rFonts w:ascii="Times New Roman;serif" w:hAnsi="Times New Roman;serif"/>
          <w:b w:val="false"/>
          <w:color w:val="000000"/>
          <w:sz w:val="20"/>
        </w:rPr>
        <w:t xml:space="preserve">was outstanding under the term loan, no amounts outstanding under the revolving credit facility and an aggregate </w:t>
      </w:r>
      <w:r>
        <w:rPr>
          <w:rFonts w:ascii="Times New Roman;serif" w:hAnsi="Times New Roman;serif"/>
          <w:b w:val="false"/>
          <w:color w:val="000000"/>
          <w:sz w:val="20"/>
          <w:shd w:fill="FFFFFF" w:val="clear"/>
        </w:rPr>
        <w:t>$21.7 million</w:t>
      </w:r>
      <w:r>
        <w:rPr>
          <w:color w:val="000000"/>
        </w:rPr>
        <w:t xml:space="preserve"> </w:t>
      </w:r>
      <w:r>
        <w:rPr>
          <w:rFonts w:ascii="Times New Roman;serif" w:hAnsi="Times New Roman;serif"/>
          <w:b w:val="false"/>
          <w:color w:val="000000"/>
          <w:sz w:val="20"/>
        </w:rPr>
        <w:t>in letters of credit issued under the credit sub-facility. Our total available borrowing capacity under the revolving credit facility was $78.3 million as of July 31, 2026.</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27, 2023, First Citizens BancShares, Inc. (“First Citizens”) announced that it had entered into an agreement to purchase assets and liabilities of SVB, inclusive of our November 2022 Senior Secured Credit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continue to have the ability to make additional borrowings under the November 2022 Senior Secured Credit Facility which is now held by SVB as a division of First Citizens.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June 2024, our board of directors authorized a stock repurchase program of up to $150.0 million of our outstanding Class A common stock (the “Repurchase Program”). Repurchases are made on the open market, including via pre-set trading plans, in accordance with applicable securities laws. The Repurchase Program is funded using our working capital and was initially authorized through June 2025. The Repurchase Program does not obligate us to acquire any particular amount of Class A common stock, and the Repurchase Program may be suspended or discontinued at any time at our discretion. During the three and six months ended July 31, 2026, we repurchased </w:t>
      </w:r>
      <w:r>
        <w:rPr>
          <w:rFonts w:ascii="Times New Roman;serif" w:hAnsi="Times New Roman;serif"/>
          <w:b w:val="false"/>
          <w:color w:val="000000"/>
          <w:sz w:val="20"/>
          <w:shd w:fill="FFFFFF" w:val="clear"/>
        </w:rPr>
        <w:t>7.4 million</w:t>
      </w:r>
      <w:r>
        <w:rPr>
          <w:color w:val="000000"/>
        </w:rPr>
        <w:t xml:space="preserve"> </w:t>
      </w:r>
      <w:r>
        <w:rPr>
          <w:rFonts w:ascii="Times New Roman;serif" w:hAnsi="Times New Roman;serif"/>
          <w:b w:val="false"/>
          <w:color w:val="000000"/>
          <w:sz w:val="20"/>
        </w:rPr>
        <w:t xml:space="preserve">and 14.8 million shares of our outstanding Class A common stock for an aggregate purchase price of </w:t>
      </w:r>
      <w:r>
        <w:rPr>
          <w:rFonts w:ascii="Times New Roman;serif" w:hAnsi="Times New Roman;serif"/>
          <w:b w:val="false"/>
          <w:color w:val="000000"/>
          <w:sz w:val="20"/>
          <w:shd w:fill="FFFFFF" w:val="clear"/>
        </w:rPr>
        <w:t>$51.5 million and $96.5 million, respectively</w:t>
      </w:r>
      <w:r>
        <w:rPr>
          <w:rFonts w:ascii="Times New Roman;serif" w:hAnsi="Times New Roman;serif"/>
          <w:b w:val="false"/>
          <w:color w:val="000000"/>
          <w:sz w:val="20"/>
        </w:rPr>
        <w:t xml:space="preserve">. During the three and six months ended July 31, 2025, we repurchased </w:t>
      </w:r>
      <w:r>
        <w:rPr>
          <w:rFonts w:ascii="Times New Roman;serif" w:hAnsi="Times New Roman;serif"/>
          <w:b w:val="false"/>
          <w:color w:val="000000"/>
          <w:sz w:val="20"/>
          <w:shd w:fill="FFFFFF" w:val="clear"/>
        </w:rPr>
        <w:t xml:space="preserve">2.0 million and 3.0 million </w:t>
      </w:r>
      <w:r>
        <w:rPr>
          <w:rFonts w:ascii="Times New Roman;serif" w:hAnsi="Times New Roman;serif"/>
          <w:b w:val="false"/>
          <w:color w:val="000000"/>
          <w:sz w:val="20"/>
        </w:rPr>
        <w:t xml:space="preserve">shares of our outstanding Class A common stock for an aggregate purchase price of </w:t>
      </w:r>
      <w:r>
        <w:rPr>
          <w:rFonts w:ascii="Times New Roman;serif" w:hAnsi="Times New Roman;serif"/>
          <w:b w:val="false"/>
          <w:color w:val="000000"/>
          <w:sz w:val="20"/>
          <w:shd w:fill="FFFFFF" w:val="clear"/>
        </w:rPr>
        <w:t>$27.8 million and $43.4 million, respectively.</w:t>
      </w:r>
      <w:r>
        <w:rPr>
          <w:color w:val="000000"/>
        </w:rPr>
        <w:t xml:space="preserve"> </w:t>
      </w:r>
      <w:r>
        <w:rPr>
          <w:rFonts w:ascii="Times New Roman;serif" w:hAnsi="Times New Roman;serif"/>
          <w:b w:val="false"/>
          <w:color w:val="000000"/>
          <w:sz w:val="20"/>
        </w:rPr>
        <w:t xml:space="preserve">All shares of Class A common stock repurchased were retired. The Repurchase Program was later amended on May 30, 2025 to remove the original expiration date and authorize the repurchase of an additional $100.0 million of Class A common stock. The Repurchase Program was later amended on February 27, 2026 to authorize the repurchase of an additional $160.0 million of Class A common stock. As of July 31, 2026, </w:t>
      </w:r>
      <w:r>
        <w:rPr>
          <w:rFonts w:ascii="Times New Roman;serif" w:hAnsi="Times New Roman;serif"/>
          <w:b w:val="false"/>
          <w:color w:val="000000"/>
          <w:sz w:val="20"/>
          <w:shd w:fill="FFFFFF" w:val="clear"/>
        </w:rPr>
        <w:t>$102.9 million</w:t>
      </w:r>
      <w:r>
        <w:rPr>
          <w:color w:val="000000"/>
        </w:rPr>
        <w:t xml:space="preserve"> </w:t>
      </w:r>
      <w:r>
        <w:rPr>
          <w:rFonts w:ascii="Times New Roman;serif" w:hAnsi="Times New Roman;serif"/>
          <w:b w:val="false"/>
          <w:color w:val="000000"/>
          <w:sz w:val="20"/>
        </w:rPr>
        <w:t>remained available for future stock repurchases under the Repurchase Program. The Repurchase Program, as amended, has no specified expiration date and will continue until the funds committed to the Repurchase Program are exhausted or such authorization is revoked by our board of directors. See</w:t>
      </w:r>
      <w:r>
        <w:rPr>
          <w:color w:val="000000"/>
        </w:rPr>
        <w:t xml:space="preserve"> </w:t>
      </w:r>
      <w:r>
        <w:rPr>
          <w:rFonts w:ascii="Times New Roman;serif" w:hAnsi="Times New Roman;serif"/>
          <w:b w:val="false"/>
          <w:i/>
          <w:color w:val="000000"/>
          <w:sz w:val="20"/>
        </w:rPr>
        <w:t>Note 12. Stockholders’ Equity</w:t>
      </w:r>
      <w:r>
        <w:rPr>
          <w:color w:val="000000"/>
        </w:rPr>
        <w:t xml:space="preserve"> </w:t>
      </w:r>
      <w:r>
        <w:rPr>
          <w:rFonts w:ascii="Times New Roman;serif" w:hAnsi="Times New Roman;serif"/>
          <w:b w:val="false"/>
          <w:color w:val="000000"/>
          <w:sz w:val="20"/>
        </w:rPr>
        <w:t xml:space="preserve">to our unaudited condensed consolidated financial statements included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Quarterly Report on Form 10-Q for more information regarding stock repurchases.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substantial source of our cash provided by operating activities is our customer billings for subscription to our platform. Deferred revenue consists of the unearned portion of billed fees for our subscriptions, which is included on our condensed consolidated balance sheets as a liability and is recorded as revenues over the term of the subscription agreement. As of July 31, 2026, we had $350.7 million of deferred revenue, of which $350.3 million was recorded as a current liability. This deferred revenue will be recognized as revenues when all of the revenue recognition criteria are met.</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We assess our liquidity primarily through our cash on hand as well as the projected timing of billings under contract with our paying customers and related collection cycles. We believe our current cash, cash equivalents, and marketable securities, when considering the expiration of our November 2022 Senior Secured Credit Facility, will be sufficient to meet our working capital and capital expenditure requirements for at least the next 12 months. Our future capital requirements will depend on many factors, including our revenue growth rate, subscription renewal activity, billing frequency, our dollar-based-net-retention rate, the timing and extent of spending to support our research and development efforts, particularly for the introduction of new and enhanced products and features, including the integration of AI in our products, the performance of sales and marketing activities, costs associated with international expansion, additional capital expenditures to invest in existing and new office spaces, as well as increased general and administrative expenses to support being a publicly traded company. We may, in the future, enter into arrangements to acquire or invest in complementary businesses, services, and technologies, including intellectual property rights. We may seek to raise additional funds at any time through equity, equity-linked arrangements, and debt. If we are unable to raise additional capital when desired and at reasonable rates, our business, results of operations, and financial condition would be adversely affected. Additionally, cash from operations could also be affected by various risks and uncertainties in connection with the impact of an economic downturn or recession, significant market volatility in the global economy, timing and ability to collect payments from our customers and other risks detailed in </w:t>
      </w:r>
      <w:r>
        <w:rPr>
          <w:rFonts w:ascii="Times New Roman;serif" w:hAnsi="Times New Roman;serif"/>
          <w:b w:val="false"/>
          <w:i/>
          <w:color w:val="000000"/>
          <w:sz w:val="20"/>
        </w:rPr>
        <w:t>Part II—Other Information, Item 1A. Risk Factors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presented:</w:t>
      </w:r>
    </w:p>
    <w:tbl>
      <w:tblPr>
        <w:tblW w:w="6654" w:type="dxa"/>
        <w:jc w:val="left"/>
        <w:tblInd w:w="0" w:type="dxa"/>
        <w:tblLayout w:type="fixed"/>
        <w:tblCellMar>
          <w:top w:w="28" w:type="dxa"/>
          <w:left w:w="28" w:type="dxa"/>
          <w:bottom w:w="28" w:type="dxa"/>
          <w:right w:w="28" w:type="dxa"/>
        </w:tblCellMar>
      </w:tblPr>
      <w:tblGrid>
        <w:gridCol w:w="1520"/>
        <w:gridCol w:w="1338"/>
        <w:gridCol w:w="1342"/>
        <w:gridCol w:w="211"/>
        <w:gridCol w:w="721"/>
        <w:gridCol w:w="109"/>
        <w:gridCol w:w="109"/>
        <w:gridCol w:w="109"/>
        <w:gridCol w:w="109"/>
        <w:gridCol w:w="211"/>
        <w:gridCol w:w="72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largest source of operating cash is cash collection from sales of subscriptions to our paying customers. Our primary uses of cash from operating activities are for personnel-related expenses, marketing expenses, and third-party hosting-related and software expenses. Prior to fiscal 2025, we generated negative cash flows from operating activities and supplemented working capital requirements through net proceeds from the sale of equity and equity-linked securities.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$86.3 million for the six months ended July 31, 2026 reflects our net loss of $53.6 million, adjusted by non-cash items such as stock-based compensation expense of $92.6 million, amortization of deferred contract acquisition costs of $13.9 million, depreciation and amortization of $12.7 million, non-cash lease expense of $9.9 million, and provision for expected credit losses of $1.3 million, partially offset by net accretion of discount on marketable securities of $0.4 million, and net cash inflows of $9.7 million from changes in our operating assets and liabilities. The net cash inflows from changes in operating assets and liabilities, net of effects of business combinations primarily consisted of a $30.9 million decrease in accounts receivable and a $15.8 million increase in deferred revenue resulting from increased billings for subscriptions. These amounts were partially offset by a $17.1 million increase in prepaid expenses and other current assets related to an increase in deferred contract acquisition costs, a $12.5 million decrease in operating lease liabilities, a $3.5 million decrease in accounts payable, a $2.4 million decrease in accrued expenses and other liabilities, and a $1.5 million increase in other assets.</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provided by operating activities</w:t>
      </w:r>
      <w:r>
        <w:rPr>
          <w:color w:val="000000"/>
          <w:shd w:fill="FFFFFF" w:val="clear"/>
        </w:rPr>
        <w:t xml:space="preserve"> </w:t>
      </w:r>
      <w:r>
        <w:rPr>
          <w:rFonts w:ascii="Times New Roman;serif" w:hAnsi="Times New Roman;serif"/>
          <w:b w:val="false"/>
          <w:color w:val="000000"/>
          <w:sz w:val="20"/>
          <w:shd w:fill="FFFFFF" w:val="clear"/>
        </w:rPr>
        <w:t xml:space="preserve">of $46.6 million for the </w:t>
      </w:r>
      <w:r>
        <w:rPr>
          <w:rFonts w:ascii="Times New Roman;serif" w:hAnsi="Times New Roman;serif"/>
          <w:b w:val="false"/>
          <w:color w:val="000000"/>
          <w:sz w:val="20"/>
        </w:rPr>
        <w:t>six months ended July 31, 2025</w:t>
      </w:r>
      <w:r>
        <w:rPr>
          <w:color w:val="000000"/>
          <w:shd w:fill="FFFFFF" w:val="clear"/>
        </w:rPr>
        <w:t xml:space="preserve"> </w:t>
      </w:r>
      <w:r>
        <w:rPr>
          <w:rFonts w:ascii="Times New Roman;serif" w:hAnsi="Times New Roman;serif"/>
          <w:b w:val="false"/>
          <w:color w:val="000000"/>
          <w:sz w:val="20"/>
          <w:shd w:fill="FFFFFF" w:val="clear"/>
        </w:rPr>
        <w:t xml:space="preserve">reflects our </w:t>
      </w:r>
      <w:r>
        <w:rPr>
          <w:rFonts w:ascii="Times New Roman;serif" w:hAnsi="Times New Roman;serif"/>
          <w:b w:val="false"/>
          <w:color w:val="000000"/>
          <w:sz w:val="20"/>
        </w:rPr>
        <w:t>net loss</w:t>
      </w:r>
      <w:r>
        <w:rPr>
          <w:color w:val="000000"/>
          <w:shd w:fill="FFFFFF" w:val="clear"/>
        </w:rPr>
        <w:t xml:space="preserve"> </w:t>
      </w:r>
      <w:r>
        <w:rPr>
          <w:rFonts w:ascii="Times New Roman;serif" w:hAnsi="Times New Roman;serif"/>
          <w:b w:val="false"/>
          <w:color w:val="000000"/>
          <w:sz w:val="20"/>
          <w:shd w:fill="FFFFFF" w:val="clear"/>
        </w:rPr>
        <w:t xml:space="preserve">of $88.4 million, adjusted by non-cash items such as </w:t>
      </w:r>
      <w:r>
        <w:rPr>
          <w:rFonts w:ascii="Times New Roman;serif" w:hAnsi="Times New Roman;serif"/>
          <w:b w:val="false"/>
          <w:color w:val="000000"/>
          <w:sz w:val="20"/>
        </w:rPr>
        <w:t>stock-based compensation expense</w:t>
      </w:r>
      <w:r>
        <w:rPr>
          <w:color w:val="000000"/>
          <w:shd w:fill="FFFFFF" w:val="clear"/>
        </w:rPr>
        <w:t xml:space="preserve"> </w:t>
      </w:r>
      <w:r>
        <w:rPr>
          <w:rFonts w:ascii="Times New Roman;serif" w:hAnsi="Times New Roman;serif"/>
          <w:b w:val="false"/>
          <w:color w:val="000000"/>
          <w:sz w:val="20"/>
          <w:shd w:fill="FFFFFF" w:val="clear"/>
        </w:rPr>
        <w:t xml:space="preserve">of $110.3 million, </w:t>
      </w:r>
      <w:r>
        <w:rPr>
          <w:rFonts w:ascii="Times New Roman;serif" w:hAnsi="Times New Roman;serif"/>
          <w:b w:val="false"/>
          <w:color w:val="000000"/>
          <w:sz w:val="20"/>
        </w:rPr>
        <w:t>amortization of deferred contract acquisition costs</w:t>
      </w:r>
      <w:r>
        <w:rPr>
          <w:color w:val="000000"/>
          <w:shd w:fill="FFFFFF" w:val="clear"/>
        </w:rPr>
        <w:t xml:space="preserve"> </w:t>
      </w:r>
      <w:r>
        <w:rPr>
          <w:rFonts w:ascii="Times New Roman;serif" w:hAnsi="Times New Roman;serif"/>
          <w:b w:val="false"/>
          <w:color w:val="000000"/>
          <w:sz w:val="20"/>
          <w:shd w:fill="FFFFFF" w:val="clear"/>
        </w:rPr>
        <w:t xml:space="preserve">of $13.8 million, </w:t>
      </w:r>
      <w:r>
        <w:rPr>
          <w:rFonts w:ascii="Times New Roman;serif" w:hAnsi="Times New Roman;serif"/>
          <w:b w:val="false"/>
          <w:color w:val="000000"/>
          <w:sz w:val="20"/>
        </w:rPr>
        <w:t>depreciation and amortization of $10.1 million, non-cash lease expense</w:t>
      </w:r>
      <w:r>
        <w:rPr>
          <w:color w:val="000000"/>
          <w:shd w:fill="FFFFFF" w:val="clear"/>
        </w:rPr>
        <w:t xml:space="preserve"> </w:t>
      </w:r>
      <w:r>
        <w:rPr>
          <w:rFonts w:ascii="Times New Roman;serif" w:hAnsi="Times New Roman;serif"/>
          <w:b w:val="false"/>
          <w:color w:val="000000"/>
          <w:sz w:val="20"/>
          <w:shd w:fill="FFFFFF" w:val="clear"/>
        </w:rPr>
        <w:t xml:space="preserve">of $9.1 million, and </w:t>
      </w:r>
      <w:r>
        <w:rPr>
          <w:rFonts w:ascii="Times New Roman;serif" w:hAnsi="Times New Roman;serif"/>
          <w:b w:val="false"/>
          <w:color w:val="000000"/>
          <w:sz w:val="20"/>
        </w:rPr>
        <w:t xml:space="preserve">provision for expected credit losses of $1.2 million, partially offset by net accretion of discount on marketable securities of $1.3 million, and </w:t>
      </w:r>
      <w:r>
        <w:rPr>
          <w:rFonts w:ascii="Times New Roman;serif" w:hAnsi="Times New Roman;serif"/>
          <w:b w:val="false"/>
          <w:color w:val="000000"/>
          <w:sz w:val="20"/>
          <w:shd w:fill="FFFFFF" w:val="clear"/>
        </w:rPr>
        <w:t xml:space="preserve">net cash </w:t>
      </w:r>
      <w:r>
        <w:rPr>
          <w:rFonts w:ascii="Times New Roman;serif" w:hAnsi="Times New Roman;serif"/>
          <w:b w:val="false"/>
          <w:color w:val="000000"/>
          <w:sz w:val="20"/>
        </w:rPr>
        <w:t>outflows</w:t>
      </w:r>
      <w:r>
        <w:rPr>
          <w:color w:val="000000"/>
          <w:shd w:fill="FFFFFF" w:val="clear"/>
        </w:rPr>
        <w:t xml:space="preserve"> </w:t>
      </w:r>
      <w:r>
        <w:rPr>
          <w:rFonts w:ascii="Times New Roman;serif" w:hAnsi="Times New Roman;serif"/>
          <w:b w:val="false"/>
          <w:color w:val="000000"/>
          <w:sz w:val="20"/>
          <w:shd w:fill="FFFFFF" w:val="clear"/>
        </w:rPr>
        <w:t xml:space="preserve">of $8.3 million from changes in our operating assets and liabilities. The net cash </w:t>
      </w:r>
      <w:r>
        <w:rPr>
          <w:rFonts w:ascii="Times New Roman;serif" w:hAnsi="Times New Roman;serif"/>
          <w:b w:val="false"/>
          <w:color w:val="000000"/>
          <w:sz w:val="20"/>
        </w:rPr>
        <w:t>outflows</w:t>
      </w:r>
      <w:r>
        <w:rPr>
          <w:color w:val="000000"/>
          <w:shd w:fill="FFFFFF" w:val="clear"/>
        </w:rPr>
        <w:t xml:space="preserve"> </w:t>
      </w:r>
      <w:r>
        <w:rPr>
          <w:rFonts w:ascii="Times New Roman;serif" w:hAnsi="Times New Roman;serif"/>
          <w:b w:val="false"/>
          <w:color w:val="000000"/>
          <w:sz w:val="20"/>
          <w:shd w:fill="FFFFFF" w:val="clear"/>
        </w:rPr>
        <w:t xml:space="preserve">from changes in operating assets and liabilities primarily consisted of </w:t>
      </w:r>
      <w:r>
        <w:rPr>
          <w:rFonts w:ascii="Times New Roman;serif" w:hAnsi="Times New Roman;serif"/>
          <w:b w:val="false"/>
          <w:color w:val="000000"/>
          <w:sz w:val="20"/>
        </w:rPr>
        <w:t>a</w:t>
      </w:r>
      <w:r>
        <w:rPr>
          <w:color w:val="000000"/>
          <w:shd w:fill="FFFFFF" w:val="clear"/>
        </w:rPr>
        <w:t xml:space="preserve"> </w:t>
      </w:r>
      <w:r>
        <w:rPr>
          <w:rFonts w:ascii="Times New Roman;serif" w:hAnsi="Times New Roman;serif"/>
          <w:b w:val="false"/>
          <w:color w:val="000000"/>
          <w:sz w:val="20"/>
          <w:shd w:fill="FFFFFF" w:val="clear"/>
        </w:rPr>
        <w:t xml:space="preserve">$20.2 million </w:t>
      </w:r>
      <w:r>
        <w:rPr>
          <w:rFonts w:ascii="Times New Roman;serif" w:hAnsi="Times New Roman;serif"/>
          <w:b w:val="false"/>
          <w:color w:val="000000"/>
          <w:sz w:val="20"/>
        </w:rPr>
        <w:t xml:space="preserve">increase in prepaid expenses and other current assets related to an increase in deferred contract acquisition costs, a </w:t>
      </w:r>
      <w:r>
        <w:rPr>
          <w:rFonts w:ascii="Times New Roman;serif" w:hAnsi="Times New Roman;serif"/>
          <w:b w:val="false"/>
          <w:color w:val="000000"/>
          <w:sz w:val="20"/>
          <w:shd w:fill="FFFFFF" w:val="clear"/>
        </w:rPr>
        <w:t xml:space="preserve">$12.2 million </w:t>
      </w:r>
      <w:r>
        <w:rPr>
          <w:rFonts w:ascii="Times New Roman;serif" w:hAnsi="Times New Roman;serif"/>
          <w:b w:val="false"/>
          <w:color w:val="000000"/>
          <w:sz w:val="20"/>
        </w:rPr>
        <w:t xml:space="preserve">decrease in accrued expenses and other liabilities primarily from accrued advertising expenses and accrued payroll liability, and a </w:t>
      </w:r>
      <w:r>
        <w:rPr>
          <w:rFonts w:ascii="Times New Roman;serif" w:hAnsi="Times New Roman;serif"/>
          <w:b w:val="false"/>
          <w:color w:val="000000"/>
          <w:sz w:val="20"/>
          <w:shd w:fill="FFFFFF" w:val="clear"/>
        </w:rPr>
        <w:t xml:space="preserve">$11.1 million </w:t>
      </w:r>
      <w:r>
        <w:rPr>
          <w:rFonts w:ascii="Times New Roman;serif" w:hAnsi="Times New Roman;serif"/>
          <w:b w:val="false"/>
          <w:color w:val="000000"/>
          <w:sz w:val="20"/>
        </w:rPr>
        <w:t xml:space="preserve">decrease in operating lease liabilities. These amounts were partially offset by a </w:t>
      </w:r>
      <w:r>
        <w:rPr>
          <w:rFonts w:ascii="Times New Roman;serif" w:hAnsi="Times New Roman;serif"/>
          <w:b w:val="false"/>
          <w:color w:val="000000"/>
          <w:sz w:val="20"/>
          <w:shd w:fill="FFFFFF" w:val="clear"/>
        </w:rPr>
        <w:t xml:space="preserve">$17.8 million </w:t>
      </w:r>
      <w:r>
        <w:rPr>
          <w:rFonts w:ascii="Times New Roman;serif" w:hAnsi="Times New Roman;serif"/>
          <w:b w:val="false"/>
          <w:color w:val="000000"/>
          <w:sz w:val="20"/>
        </w:rPr>
        <w:t xml:space="preserve">decrease in accounts receivable, a </w:t>
      </w:r>
      <w:r>
        <w:rPr>
          <w:rFonts w:ascii="Times New Roman;serif" w:hAnsi="Times New Roman;serif"/>
          <w:b w:val="false"/>
          <w:color w:val="000000"/>
          <w:sz w:val="20"/>
          <w:shd w:fill="FFFFFF" w:val="clear"/>
        </w:rPr>
        <w:t xml:space="preserve">$10.8 million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 xml:space="preserve">deferred revenue resulting from increased billings for subscriptions, a </w:t>
      </w:r>
      <w:r>
        <w:rPr>
          <w:rFonts w:ascii="Times New Roman;serif" w:hAnsi="Times New Roman;serif"/>
          <w:b w:val="false"/>
          <w:color w:val="000000"/>
          <w:sz w:val="20"/>
          <w:shd w:fill="FFFFFF" w:val="clear"/>
        </w:rPr>
        <w:t>$6.3 million</w:t>
      </w:r>
      <w:r>
        <w:rPr>
          <w:color w:val="000000"/>
        </w:rPr>
        <w:t xml:space="preserve"> </w:t>
      </w:r>
      <w:r>
        <w:rPr>
          <w:rFonts w:ascii="Times New Roman;serif" w:hAnsi="Times New Roman;serif"/>
          <w:b w:val="false"/>
          <w:color w:val="000000"/>
          <w:sz w:val="20"/>
        </w:rPr>
        <w:t xml:space="preserve">increase in accounts payable, and a </w:t>
      </w:r>
      <w:r>
        <w:rPr>
          <w:rFonts w:ascii="Times New Roman;serif" w:hAnsi="Times New Roman;serif"/>
          <w:b w:val="false"/>
          <w:color w:val="000000"/>
          <w:sz w:val="20"/>
          <w:shd w:fill="FFFFFF" w:val="clear"/>
        </w:rPr>
        <w:t xml:space="preserve">$0.3 million </w:t>
      </w:r>
      <w:r>
        <w:rPr>
          <w:rFonts w:ascii="Times New Roman;serif" w:hAnsi="Times New Roman;serif"/>
          <w:b w:val="false"/>
          <w:color w:val="000000"/>
          <w:sz w:val="20"/>
        </w:rPr>
        <w:t>decrease in other assets.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Net cash provided by investing activities of $29.3 million for the six months ended July 31, 2026 consisted of $133.6 million in sales of marketable securities and </w:t>
      </w:r>
      <w:r>
        <w:rPr>
          <w:rFonts w:ascii="Times New Roman;serif" w:hAnsi="Times New Roman;serif"/>
          <w:b w:val="false"/>
          <w:color w:val="000000"/>
          <w:sz w:val="20"/>
          <w:shd w:fill="FFFFFF" w:val="clear"/>
        </w:rPr>
        <w:t xml:space="preserve">$61.0 million in </w:t>
      </w:r>
      <w:r>
        <w:rPr>
          <w:rFonts w:ascii="Times New Roman;serif" w:hAnsi="Times New Roman;serif"/>
          <w:b w:val="false"/>
          <w:color w:val="000000"/>
          <w:sz w:val="20"/>
        </w:rPr>
        <w:t>maturities of marketable securities. This was partially offset by $81.8 million in purchases of marketable securities, $71.6 million in cash paid for acquisition, net of acquired cash, $7.6 million in capitalized internal-use software costs, and $4.3 million in purchases of property and equipment.</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used in investing activities</w:t>
      </w:r>
      <w:r>
        <w:rPr>
          <w:color w:val="000000"/>
          <w:shd w:fill="FFFFFF" w:val="clear"/>
        </w:rPr>
        <w:t xml:space="preserve"> </w:t>
      </w:r>
      <w:r>
        <w:rPr>
          <w:rFonts w:ascii="Times New Roman;serif" w:hAnsi="Times New Roman;serif"/>
          <w:b w:val="false"/>
          <w:color w:val="000000"/>
          <w:sz w:val="20"/>
          <w:shd w:fill="FFFFFF" w:val="clear"/>
        </w:rPr>
        <w:t xml:space="preserve">of $14.7 million for the </w:t>
      </w:r>
      <w:r>
        <w:rPr>
          <w:rFonts w:ascii="Times New Roman;serif" w:hAnsi="Times New Roman;serif"/>
          <w:b w:val="false"/>
          <w:color w:val="000000"/>
          <w:sz w:val="20"/>
        </w:rPr>
        <w:t>six months ended July 31, 2025</w:t>
      </w:r>
      <w:r>
        <w:rPr>
          <w:color w:val="000000"/>
          <w:shd w:fill="FFFFFF" w:val="clear"/>
        </w:rPr>
        <w:t xml:space="preserve"> </w:t>
      </w:r>
      <w:r>
        <w:rPr>
          <w:rFonts w:ascii="Times New Roman;serif" w:hAnsi="Times New Roman;serif"/>
          <w:b w:val="false"/>
          <w:color w:val="000000"/>
          <w:sz w:val="20"/>
          <w:shd w:fill="FFFFFF" w:val="clear"/>
        </w:rPr>
        <w:t xml:space="preserve">consisted of $104.1 million in </w:t>
      </w:r>
      <w:r>
        <w:rPr>
          <w:rFonts w:ascii="Times New Roman;serif" w:hAnsi="Times New Roman;serif"/>
          <w:b w:val="false"/>
          <w:color w:val="000000"/>
          <w:sz w:val="20"/>
        </w:rPr>
        <w:t xml:space="preserve">purchases of marketable securities, </w:t>
      </w:r>
      <w:r>
        <w:rPr>
          <w:rFonts w:ascii="Times New Roman;serif" w:hAnsi="Times New Roman;serif"/>
          <w:b w:val="false"/>
          <w:color w:val="000000"/>
          <w:sz w:val="20"/>
          <w:shd w:fill="FFFFFF" w:val="clear"/>
        </w:rPr>
        <w:t xml:space="preserve">$5.3 million in </w:t>
      </w:r>
      <w:r>
        <w:rPr>
          <w:rFonts w:ascii="Times New Roman;serif" w:hAnsi="Times New Roman;serif"/>
          <w:b w:val="false"/>
          <w:color w:val="000000"/>
          <w:sz w:val="20"/>
        </w:rPr>
        <w:t xml:space="preserve">capitalized internal-use software costs, and </w:t>
      </w:r>
      <w:r>
        <w:rPr>
          <w:rFonts w:ascii="Times New Roman;serif" w:hAnsi="Times New Roman;serif"/>
          <w:b w:val="false"/>
          <w:color w:val="000000"/>
          <w:sz w:val="20"/>
          <w:shd w:fill="FFFFFF" w:val="clear"/>
        </w:rPr>
        <w:t xml:space="preserve">$1.9 million in </w:t>
      </w:r>
      <w:r>
        <w:rPr>
          <w:rFonts w:ascii="Times New Roman;serif" w:hAnsi="Times New Roman;serif"/>
          <w:b w:val="false"/>
          <w:color w:val="000000"/>
          <w:sz w:val="20"/>
        </w:rPr>
        <w:t xml:space="preserve">purchases of property and equipment. This was partially offset by </w:t>
      </w:r>
      <w:r>
        <w:rPr>
          <w:rFonts w:ascii="Times New Roman;serif" w:hAnsi="Times New Roman;serif"/>
          <w:b w:val="false"/>
          <w:color w:val="000000"/>
          <w:sz w:val="20"/>
          <w:shd w:fill="FFFFFF" w:val="clear"/>
        </w:rPr>
        <w:t>$96.6 million</w:t>
      </w:r>
      <w:r>
        <w:rPr>
          <w:color w:val="000000"/>
        </w:rPr>
        <w:t xml:space="preserve"> </w:t>
      </w:r>
      <w:r>
        <w:rPr>
          <w:rFonts w:ascii="Times New Roman;serif" w:hAnsi="Times New Roman;serif"/>
          <w:b w:val="false"/>
          <w:color w:val="000000"/>
          <w:sz w:val="20"/>
        </w:rPr>
        <w:t>in maturities of marketable securities</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Financing Activities</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used in financing activities</w:t>
      </w:r>
      <w:r>
        <w:rPr>
          <w:color w:val="000000"/>
          <w:shd w:fill="FFFFFF" w:val="clear"/>
        </w:rPr>
        <w:t xml:space="preserve"> </w:t>
      </w:r>
      <w:r>
        <w:rPr>
          <w:rFonts w:ascii="Times New Roman;serif" w:hAnsi="Times New Roman;serif"/>
          <w:b w:val="false"/>
          <w:color w:val="000000"/>
          <w:sz w:val="20"/>
          <w:shd w:fill="FFFFFF" w:val="clear"/>
        </w:rPr>
        <w:t xml:space="preserve">of $94.1 million for the </w:t>
      </w:r>
      <w:r>
        <w:rPr>
          <w:rFonts w:ascii="Times New Roman;serif" w:hAnsi="Times New Roman;serif"/>
          <w:b w:val="false"/>
          <w:color w:val="000000"/>
          <w:sz w:val="20"/>
        </w:rPr>
        <w:t>six months ended July 31, 2026</w:t>
      </w:r>
      <w:r>
        <w:rPr>
          <w:color w:val="000000"/>
          <w:shd w:fill="FFFFFF" w:val="clear"/>
        </w:rPr>
        <w:t xml:space="preserve"> </w:t>
      </w:r>
      <w:r>
        <w:rPr>
          <w:rFonts w:ascii="Times New Roman;serif" w:hAnsi="Times New Roman;serif"/>
          <w:b w:val="false"/>
          <w:color w:val="000000"/>
          <w:sz w:val="20"/>
          <w:shd w:fill="FFFFFF" w:val="clear"/>
        </w:rPr>
        <w:t xml:space="preserve">consisted of $96.5 million in </w:t>
      </w:r>
      <w:r>
        <w:rPr>
          <w:rFonts w:ascii="Times New Roman;serif" w:hAnsi="Times New Roman;serif"/>
          <w:b w:val="false"/>
          <w:color w:val="000000"/>
          <w:sz w:val="20"/>
        </w:rPr>
        <w:t xml:space="preserve">repurchases of Class A common stock and </w:t>
      </w:r>
      <w:r>
        <w:rPr>
          <w:rFonts w:ascii="Times New Roman;serif" w:hAnsi="Times New Roman;serif"/>
          <w:b w:val="false"/>
          <w:color w:val="000000"/>
          <w:sz w:val="20"/>
          <w:shd w:fill="FFFFFF" w:val="clear"/>
        </w:rPr>
        <w:t xml:space="preserve">$3.8 million in </w:t>
      </w:r>
      <w:r>
        <w:rPr>
          <w:rFonts w:ascii="Times New Roman;serif" w:hAnsi="Times New Roman;serif"/>
          <w:b w:val="false"/>
          <w:color w:val="000000"/>
          <w:sz w:val="20"/>
        </w:rPr>
        <w:t>repayment of term loan</w:t>
      </w:r>
      <w:r>
        <w:rPr>
          <w:rFonts w:ascii="Times New Roman;serif" w:hAnsi="Times New Roman;serif"/>
          <w:b w:val="false"/>
          <w:color w:val="000000"/>
          <w:sz w:val="20"/>
          <w:shd w:fill="FFFFFF" w:val="clear"/>
        </w:rPr>
        <w:t xml:space="preserve">. This was partially offset by $4.9 million in </w:t>
      </w:r>
      <w:r>
        <w:rPr>
          <w:rFonts w:ascii="Times New Roman;serif" w:hAnsi="Times New Roman;serif"/>
          <w:b w:val="false"/>
          <w:color w:val="000000"/>
          <w:sz w:val="20"/>
        </w:rPr>
        <w:t xml:space="preserve">proceeds from our employee stock purchase plan and </w:t>
      </w:r>
      <w:r>
        <w:rPr>
          <w:rFonts w:ascii="Times New Roman;serif" w:hAnsi="Times New Roman;serif"/>
          <w:b w:val="false"/>
          <w:color w:val="000000"/>
          <w:sz w:val="20"/>
          <w:shd w:fill="FFFFFF" w:val="clear"/>
        </w:rPr>
        <w:t xml:space="preserve">$1.3 million in </w:t>
      </w:r>
      <w:r>
        <w:rPr>
          <w:rFonts w:ascii="Times New Roman;serif" w:hAnsi="Times New Roman;serif"/>
          <w:b w:val="false"/>
          <w:color w:val="000000"/>
          <w:sz w:val="20"/>
        </w:rPr>
        <w:t>proceeds from the exercise of stock options.</w:t>
      </w:r>
    </w:p>
    <w:p>
      <w:pPr>
        <w:pStyle w:val="TextBody"/>
        <w:bidi w:val="0"/>
        <w:spacing w:lineRule="auto" w:line="288" w:before="0" w:after="180"/>
        <w:ind w:left="0" w:right="0" w:firstLine="360"/>
        <w:jc w:val="both"/>
        <w:rPr/>
      </w:pPr>
      <w:r>
        <w:rPr>
          <w:rFonts w:ascii="Times New Roman;serif" w:hAnsi="Times New Roman;serif"/>
          <w:b w:val="false"/>
          <w:color w:val="000000"/>
          <w:sz w:val="20"/>
        </w:rPr>
        <w:t>Net cash used in financing activities</w:t>
      </w:r>
      <w:r>
        <w:rPr>
          <w:color w:val="000000"/>
          <w:shd w:fill="FFFFFF" w:val="clear"/>
        </w:rPr>
        <w:t xml:space="preserve"> </w:t>
      </w:r>
      <w:r>
        <w:rPr>
          <w:rFonts w:ascii="Times New Roman;serif" w:hAnsi="Times New Roman;serif"/>
          <w:b w:val="false"/>
          <w:color w:val="000000"/>
          <w:sz w:val="20"/>
          <w:shd w:fill="FFFFFF" w:val="clear"/>
        </w:rPr>
        <w:t xml:space="preserve">of $36.1 million for the </w:t>
      </w:r>
      <w:r>
        <w:rPr>
          <w:rFonts w:ascii="Times New Roman;serif" w:hAnsi="Times New Roman;serif"/>
          <w:b w:val="false"/>
          <w:color w:val="000000"/>
          <w:sz w:val="20"/>
        </w:rPr>
        <w:t>six months ended July 31, 2025</w:t>
      </w:r>
      <w:r>
        <w:rPr>
          <w:color w:val="000000"/>
          <w:shd w:fill="FFFFFF" w:val="clear"/>
        </w:rPr>
        <w:t xml:space="preserve"> </w:t>
      </w:r>
      <w:r>
        <w:rPr>
          <w:rFonts w:ascii="Times New Roman;serif" w:hAnsi="Times New Roman;serif"/>
          <w:b w:val="false"/>
          <w:color w:val="000000"/>
          <w:sz w:val="20"/>
          <w:shd w:fill="FFFFFF" w:val="clear"/>
        </w:rPr>
        <w:t xml:space="preserve">consisted of $43.4 million in </w:t>
      </w:r>
      <w:r>
        <w:rPr>
          <w:rFonts w:ascii="Times New Roman;serif" w:hAnsi="Times New Roman;serif"/>
          <w:b w:val="false"/>
          <w:color w:val="000000"/>
          <w:sz w:val="20"/>
        </w:rPr>
        <w:t xml:space="preserve">repurchases of Class A common stock and </w:t>
      </w:r>
      <w:r>
        <w:rPr>
          <w:rFonts w:ascii="Times New Roman;serif" w:hAnsi="Times New Roman;serif"/>
          <w:b w:val="false"/>
          <w:color w:val="000000"/>
          <w:sz w:val="20"/>
          <w:shd w:fill="FFFFFF" w:val="clear"/>
        </w:rPr>
        <w:t xml:space="preserve">$2.5 million in </w:t>
      </w:r>
      <w:r>
        <w:rPr>
          <w:rFonts w:ascii="Times New Roman;serif" w:hAnsi="Times New Roman;serif"/>
          <w:b w:val="false"/>
          <w:color w:val="000000"/>
          <w:sz w:val="20"/>
        </w:rPr>
        <w:t>repayment of term loan.</w:t>
      </w:r>
      <w:r>
        <w:rPr>
          <w:color w:val="000000"/>
          <w:shd w:fill="FFFFFF" w:val="clear"/>
        </w:rPr>
        <w:t xml:space="preserve"> </w:t>
      </w:r>
      <w:r>
        <w:rPr>
          <w:rFonts w:ascii="Times New Roman;serif" w:hAnsi="Times New Roman;serif"/>
          <w:b w:val="false"/>
          <w:color w:val="000000"/>
          <w:sz w:val="20"/>
          <w:shd w:fill="FFFFFF" w:val="clear"/>
        </w:rPr>
        <w:t xml:space="preserve">This was partially offset by $7.7 million in </w:t>
      </w:r>
      <w:r>
        <w:rPr>
          <w:rFonts w:ascii="Times New Roman;serif" w:hAnsi="Times New Roman;serif"/>
          <w:b w:val="false"/>
          <w:color w:val="000000"/>
          <w:sz w:val="20"/>
        </w:rPr>
        <w:t xml:space="preserve">proceeds from our employee stock purchase plan and </w:t>
      </w:r>
      <w:r>
        <w:rPr>
          <w:rFonts w:ascii="Times New Roman;serif" w:hAnsi="Times New Roman;serif"/>
          <w:b w:val="false"/>
          <w:color w:val="000000"/>
          <w:sz w:val="20"/>
          <w:shd w:fill="FFFFFF" w:val="clear"/>
        </w:rPr>
        <w:t xml:space="preserve">$2.1 million in </w:t>
      </w:r>
      <w:r>
        <w:rPr>
          <w:rFonts w:ascii="Times New Roman;serif" w:hAnsi="Times New Roman;serif"/>
          <w:b w:val="false"/>
          <w:color w:val="000000"/>
          <w:sz w:val="20"/>
        </w:rPr>
        <w:t>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there were no material changes in our contractual obligations and other commitments as disclosed in our Annual Report on Form 10-K filed with the SEC on March 13, 2026. </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For further information on our commitments and contingencies, refer to </w:t>
      </w:r>
      <w:r>
        <w:rPr>
          <w:rFonts w:ascii="Times New Roman;serif" w:hAnsi="Times New Roman;serif"/>
          <w:b w:val="false"/>
          <w:i/>
          <w:color w:val="000000"/>
          <w:sz w:val="20"/>
        </w:rPr>
        <w:t>Note 9. Commitments and Contingencies</w:t>
      </w:r>
      <w:r>
        <w:rPr>
          <w:color w:val="000000"/>
        </w:rPr>
        <w:t xml:space="preserve"> </w:t>
      </w:r>
      <w:r>
        <w:rPr>
          <w:rFonts w:ascii="Times New Roman;serif" w:hAnsi="Times New Roman;serif"/>
          <w:b w:val="false"/>
          <w:color w:val="000000"/>
          <w:sz w:val="20"/>
        </w:rPr>
        <w:t>in the condensed consolidated financial statements contained within this Quarterly Report on Form 10-Q.</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In November 2022, we entered into the November 2022 Senior Secured Credit Facility with SVB, as discussed in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above.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unaudited condensed consolidated financial statements are prepared in accordance with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as noted below, there have been no changes to our critical accounting policies and estimates during the six months ended July 31, 2026 as compared to those disclosed in our Management’s Discussion and Analysis of Financial Condition and Results of Operations set forth in our Annual Report on Form 10-K filed with the SEC on March 13, 2026.</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Business Combination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make significant estimates and assumptions when we determine the fair value of acquired assets and liabilities, especially with respect to acquired intangible assets. Key assumptions include, but are not limited to, projected future cash flows and useful lives. These estimates are inherently uncertain and subject to change, especially in dynamic market environments. During the measurement period of up to one year from the acquisition date, we may record adjustments to the assets acquired and liabilities assumed with a corresponding offset to goodwill based on new information obtained that relates to facts and circumstances that existed as of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pPr>
      <w:r>
        <w:rPr>
          <w:rFonts w:ascii="Times New Roman;serif" w:hAnsi="Times New Roman;serif"/>
          <w:b w:val="false"/>
          <w:color w:val="000000"/>
          <w:sz w:val="20"/>
        </w:rPr>
        <w:t xml:space="preserve">date. We record adjustments identified subsequent to the end of the measurement period, if any, in our condensed consolidated statement of operations. Refer to </w:t>
      </w:r>
      <w:r>
        <w:rPr>
          <w:rFonts w:ascii="Times New Roman;serif" w:hAnsi="Times New Roman;serif"/>
          <w:b w:val="false"/>
          <w:i/>
          <w:color w:val="000000"/>
          <w:sz w:val="20"/>
        </w:rPr>
        <w:t xml:space="preserve">Note 5. Business Combination </w:t>
      </w:r>
      <w:r>
        <w:rPr>
          <w:rFonts w:ascii="Times New Roman;serif" w:hAnsi="Times New Roman;serif"/>
          <w:b w:val="false"/>
          <w:color w:val="000000"/>
          <w:sz w:val="20"/>
        </w:rPr>
        <w:t>for further information.</w:t>
      </w:r>
    </w:p>
    <w:p>
      <w:pPr>
        <w:pStyle w:val="TextBody"/>
        <w:bidi w:val="0"/>
        <w:spacing w:lineRule="auto" w:line="288" w:before="0" w:after="180"/>
        <w:ind w:left="0" w:right="0" w:firstLine="360"/>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both"/>
        <w:rPr/>
      </w:pPr>
      <w:r>
        <w:rPr>
          <w:rFonts w:ascii="Times New Roman;serif" w:hAnsi="Times New Roman;serif"/>
          <w:b w:val="false"/>
          <w:color w:val="000000"/>
          <w:sz w:val="20"/>
        </w:rPr>
        <w:t>Accounting for stock-based compensation expense related to equity awards requires the use of significant estimates and assumptions, most notably for Performance-Based Awards. Refer to</w:t>
      </w:r>
      <w:r>
        <w:rPr>
          <w:color w:val="000000"/>
        </w:rPr>
        <w:t xml:space="preserve"> </w:t>
      </w:r>
      <w:r>
        <w:rPr>
          <w:rFonts w:ascii="Times New Roman;serif" w:hAnsi="Times New Roman;serif"/>
          <w:b w:val="false"/>
          <w:i/>
          <w:color w:val="000000"/>
          <w:sz w:val="20"/>
        </w:rPr>
        <w:t>Note 12. Stockholders’ Equity</w:t>
      </w:r>
      <w:r>
        <w:rPr>
          <w:color w:val="000000"/>
        </w:rPr>
        <w:t xml:space="preserve"> </w:t>
      </w:r>
      <w:r>
        <w:rPr>
          <w:rFonts w:ascii="Times New Roman;serif" w:hAnsi="Times New Roman;serif"/>
          <w:b w:val="false"/>
          <w:color w:val="000000"/>
          <w:sz w:val="20"/>
        </w:rPr>
        <w:t>for further discussion of the estimates and assumptions which impact the reported amount and recognition of stock-based compensation expense for Performance-Based Awards, which can contain both market conditions and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2. Basis of Presentation and Summary of Significant Accounting Policies</w:t>
      </w:r>
      <w:r>
        <w:rPr>
          <w:color w:val="000000"/>
        </w:rPr>
        <w:t xml:space="preserve"> </w:t>
      </w:r>
      <w:r>
        <w:rPr>
          <w:rFonts w:ascii="Times New Roman;serif" w:hAnsi="Times New Roman;serif"/>
          <w:b w:val="false"/>
          <w:color w:val="000000"/>
          <w:sz w:val="20"/>
        </w:rPr>
        <w:t xml:space="preserve">to our condensed consolidated financial statements included in </w:t>
      </w:r>
      <w:r>
        <w:rPr>
          <w:rFonts w:ascii="Times New Roman;serif" w:hAnsi="Times New Roman;serif"/>
          <w:b w:val="false"/>
          <w:i/>
          <w:color w:val="000000"/>
          <w:sz w:val="20"/>
        </w:rPr>
        <w:t>Part I, Item 1</w:t>
      </w:r>
      <w:r>
        <w:rPr>
          <w:color w:val="000000"/>
        </w:rPr>
        <w:t xml:space="preserve"> </w:t>
      </w:r>
      <w:r>
        <w:rPr>
          <w:rFonts w:ascii="Times New Roman;serif" w:hAnsi="Times New Roman;serif"/>
          <w:b w:val="false"/>
          <w:color w:val="000000"/>
          <w:sz w:val="20"/>
        </w:rPr>
        <w:t>of this Quarterly Report on Form 10-Q for more information regarding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Quantitative and Qualitative Disclosures About Market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in the United States and internationally, and we are exposed to certain market risks in the ordinary course of our business.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cash equivalents, restricted cash, and marketable securities primarily consist of cash on hand and highly liquid investments in money market funds, U.S. government securities, corporate bonds, U.S. agency bonds, and commercial paper. As of July 31, 2026 and January 31, 2026, we had cash and cash equivalents of $219.6 million and $199.8 million, respectively, restricted cash of $0.8 million and $0.4 million, respectively, and marketable securities of $120.3 million and $234.2 million, respectively. We do not enter into investments for trading or speculative purposes. Our investments are exposed to market risk due to fluctuations in interest rates, which may affect our interest income and the fair value of our investments. As of July 31, 2026, a hypothetical increase in interest rates for our investments by 100 basis points would not have a material impact on our condensed consolidated financial statements.</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Any borrowings under the revolving credit facility bear interest at a variable rate tied to the adjusted term SOFR, the prime rate, or the federal funds effective rate. As of July 31, 2026, we had </w:t>
      </w:r>
      <w:r>
        <w:rPr>
          <w:rFonts w:ascii="Times New Roman;serif" w:hAnsi="Times New Roman;serif"/>
          <w:b w:val="false"/>
          <w:color w:val="000000"/>
          <w:sz w:val="20"/>
          <w:shd w:fill="FFFFFF" w:val="clear"/>
        </w:rPr>
        <w:t>$36.9 million</w:t>
      </w:r>
      <w:r>
        <w:rPr>
          <w:color w:val="000000"/>
        </w:rPr>
        <w:t xml:space="preserve"> </w:t>
      </w:r>
      <w:r>
        <w:rPr>
          <w:rFonts w:ascii="Times New Roman;serif" w:hAnsi="Times New Roman;serif"/>
          <w:b w:val="false"/>
          <w:color w:val="000000"/>
          <w:sz w:val="20"/>
        </w:rPr>
        <w:t>outstanding under the credit facility. We do not have any other long-term debt or financial liabilities with floating interest rates that would subject us to interest rate fluctuations. As of July 31, 2026, a hypothetical increase of 100 basis points in interest rates for our revolving credit facility would not have a material impact on our condensed consolidated financial statements.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subscription agreements are denominated in U.S. dollars, with the remainder generated in Euros, British Pounds, Australian Dollars, Japanese Yen, Mexican Pesos, Brazilian Reais, Canadian Dollars, and South Korean Won.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Icelandic Krona, Singapore Dollar, Swiss Franc, and Polish Zloty. Our results of operations and cash flows are, therefore, subject to fluctuations in foreign currency exchange rates that are unrelated to our operating performance.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exchange rates may fluctuate significantly between periods, our non-U.S. dollar denominated revenue and operating expenses may also experience significant fluctuations between periods as we convert these to U.S. dollars. Volatile market conditions arising from the macro environment have and may in the future result in significant changes in exchange rates, and in particular a weakening of foreign currencies relative to the U.S. dollar has and may in the future negatively affect our revenue expressed in U.S. dollars. In the six months ended July 31, 2026, 29% of our sales were denominated in currencies other than U.S. dollars. Our expenses, by contrast, are primarily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pPr>
      <w:r>
        <w:rPr>
          <w:rFonts w:ascii="Times New Roman;serif" w:hAnsi="Times New Roman;serif"/>
          <w:b w:val="false"/>
          <w:color w:val="000000"/>
          <w:sz w:val="20"/>
        </w:rPr>
        <w:t xml:space="preserve">denominated in U.S. dollars. As a result, any increase in the value of the U.S. dollar against these foreign currencies could cause our revenue to decline relative to our costs, thereby decreasing our margins. We disclose the impact of realized foreign currency gains and losses within </w:t>
      </w:r>
      <w:r>
        <w:rPr>
          <w:rFonts w:ascii="Times New Roman;serif" w:hAnsi="Times New Roman;serif"/>
          <w:b w:val="false"/>
          <w:i/>
          <w:color w:val="000000"/>
          <w:sz w:val="20"/>
        </w:rPr>
        <w:t>Note 13. Interest Income and Other Income (Expense), Net.</w:t>
      </w:r>
      <w:r>
        <w:rPr>
          <w:color w:val="000000"/>
        </w:rPr>
        <w:t xml:space="preserve"> </w:t>
      </w:r>
      <w:r>
        <w:rPr>
          <w:rFonts w:ascii="Times New Roman;serif" w:hAnsi="Times New Roman;serif"/>
          <w:b w:val="false"/>
          <w:color w:val="000000"/>
          <w:sz w:val="20"/>
        </w:rPr>
        <w:t>A hypothetical 10% change in foreign currency rates would not have resulted in material gains or losses for the six months ended July 31, 2026 and 2025.</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the impact of foreign currency exchange rates are not projected to be material to our operating results, we have not entered into derivative or hedging transactions, but we may do so in the future if our exposure to foreign currency becomes more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July 31, 2026. 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concluded that, as of July 31, 2026, our disclosure controls and procedures were effective to provide reasonable assurance that information we are required to disclose in reports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identified in connection with the evaluation required by Rules 13a-15(d) and 15d-15(d) of the Exchange Act during the quarter ended July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both"/>
        <w:rPr/>
      </w:pPr>
      <w:r>
        <w:rPr>
          <w:rFonts w:ascii="Times New Roman;serif" w:hAnsi="Times New Roman;serif"/>
          <w:b w:val="false"/>
          <w:i/>
          <w:color w:val="000000"/>
          <w:sz w:val="20"/>
        </w:rPr>
        <w:t>Investing in our Class A common stock involves a high degree of risk. You should carefully consider the risks described below, together with the other information in this Quarterly Report on Form 10-Q, including our condensed consolidated financial statements and related notes and the section titled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r>
        <w:rPr>
          <w:rFonts w:ascii="Times New Roman;serif" w:hAnsi="Times New Roman;serif"/>
          <w:b w:val="false"/>
          <w:color w:val="000000"/>
          <w:sz w:val="20"/>
        </w:rPr>
        <w:t>.</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prior growth rates may not be indicative of our future growth.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prior periods and we may not be able to achieve similar revenue growth rates in the future. Further, as we continue to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attract new individuals, teams, and organizations as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grow or maintain our dollar-based net retention rate, expand usage within organizations, and sell subscriptions;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price and package our subscription plans or add-on products effectively;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convert individuals, teams, and organizations on our free and trial versions into paying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achieve widespread acceptance and use of our platform, including in markets outside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strategically expand our direct sales force and channel partner program and leverage our existing sales capacity;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expand the features and capabilities of our platform, including the successful deployment of AI features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excellent customer experience and customer support;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maintain the security, privacy, and reliability of our platform or systems that process confidential data;</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successfully compete against established companies and new market entrants, as well as existing software tools;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increase awareness of our brand on a global basis.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significant growth in prior periods and, as a result, have a relatively short history operating our business at its current scale. Furthermore, we operate in an industry that is characterized by rapid technological innovation, intense competition, changing customer needs, and frequent introductions of new products, technologies, and services. In particular, advancements in technology such as AI and machine learning are changing the way people work by automating tasks, enhancing communication, and improving decision-making processes, and businesses that are slow to adopt these new technologies may face a competitive disadvantage. We have encountered, and will continue to encounter, risks and uncertainties frequently experienced by growing companies in evolving industries. In addition, our future growth rate is subject to a number of uncertainties, such as general macroeconomic and market conditions, including fluctuating interest rates, inflation, actual or anticipated bank failures, instability in financial markets, tariffs and changes in trade agreements, and economic downturns or recessions in the regions in which we do business.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We have a history of losses, and we may not be able to achieve profitability or, if achieved, sustain profitability.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in each fiscal year since our founding. We generated net losses of $53.6 million and $88.4 million for the six months ended July 31, 2026 and 2025, respectively. As of July 31, 2026, we had an accumulated deficit of $2,299.8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to make future investments and expenditures related to the growth of our business,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strategic investment in our sales and marketing activities;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continued investments in research and development to introduce new features and enhancements to our platform, including integration of AI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hiring employees necessary to support our goals;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investments in infrastructure;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leveraging our operations across our multiple geographies;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costs associated with our general and administrative organization.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believe our long-term value as a company will be greater if we focus on growth, which may negatively impact our profitability in the near and medium term.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part of our business strategy and culture is to focus on long-term growth and customer success over short-term financial results. As a result, in the near and medium term, we may continue to operate at a loss, or our near- and medium-term profitability may be lower than it would be if our strategy were to maximize near- and medium-term profitability. We expect to continue making expenditures on sales and marketing efforts, and expenditures to grow our platform and develop new features, integrations, capabilities, and enhancements to our platform. Such expenditures may not result in improved business results or profitability over the long term. If we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ultimately unable to achieve or improve profitability at the level or during the time frame anticipated by securities or industry analysts and our stockholders, the trading price of our Class A common stock may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quarterly results may fluctuate significantly and may not meet our expectations or those of investors or securities analysts.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level of demand for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grow or maintain our dollar-based net retention rate, expand usage within organizations, and sell subscriptions;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and success of new features, integrations, capabilities, and enhancements by us to our platform, or by our competitors to their products, including the development and deployment of AI driven features, or any other changes in the competitive landscape of our market;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widespread acceptance and use of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errors in our forecasting of the demand for subscriptions to our platform or usage of our AI products, which would lead to lower revenues, increased costs, or both;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amount and timing of operating expenses and capital expenditures, as well as entry into operating leases, that we may incur to maintain and expand our business and operations and to remain competitive;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expenses and recognition of revenues;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security breaches, technical difficulties, or interruptions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pricing pressure as a result of competition or otherwise;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adverse litigation judgments, other dispute-related settlement payments, or other litigation-related costs;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number of new employees hired;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timing of the grant or vesting of equity awards to employees, directors, or consultants;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seasonal buying patterns for software spending;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declines in the values of foreign currencies relative to the U.S. dollar;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fluctuating global interest rates, which may affect our customers’ spending patterns and our return on investments;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impact of inflation on our costs and on customer spending;</w:t>
      </w:r>
    </w:p>
    <w:p>
      <w:pPr>
        <w:pStyle w:val="TextBody"/>
        <w:bidi w:val="0"/>
        <w:spacing w:before="0" w:after="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and continuing uncertainty in relation to, the legislative or regulatory environment;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legal and regulatory compliance costs in new and existing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costs and timing of expenses related to the potential acquisition of businesses, including our acquisition of StackAI, talent, technologies, or intellectual property, including potentially significant amortization costs and possible write-downs;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epidemics, such as influenza, and other highly communicable diseases or viruses;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general economic conditions in either domestic or international markets, including geopolitical uncertainty and instability, tariffs and changes in trade agreements, and their effects on software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not be able to effectively manage our growth.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historically experienced significant growth and increasing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 plans. Additionally, we seek to expand within organizations by adding new customers, having organizations upgrade to our Advanced, Enterprise, or Enterprise+ plans, or expanding their use of our platform into other groups within an organization. While we have experienced significant growth in our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sell subscriptions to our platform or increase usage of our consumption-based AI products,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on-going support. In addition, larger enterprise organizations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If our efforts to sell to organizations of all sizes are not successful or do not generate additional revenues, our business, results of operations, and financial condition would suffer.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platform. Accordingly, we must continue to invest in research and development and in our ongoing efforts to improve and enhance our platform. The success of any enhancement to our platform depends on several factors, including timely completion and delivery, competitive pricing and packaging, adequate quality testing, integration with new and existing technologies, including AI,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We may have limited insight into the privacy, data protection, or security practices of third-party data suppliers for our AI algorithms.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our business is primarily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their subscription plan. Customers may or may not renew their subscription plans as a result of a number of factors, including their satisfaction or dissatisfaction with our platform, our pricing or pricing structure, the pricing or capabilities of the products and services offered by our competitors, geographic availability of our service, the effects of general economic conditions including a downturn or recession, inflation and fluctuating interest rates, or customers’ budgetary constraints. If customers do not renew their subscriptions, renew on less favorable terms, or fail to add more individuals, teams, and organizations, or if we fail to upgrade individuals, teams, and organizations from our free or trial plans to our paid subscription plans, or expand the adoption of our platform within organizations, our revenues may decline or grow less quickly than anticipated, which would harm our business, results of operations, and financial condition. The current macroeconomic environment, including fluctuating interest rates, instability in financial markets, uncertain or changing sanctions regimes, bank failures, tariffs and changes in trade agreements, and their effects on software spending, and headwinds for technology customers, may impact the adoption of our platform generally and our success in engaging with new customers and expanding relationships with existing customers may be impacted by these conditions. If our customers are materially negatively impacted by these factors, such as being unable to access our service or their existing cash to fulfill their payment obligation to us due to future bank failures, our business could be negatively impacted. As a result of these macroeconomic conditions, and any corresponding actions customers may take to manage costs, we have experienced and may continue to experience longer sales cycles, and we may continue to experience a reduction in renewal rates, as well as reduced customer spend and delayed payments that could materially impact our business, results of operations, and financial condition in future periods.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believe our near-term subscription revenues are relatively predictable , the effect of macroeconomic uncertainties may not be fully reflected in our operating results and overall financial performance until future periods. If we fail to predict customer demands, fail to sufficiently account for the impact of macroeconomic and geopolitical conditions on our sales projections, or fail to attract new customers and maintain and expand new and existing customer relationships, our revenues may grow more slowly than expected, may not grow at all, or may decline, and our business may be harmed.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One of our marketing strategies is to offer free and trial subscription plans, and we may not be able to continue to realize the benefits of this strategy.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free and trial subscription plans to promote brand awareness and organic adoption of our platform.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offer AI products that operate on a consumption or usage-based billing model which may negatively impact our ability to predict our future costs and revenues. Increased demand for third-party AI services may increase the costs of our offerings and negatively impact our gross margins.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offer AI products that operate on a consumption or usage-based billing model which increases variability in revenue timing and forecasting. Additionally, the systems, controls and operating processes required to support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billing model, such as volume metering and usage-based invoicing, may increase billing, revenue recognition, and collections complexity, which may further reduce our ability to predict our future revenues and results of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increased demand for third-party AI services may result in price increases for third-party AI services integrated into our AI offerings. These price increases are difficult to forecast, may be significant, and may lead to increased expenses and lower margins. Additionally, our marketing strategy may include offering current or future AI products and features at discounted or no cost to customers to promote further adoption of our platform and products, which may contribute to increased third-party AI costs without corresponding revenue increases.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derive substantially all of our revenues from a single software solution and products available as add-ons to that solution.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flagship product, the Asana work management platform, currently accounts for substantially all of our revenue through seat-based licenses. Additionally, the revenue derived from our add-on products , including the revenue derived from our AI offerings which rely on consumption or usage-based billing, may be dependent on licenses to our core work management platform.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including features, integrations, or capabilities that utilize AI; price, product, and service changes by us or our competitors; technological changes and developments within the markets we serve; growth, contraction, and rapid evolution of our market; and general economic conditions and trends including a downturn or recession, inflation, tariffs and changes in trade agreements, and fluctuating interest rates.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 in preferences of our current or potential customers may have a disproportionately greater impact on us than if we offered products that were independent from licenses to our core work management platform.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If the market for work management solutions develops more slowly than we expect or declines, our business would be adversely affected.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privacy, data protection, or security concerns, competing technologies and products, decreases in corporate spending, or otherwise, it could result in decreased revenues, and our business, results of operations, and financial condition would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while we believe that developing and deploying additional AI features on our platform will lead to increased demand for our offerings, this demand may not materialize as expected or may take longer than anticipated. Developments in AI technology may also change how work is performed or how software tools are used, which could reduce demand for certain work management capabilities or require us to adapt our platform and business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operate in a highly competitive industry, and competition presents an ongoing threat to the success of our business. Our ability to compete and ensure our success requires developments in our technology, including the successful deployment of artificial intelligence in our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portfolio management, work management, goal management, and workflow management categories, including, but not limited to, solutions around collaboration, communication, and coordination. Our competitors generally fall into the following groups: companies specifically offering work management solutions, companies offering productivity suites, and companies specializing in vertical solutions that address a portion of our market.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ability to compete depends upon many factors both within and beyond our control,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rapid developments in our technology, including the successful deployment of AI in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adaptability of our platform to a broad range of use cases;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continued market acceptance of our platform and the timing and market acceptance of new features and enhancements to our platform or the offerings of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ease of use, performance, price, security, and reliability of solutions developed either by us or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brand strength;</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selling and marketing efforts, including our ability to grow our market share domestically and internationally;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size and diversity of our customer base;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customer support efforts;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continue to create easy to use integrations for, and robust, effective partnerships with, other larger enterprise software solutions and tools.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incorporate AI or machine learning to more significantly improve their product offerings, undertake more far-reaching marketing campaigns, and adopt more aggressive pricing policies that will allow them to build larger customer bases than we have. Our competitors may also offer their products and services at a lower price, may offer price concessions, delayed payment terms, financing terms, or other terms and conditions that are more enticing to potential customers.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work management solutions market is rapidly evolving and highly competitive, with relatively low barriers to entry, and in the future there will likely be an increasing number of similar or alternative solutions offered by additional competitors. In addition, some of our customers and potential customers may elect to develop their own internal applications for their work management needs. Developments in AI-enabled software development tools may reduce the research and development costs associated with building work management solutions which may lead to additional competitors in the work management solutions market or enable our customers and potential customers to develop their own internal work management solutions. Additionally,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Failure to effectively develop and leverage our sales capabilities would harm our ability to expand usage of our platform within our customer base and achieve broader market acceptance of our platform.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expand usage of our platform within our customer base and achieve broader market acceptance among businesses will depend to a significant extent on our ability to expand our sales operations successfully, particularly our sales and marketing efforts targeted at broadening use of our platform across departments and entire organizations. We plan to leverage our direct sales force and channel partners, both domestically and internationally, to expand use of our platform within our customer base, and reach larger teams and organizations. We may additionally make strategic investments in expanding our sales capabilities in the future. We have invested and continue to invest financial and other resources to train and develop our direct sales force and channel partners in order to complement our product-led go-to-market approach. Our business, results of operations, and financial condition will be harmed if our efforts do not generate a corresponding increase in revenues. We may not achieve anticipated revenue growth from our direct sales force if we are unable to leverage and develop talented direct sales personnel, if direct sales personnel and channel partners are unable to achieve desired productivity levels in a reasonable period of time, or if we are unable to retain our existing direct sales personnel and channel partners. We believe that there is significant competition for sales personnel with the skills and technical knowledge that we require, and that developing and growing the skills of these personnel takes significant time and resources. Our ability to achieve revenue growth will depend, in large part, on our success in attracting, training, and retaining sufficient numbers of capable sales personnel in our direct sales force and channel partners to support our growth.</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our information technology systems, or those of third parties with whom we work, or our data are compromised or operate in an unintended way, we could experience adverse consequences, including but not limited to regulatory investigations or actions; litigation; fines and penalties; disruptions of our business operations; reputational harm; loss of revenue or profits; and other adverse consequences.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our business and platform involves the collection, processing, storage, and transmission of sensitive, regulated, proprietary and confidential information, including our personal information and business information and those of our customers. As a result, we and the third parties with whom we work face a variety of evolving threats, including but not limited to ransomware attacks, which could cause security incidents. Security incidents can and do compromise the confidentiality, integrity, and availability of this information or our systems. Such incidents include, but are not limited to, cyber-attacks, software bugs and vulnerabilities, malicious internet-based activity, online and offline fraud, server malfunctions, software or hardware failures, email account takeovers, malicious code, malware (including as a result of advanced persistent threat intrusion), viruses, social engineering (including through deep fakes, which are increasingly more difficult to identify, and phishing attacks), ransomware, supply chain attacks and vulnerabilities through our third-party partners, denial-of-service attacks, credential stuffing, credential harvesting, loss of data or other information technology assets, adware, telecommunications failures, earthquakes, fire, floods, attacks enhanced or facilitated by AI (including through the identification or exploitation of vulnerabilities), and other similar threats, efforts by individuals or groups of hackers and sophisticated organizations, including state-sponsored organizations, threat actors, “hacktivists,” organized criminal threat actors, errors or malfeasance of our personnel, logic flaws, implementation flaws, and other misconfigurations and security vulnerabilities in the software or systems on which we rely. For example, in June 2025, we suffered a flaw in the implementation of our Model Context Protocol feature that potentially led to certain data in the instances of certain customers being accessible to other users of this feature. Additionally, we have been impacted by the use of automated or other fraudulent processes designed to circumvent controls to conduct fraud, send spam, or to execute an account takeover. We anticipate such activity to continue. These abuses, exploits, and other potential causes of security breaches and incidents, and the steps that we take to address them may result in a loss of anticipated revenue, increased costs to protect against or remediate these issues, or cause harm to our reputation and brand.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Ransomware attacks, including those perpetrated by organized criminal threat actors, nation-states, and nation-state-supported actors, are becoming increasingly prevalent and severe and can lead to significant interruptions in our operations and our ability to provide our products or services, loss of confidential, proprietary, and sensitive information and income, reputational harm, and diversion of funds. Extortion payments may alleviate the negative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impact of a ransomware attack, but we may be unwilling or unable to make such payments due to, for example, applicable laws or regulations prohibiting such payments.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services. Threats such as these are constantly evolving and therefore grow increasingly sophisticated and complex, which in turn increases the difficulty of detecting and successfully defending against them.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may be difficult and/or costly to detect, investigate, mitigate, contain, and remediate a security incident and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expend resources and modify our business activities to try to protect against security incidents. Additionally, certain privacy, data protection, and security obligations require us to implement and maintain specific security measures or industry-standard or reasonable security measures to protect our information technology systems and confidential, proprietary, and sensitive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have implemented security measures designed to protect against security incidents, we have suffered security incidents in the past and there can be no assurance that these measures will be effective. We take steps designed to detect, mitigate, and remediate vulnerabilities in our information systems (such as our hardware and/or software, including that of third parties with whom we work). We have not been, and may not in the future, be able to detect and remediate all vulnerabilities, including on a timely basis. Further, we have experienced (and may in the future experience) delays in developing and deploying remedial measures designed to address such identified vulnerabilities. Vulnerabilities in the past have been, and in the future could be, exploited and result in a security incident.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rely on or partner with third-party vendors and systems that have made representations as to their security measures but there can be no assurance that they will maintain their own security measures appropriately. Breaches of our security measures or those of our third parties, including supply chain attacks or other threats to our business operations, could result in unauthorized access to our sites, networks, systems, and accounts; unauthorized access to, and misappropriation of, individuals’ personal information or other sensitive,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or our ability to provide our services;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these breaches of security or other security incidents should occur, we cannot guarantee that recovery protocols and backup systems will be sufficient to prevent data loss. Additionally, any security breaches or incidents that we have suffered or may in the future suffer, may lead to damage to our reputation and brand, our business suffering, requirements to expend significant capital and other resources to alleviate problems caused by such breaches and incidents, and exposure to risk of loss, litigation or regulatory action, and other potential liabilities, such as investigations, fines, penalties, audits, inspections, injunctions, additional oversight, or restrictions or bans on processing personal information. Actual or anticipated security breaches, incidents, or attacks may cause us to incur increasing costs, including costs to deploy additional personnel and protection technologies, train employees, and engage third-party experts and consultants.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Remote work has increased risks to our information technology systems and data, as more of our employees utilize network connections, computers, and devices outside our premises or network, including working from home, while in transit and in public locations. Additionally, we have acquired and may continue to acquire companies whose systems may contain cybersecurity vulnerabilities and/or unsophisticated security measures, which may expose us to cybersecurity, operational and financial risk. Furthermore, we may discover security issues that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found during due diligence of such acquired companies, and it may be difficult to integrate companies into our information technology environment and security program.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previously identified or similar threats could cause a security breach or incident or other interruption that could result in unauthorized, unlawful, or accidental acquisition, modification, destruction, loss, alteration, encryption, disclosure of, or access to our information technology systems and confidential, proprietary, and sensitive information, or those of the third parties with whom we work. For example, periodically we become aware of attempts to phish Asana employees or attempts to circumvent spam protections we’ve put in place in our product. A security incident or other interruption could disrupt our ability (and that of third parties with whom we work) to provide our products or services or could impact our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compromise or breach of our security measures, or those of the third parties with whom we work, could also violate applicable privacy, data protection, security, and other laws, and cause significant legal and financial exposure, adverse publicity, and a loss of confidence in our security measures, which could have a material adverse effect on our business, results of operations, and financial condition. Applicable privacy, data protection, and security obligations may also require us, or we may voluntarily choose, to notify relevant stakeholders, such as governmental authorities, partners, customers, investors, and affected individuals, of security breaches or incidents, or take other action, such as providing credit monitoring and identity theft protection services, and we have done such notifications in the past. Such notifications may involve inconsistent requirements and are costly, and the notifications or the failure to comply with such applicable requirements could lead to adverse consequences.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Any actual or perceived security breach or incident suffered by us or a third party with whom we work may cause us to experience material adverse consequences, such as government enforcement actions (for example, investigations, fines, penalties, audits, and inspections); additional reporting requirements and/or oversight; restrictions on processing confidential, proprietary, and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services, deter new customers from using our services, and negatively impact our ability to grow and operate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our contracts may not contain limitations of liability, and even when they do, there can be no assurance that the limitations of liability in our contracts are sufficient to protect us from liabilities, claims, or damages if we fail to comply with applicable obligations related to privacy, data protection, or security. We also cannot be sure that our insurance coverage will be adequate or sufficient to protect us from or to mitigate liabilities arising out of our privacy, data protection, and security practices, that such coverage will continue to be available on commercially reasonable terms or at all, or that such coverage will pay future claims.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proprietary, or confidential information could be leaked, disclosed, or revealed as a result of or in connection with our employees’ or vendors’ use of generative AI technologies.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any sensitive information (including regulated, proprietary and confidential information, including personal information and business information) that we input into a third-party generative AI platform could be leaked or disclosed to others, including if sensitive information is used to train the third parties’ AI model. Additionally, where an AI model ingests personal information and makes connections using such information, those technologies may reveal other personal or sensitive information generated by the model.</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use of AI and machine learning technologies in our products and operations gives rise to legal, business, and operational risks. Legal, regulatory, social and ethical issues relating to the use of AI and machine learning technologies in our products and business may result in reputational harm and liability.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integrates generative AI and machine learning technologies. The rapid evolution of AI machine learning and automated decision-making technologies require dedicated resources to develop, test, and maintain our product offerings and to help responsibly integrate such technologies into certain features to minimize unintended or harmful impacts to our customers. Uncertainty around new and emerging AI, machine learning, and automated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decision-making technologies may require additional investment in the development of proprietary datasets, machine learning models, and systems to test for accuracy, bias, and other variables, which are often complex, may be costly, and could impact our profit margin as we expand the use of AI and machine learning technologies in our products. There are significant risks involved in developing, maintaining, and deploying these technologies internally and/or to customers and there can be no assurance that such technologies will enhance our products or benefit our customers or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Artificial intelligence-related technologies are subject to existing laws and regulations relating to privacy, data protection, security, intellectual property, and product liability, and will continue to be subject to additional new laws and regulations in the coming years. For example, several countries, states, and localities have proposed, enacted, or are considering laws governing the development and use of AI, machine learning, and automated decision-making technologies, such as the EU’s AI Act, the Colorado Artificial Intelligence Act, and the California AI Transparency Act.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Depending on how the EU AI Act is implemented and interpreted, we may have to adapt our business practices, contractual arrangements, and services to comply with such obligations. The effects of these laws and regulations are difficult to predict, and other jurisdictions may adopt similar laws and regulations.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certain privacy laws extend rights to consumers (such as the right to delete certain personal data) and regulate automated decision making, which may apply, or be asserted to apply, to certain AI and machine learning technologies. These obligations may make it harder for us to conduct our business using AI and machine learning, lead to regulatory fines or penalties, require us to change our business practices, retrain our AI and machine learning technologies, or prevent or limit the use of AI, machine learning, and automated decision-making technologies. For example, the FTC has required other companies to turn over (or disgorge) valuable insights or trainings generated through the use of AI and machine learning, and automated decision-making technologies where they allege the company has violated privacy and consumer protection laws. If we cannot use AI and machine learning technologies or that use is restricted, our business may be less efficient, or we may be at a competitive disadvantage.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continue to develop or use such technologies may be dependent on our access to technology offered by vendors and specific third-party software and infrastructure providers, such as processing hardware or third-party AI models, and we cannot control the quality, availability, or cost of such vendor offerings or third-party software and infrastructure offerings. We face competition from other companies in our industry who use similar machine learning technologies. Failure to offer or deploy new AI or machine learning as quickly or effectively as our competitors could adversely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market acceptance and consumer perceptions of AI and machine learning technologies is currently fast-evolving and therefore remain uncertain. For example, AI technologies, including generative AI, sometimes create content or information that appears correct but is factually inaccurate or flawed. The use of AI technologies also presents emerging ethical and social issues. If we enable or offer solutions that draw scrutiny or controversy due to their perceived or actual negative impact on our customers, we may experience brand or reputational harm, competitive disadvantages, consumer complaints, legal liability, and other adverse consequences, any of which could materially adversely affect our business, results of operations, and financial condition.</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If we fail to manage our technical operations infrastructure, or experience service outages, interruptions, or delays in the deployment of our platform, our results of operations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experienced, and may in the future experience system slowdowns and interruptions.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Amazon Web Services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Real or perceived errors, failures, vulnerabilities, or bugs in our platform would harm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information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are unable to ensure that our platform interoperates with a variety of software applications that are developed by others, including our integration partners, we may become less competitive and our results of operations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application programming interfaces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discontinues or limits our access to its software or APIs;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modifies its terms of service or other policies, including fees charged to, or other restrictions on us, or other application developers;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how information is accessed by us or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establishes more favorable relationships with one or more of our competitors;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develops or otherwise favors its own competitive offerings over our platform.</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our platform includes both a mobile and a desktop application to enable individuals, teams, and organizations to access our platform on multiple device types. If either our mobile or desktop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loss of one or more of our key personnel could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largely upon the continued services and performance of our senior management and other key personnel. From time to time, there may be changes in our senior management team resulting from the hiring or departure of executives and key employees. Our senior management and key employees are employed on an at-will basis. The loss of our Chief Executive Officer, other key members of management, and key development, engineering, sales, or marketing personnel may disrupt our operations and have an adverse effect on our ability to grow our business. Changes in our senior management team may also cause disruptions in, and harm to, our business, results of operations, and financial condition. We currently do not have “key person” insurance on any of our employees.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must continue to attract and retain highly qualified personnel in very competitive markets to continue to execute on our business strategy and growth plans.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The incentives to attract, retain, and motivate employees provided by our equity awards, or by other compensation arrangements, may not be as effective as in the past. Additionally, increased inflation rates can adversely affect us by increasing our costs, including labor and employee benefit costs. Employee salaries and benefits expenses have increased as a result of economic growth and increased demand for business services among other wage-inflationary pressures and we cannot assure you that they will not continue to rise. Many of the companies with which we compete for experienced personnel have greater resources than we have. Our recruiting and retention efforts may also be limited by laws and regulations, such as restrictive immigration laws, including changes with respect to H-1B visas, and restrictions on travel imposed by certain governments, as well as delays in processing or a lack of availability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visas. In addition, our past and future restructuring efforts may adversely affect our ability to attract and retain employees. If we do not succeed in attracting excellent personnel or retaining or motivating existing personnel, we may be unable to innovate quickly enough to support our business model or grow effectively.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Recently, there has been increased scrutiny of companies’ human capital practices and initiatives. Negative perception of certain of these practices and initiatives, whether due to our perceived over- or under- pursuit of such initiatives, may result in issues with hiring or retaining employees, as well as potential litigation or other adverse impacts. In addition, our ability to successfully identify, hire and promote employees may be impacted by legal and judicial developments outside of our control and may necessitate changes to our employment practices. For example, some advocacy groups and state attorneys general have asserted that the U.S. Supreme Court’s decision striking down race-based affirmative action in higher education in June 2023 should be analogized to private employment matters and private contract matters. Several cases alleging discrimination based on similar arguments have been filed since the decision, with increasing scrutiny of certain corporate human capital practices. In January 2025, the current U.S. administration signed a number of Executive Orders focused on human capital initiatives, which include a broad mandate to eliminate certain federal programs and a caution to the private sector to end what may be viewed as illegal human capital initiatives. The Executive Orders also indicate upcoming compliance investigations of private entities, including publicly traded companies, and changes to federal contracting regulations.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culture has contributed to our success, and if we cannot maintain this culture as we grow, we could lose the employee engagement fostered by our culture, which could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a critical component of our success has been our culture. We have invested substantial time and resources in building out our team with an emphasis on shared values and inclusion. As we continue to grow and develop the infrastructure associated with being a public company, we 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Issues and regulations related to human capital, and stakeholder responses thereto, may have an adverse effect on our business, financial condition, and results of operations and may damage our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Companies across all industries are facing increasing scrutiny relating to their human capital and related practices and initiatives. The landscape related to the regulation of such practices and initiatives is constantly evolving. Investor advocacy groups, institutional investors, stockholders, activists, employees, consumers, customers, regulators, proxy advisory services and other market participants have increasingly focused on these types of matters and initiatives. Such stakeholders have placed increased importance on these practices and their effect on companies from an investor, consumer, customer or employee perspective.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could be criticized for the scope or nature of our practices or initiatives in these areas, or for any revisions to our practices or initiatives. Furthermore, some stakeholders may disagree with our practices or initiatives and there is also a risk that stakeholders may change their views on these matters over time. Our various stakeholders or regulators may also have divergent opinions and conflicting expectations regarding our culture, values, strategy and business, which makes it difficult to achieve a consistently positive perception among all of our various stakeholders. Moreover, we may determine that it is in the best interest of our company and our stockholders to prioritize other investments over maintenance of our current practices or initiatives based on economic, technological developments, regulatory and social factors, business strategy or pressure from investors, activists or other stakeholders.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our practices or initiatives do not meet evolving investor, industry, stakeholder or regulatory expectations and standards related to human capital and related matters, or if we are perceived to have not responded appropriately to the growing and various concerns about such issues, among other things, our reputation, culture, ability to attract or retain employees, sales, stock price, ability to access the capital markets, or overall business or financial results could be adversely affected. Further, if we incur adverse publicity and reaction from investors, activists or other stakeholders related to our human capital practices or initiatives, the perception of us and our products by current and potential customers could cause our customers and consumers to stop purchasing our products or to purchase products from a competitor or subject us to legal and regulatory proceedings, any of which could adversely impact our business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business depends on a strong brand, and if we are not able to maintain and enhance our brand, our ability to expand our base of customers may be impaired, and our business and results of operations will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fail to offer high-quality customer support, our business and reputation will suffer.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rely on third parties maintaining open marketplaces to distribute our mobile application. If such third parties interfere with the distribution of our platform, our business would be adversely affected.</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 We are subject to requirements imposed by marketplaces such as Apple and Google, who may change their technical requirements or policies in a manner that adversely impacts, among other things, the way in which we or our partners collect, use and share data from users through our mobile application. If we do not comply with these requirements, we could lose access to the mobile application marketplace and users, and our business, results of operations, and financial condition may be harmed.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Apple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rely on traditional web search engines to direct traffic to our website. If our website fails to rank prominently in unpaid search results, traffic to our website could decline and our business would be adversely affected.</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Additionally, the introduction and acceptance of AI-assisted technologies has impacted traditional search engine user discovery of our products, particularly by small and midsize businesses. If we are unable to maintain or improve our visibility, our ability to attract users through unpaid channels may decline. Any reduction in the number of users directed to our website could reduce our revenues or require us to increase our sales and marketing expenditures.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Sales to customers outside the United States and our international operations expose us to risks inherent in international sales and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July 31, 2026, 41% of our revenues were generated from customers outside the United States. We have operations in multiple cities globally.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the need to localize and adapt our platform for specific countries, including translation into foreign languages and associated expenses;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privacy and data protection laws that impose different and potentially conflicting obligations with respect to how personal information is processed or require that customer data be stored in a designated territory;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regulatory and other delays and difficulties in setting up foreign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different pricing environments, longer sales cycles, longer accounts receivable payment cycles, and collections issues;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new and different sources of competition;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weaker protection for intellectual property and other legal rights than in the United States and practical difficulties in enforcing intellectual property and other rights outside of the United States;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 and business practices favoring local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compliance challenges related to the complexity of multiple, conflicting, and changing governmental laws and regulations, including employment, tax, sanctions, privacy, data protection, and security laws and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increased financial accounting and reporting burdens and complexities;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declines in the values of foreign currencies relative to the U.S. dollar;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restrictions on the transfer of funds;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potentially adverse tax consequences;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cost of and potential outcomes of any claims or litigation;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future accounting pronouncements and changes in accounting policies;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tax laws or tax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or similar issues, such as a pandemic or epidemic;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regional and local economic and political conditions, such as global economic downturns or recessions in the regions in which we do business, tariffs and changes in trade agreements, bank failures, as well as macroeconomic and policy impacts of political instability and armed conflicts.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international armed conflicts, such as those in the Middle East, have created potential global security concerns that could impact our global operations, the operations of our vendors and partners, including our third-party data center providers, and the operations of our customers in affected regions. These security concerns could also impact regional and global economies, either of which could adversely affect our business.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Continuing to leverage our existing international operations and any potential entry into additional international markets will require significant management attention and financial resources. Our failure to successfully manage our international operations and the associated risks effectively could limit the future growth of our business.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Sales to government entities, customers reliant on government funding, and other government contractors are subject to a number of additional challenges and risks.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and expect to continue selling our products and services to U.S. federal and state and foreign governmental agency customers, which may occur through direct sales to government entities or sales to government entities through our channel partners. We also sell our products and services to customers who may be reliant on funding derived from federal, state, or foreign governmental sources. We are currently pursuing U.S. Federal Risk and Authorization Management Program (“FedRAMP”) authorization and have achieved a FedRAMP In Process designation. Even if we obtain FedRAMP authorization, selling to government entities, customers reliant on government funding, and other government contractors or affiliates presents a number of unique challenges and risks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contracts with governmental entities are subject to termination for the convenience of the customer;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government certification requirements may change, or we may be unable to achieve one or more government certifications, including FedRAMP, which may restrict our ability to sell into the government sector until we have attained such certificates;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contracts with governmental entities, customers reliant on government funding, and other government contractors or affiliates, including channel partners or resellers in the government market, contain terms that are less favorable than what we generally agree to in our standard agreements, including, terms and conditions required by regulation that are not negotiable with the customer;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as a U.S. government contractor, we and the third parties we rely upon, including providers of software or systems we incorporate into our products, may be subject to Executive Orders, agency designations, and regulatory changes affecting various aspects of our operations, including compliance with nondiscrimination plans, supply-chain risk designations, or other regulatory requirements, and any changes we may implement in order to comply with such regulatory requirements could pose challenges to our operations, while failure to comply with these requirements could expose us to administrative, civil, or criminal liabilities, including fines, penalties, repayments or suspension or debarment from eligibility for future U.S. government contracts;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demand and payment for our products from government or other customers may be influenced, among other things, by public sector budgetary cycles and funding authorizations, with funding reductions or delays having an adverse impact on customer demand for our products.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Though our current revenue impact from contracts with government entities is not significant, to the extent that we become more reliant on contracts with government entities, customers reliant on government funding and/or other government contractors or affiliates in the future, our exposure to such risks and challenges could increase, which in turn could adversely impact our business and revenue.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the U.S. presidential administration began issuing Executive Orders identifying new government policies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experience excessive fraudulent activity, we could incur substantial costs and lose the right to accept credit cards or other payment methods for payment, which could cause our customer base to decline significantly.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large portion of our customers authorize us to bill their credit card accounts or bill them via other payment methods, such as PayPal or other direct debit methods, through our third-party payment processing partners for our paid subscription plans. If customers pay for their subscription plans with stolen credit cards or fraudulent bank accounts, we could incur substantial third-party vendor costs for which we may not be reimbursed. Further, our customers provide us with payment billing information online, and we do not review the physical credit cards used in these transactions or do additional verification beyond what we collect online, which increases our risk of exposure to fraudulent activity. We also incur charges and fees associated with those charges, which we refer to as chargebacks, from the credit card companies or banks or third-party payment processors for claims that the customer did not authorize the transaction for subscription plans, something that we have experienced in the past. If the number of claims of unauthorized transactions becomes excessive, we could be assessed substantial fines for excess chargebacks, and we could lose the right to accept credit cards for payment or leverage a certain type of payment system via our third-party payment processing partner. In addition, credit card issuers or other payment methods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or facilitate other methods of payment for our paid subscription plans. Substantial losses due to fraud or our inability to accept credit card or other electronic payments would cause our customer base to significantly decrease and would harm our business.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engage in merger and acquisition activities, which would require significant management attention, disrupt our business, dilute stockholder value, and adversely affect our business, results of operations, and financial condition.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business strategy to expand our platform and grow our business in response to changing technologies, customer demand, and competitive pressures, we may in the future make investments or acquisitions in other companies, products, or technologies, such as our acquisition of StackAI that was announced in May 2026.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 In addition, the technology and information security systems and infrastructure of businesses we have acquired or may in the future acquire may contain cybersecurity vulnerabilities and/or unsophisticated security measures, which may expose us to cybersecurity, operational, and financial risk. We may incur significant costs enhancing or scaling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information security systems and infrastructure of acquired businesses, remediating any related security breaches or incidents, or complying with privacy, data protection, and security laws or other obligations.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Risks Related to Government Regulation and Legal Matters, including Taxation and Intellectual Property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become subject to intellectual property rights claims and other litigation that are expensive to support, and if resolved adversely, could have a material adverse effect on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we are unable to protect our intellectual property rights, the value of our brand and other intangible assets may be diminished, and our business may be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failure to obtain or maintain the right to use certain of our intellectual property would negatively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success and competitive position depend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 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Any future litigation against us could be costly and time-consuming to defend.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become subject to legal proceedings, demands, and claims that arise in the ordinary course of business. We (including our officers and directors) could be sued or face regulatory action for a number of issues, including defamation, civil rights infringement, breach of fiduciary duty, negligence, intellectual property rights infringement, violations of privacy, data protection or security laws,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pStyle w:val="TextBody"/>
        <w:bidi w:val="0"/>
        <w:spacing w:lineRule="auto" w:line="288" w:before="120" w:after="180"/>
        <w:jc w:val="left"/>
        <w:rPr/>
      </w:pPr>
      <w:r>
        <w:rPr>
          <w:rFonts w:ascii="Times New Roman;serif" w:hAnsi="Times New Roman;serif"/>
          <w:b/>
          <w:i/>
          <w:color w:val="000000"/>
          <w:sz w:val="20"/>
        </w:rPr>
        <w:t>Our use of “open source” and third-party software could impose unanticipated conditions or restrictions on our ability to commercialize our solutions and could</w:t>
      </w:r>
      <w:r>
        <w:rPr>
          <w:color w:val="000000"/>
        </w:rPr>
        <w:t xml:space="preserve"> </w:t>
      </w:r>
      <w:r>
        <w:rPr>
          <w:rFonts w:ascii="Times New Roman;serif" w:hAnsi="Times New Roman;serif"/>
          <w:b/>
          <w:i/>
          <w:color w:val="000000"/>
          <w:sz w:val="20"/>
        </w:rPr>
        <w:t>subject us to possible litigation.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technologies we use in our platform and mobile application incorporates “open source” software, and we may incorporate open source software in our platform and mobile application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 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or a failure of our platform or mobile application. Any of the foregoing would disrupt the distribution and sale of subscriptions to our platform and harm our business, results of operations, and financial condition. </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 xml:space="preserve">We, and third parties with whom we work, are subject to stringent and evolving U.S. and foreign laws, regulations, rules, contractual obligations, industry standards, policies and other obligations related to artificial intelligence, privacy, data protection, and security. Our actual or perceived failure to comply with such obligations (or such failure by the third parties with whom we work) could lead to regulatory investigations or actions; litigation; fines and penalties; disruptions of our business operations; reputational harm; loss of revenue or profits; loss of customers or sales; and other adverse business consequences.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process, store, and use business and personal information belonging to individuals who interact with Asana, including our users and prospective, current, and former customers. There are numerous federal, state, local, and foreign laws and regulations regarding privacy, data protection, security and the storing, sharing, use, processing, disclosure, and protection of business and personal information including personal information privacy laws, state data breach notification laws, consumer protection laws (e.g., Section 5 of the Federal Trade Commission Act) and other similar laws (e.g., wiretapping laws). These laws continue to evolve in scope and are subject to differing interpretations, and may contain inconsistencies or pose conflicts with other legal requirements. Preparing for and attempting to comply with these laws and other obligations requires significant resources and, potentially, changes to our technologies, systems, and practices and those of any third parties that process personal information on our behalf.</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seek to comply with applicable laws, regulations, policies, legal obligations, contracts, and industry standards and have developed privacy notices and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(or third parties with whom we work) to comply with our privacy notices and policies, privacy-related obligations to users, customers, or other third parties, or privacy or security-related legal obligations, or any data compromise that results in the accidental or unauthorized release, misuse, or transfer of business or personal information or other user or customer data, may result in domestic or foreign governmental enforcement actions, investigations, penalties, audits, inspections, fines, injunctions (including bans or restrictions on processing personal data, and orders to destroy or not use personal information), litigation, or public statements against us by our users, customers, consumers, regulators, consumer advocacy groups, or others, additional reporting requirements and/or oversight; which would have an adverse effect on our reputation and business. We could also incur significant costs investigating and defending such claims and, if we are found liable, significant damages. Any of these events could have a material adverse effect on our reputation, business, or financial condition, including but not limited to: loss of customers; interruptions or stoppages in our business operations;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Foreign privacy, data protection, and security laws have become more stringent in recent years, are undergoing a period of rapid change, and increase the costs and complexity of offering our products and services in new and existing geographies. For example, the European Union’s General Data Protection Regulation 2019/679 (“the EU GDPR”), the EU GDPR as it forms part of United Kingdom (“UK”) law by virtue of section 3 of the European Union (Withdrawal) Act 2018 (“UK GDPR”), Australia’s Privacy Act, and Canada’s Personal Information Protection and Electronic Documents Act, impose strict requirements for processing personal information. European privacy, data protection, and security laws, including the EU GDPR and UK GDPR impose significant and complex burdens on processing personal information, provide for robust regulatory enforcement, and contemplate significant penalties for noncompliance. Non-compliance with the EU GDPR and UK GDPR can trigger fines of up to the greater of €20 million (£17.5 million for the UK GDPR) or 4% of our global revenues, restrictions or prohibitions on data processing, and exposure to private right of action and enforcement mechanisms including extensive audit and inspection rights, or private litigation related to processing of personal information brought by classes of data subjects or consumer protection organizations authorized at law to represent their interests.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Globally, certain jurisdictions have enacted data residency or data localization laws and have imposed requirements for cross-border transfers of personal information. For example, the cross-border transfer landscape in Europe is complex and other countries outside of Europe have enacted or are considering enacting cross-border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transfer restrictions and laws requiring data residency or other restrictions around the location of the storage and processing of data, which could increase the cost and complexity of doing business. The EU GDPR generally restricts the transfer of personal information to countries outside of the EEA, such as the United States, which are not considered by the European Commission to provide an adequate level of privacy, data protection, and security. In addition, Swiss and UK law contain similar data transfer restrictions as the EU GDPR. Although there are currently valid mechanisms available to transfer data from the EEA and the UK to the United States in compliance with law, such as the EEA standard contractual clauses, the UK’s International Data Transfer Agreement / Addendum, the EU-U.S. Data Privacy Framework and the UK extension thereto, and the Swiss-U.S. Data Privacy Framework (which allow for transfers to relevant U.S.-based organizations who self-certify compliance and participate in such frameworks), these mechanisms are subject to legal challenges and there remains some uncertainty regarding the future of these cross-border data transfers. If we cannot implement a valid compliance mechanism for cross-border personal information transfers, we may face increased exposure to regulatory actions, substantial fines, and injunctions against processing or transferring personal information from the EEA, UK, or elsewhere. Inability to import personal information to the United States may significantly and negatively impact our business operations, including limiting our ability to collaborate with service providers, contractors, and other companies subject to European and other privacy, data protection, and security laws; or requiring us to increase our data processing capabilities in Europe or elsewhere at significant expense. Additionally, companies that transfer personal data out of the EEA and UK to other jurisdictions, particularly to the United States, are subject to increased scrutiny from regulators, individual litigants, and activist groups.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rules regarding the use of online cookies and similar online trackers in the European Union are becoming more stringent in terms of the advance consent companies must obtain from data subjects before such trackers can be placed on browsers. Other regions of the world have likewise adopted privacy regulations that may result in increased restrictions on cookie collection and use, and fines for noncompliance. Partially as a result of these developments, individuals are becoming increasingly resistant to the collection, use, and sharing of personal information to deliver targeted advertising or analytics. Individuals are now more aware of options related to consent, “do not track” mechanisms (such as browser signals from the Global Privacy Control), and “ad-blocking” software to prevent the collection of their personal information for targeted advertising and analytics purposes. These developments may also impact our analytics and advertising activities and our ability to analyze how users interact with our services. We may be required to change the way we market our products, and any of these developments or changes could materially impair our ability to reach new or existing customers or otherwise negatively affect our operations.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European Union, a growing number of other global jurisdictions, such as Brazil, Japan, India and Canada, are considering or have passed legislation implementing privacy, data protection, and security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the Act on the Protection of Personal Information in Japan, or India’s Information Technology Act impose obligations similar to those under the EU GDPR.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Privacy, data protection, security, and consumer protection legislation are also becoming increasingly common in the United States. For example, numerous U.S. states have enacted comprehensive privacy laws that impose certain obligations on covered businesses, including providing specific disclosures in privacy notices and affording residents with certain rights concerning their personal information such as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information, including sensitive information, such as conducting data privacy impact assessments. These state laws allow for statutory fines for noncompliance. For example, the CCPA requires companies that process information of consumers, business representatives, and employees who are California residents to provide specific disclosures in privacy notices and honor requests of such individuals to exercise certain individual privacy rights. The CCPA provides for fines for intentional violations and allows private litigants affected by certain data breaches to recover significant statutory damages. Similar laws have been enacted and are being considered in other states and at the federal and local levels, and we expect more states to pass similar laws in the future. The proliferation of such laws could have potentially conflicting requirements that would make compliance challenging, and increase legal risk and compliance costs for us and the third parties with whom we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and Iran) and covered individuals (i.e., individuals and entities located in or controlled by individuals or entities located in those jurisdictions) that may impact certain business activities such as vendor engagements, sharing of data, employment of certain individuals, and investor agreements. Violations of the rule could lead to significant civil and criminal fines and penalties.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the Federal Trade Commission and many state attorneys general continue to enforce federal and state consumer protection laws against companies and individuals for online data collection, use, dissemination, and security and privacy practices that appear to be unfair or deceptive. We also publish privacy policies, marketing materials, white papers, and other statements, such as statements related to compliance with certain certifications or self-regulatory principles, concerning privacy, data protection, and security. If these policies, materials or statements are found to be deficient, lacking in transparency, deceptive, unfair, misleading, or misrepresentative of our practices, we may become subject to investigation, enforcement actions by regulators, or other adverse consequences.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under various privacy laws and other obligations, we may be required to obtain certain consents to process personal information. For example, some of our data processing practices have been, and may in the future continue to be, subject to challenges or lawsuits under privacy, data protection, and communications laws, including, for example, challenges based on wiretapping laws for sharing consumer information with third parties through various methods, including chatbot and session replay providers, or via third-party marketing pixels. Our inability or failure to obtain consent for these practices could result in adverse consequences, including class action litigation and mass arbitration demands.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 number of legislative proposals in the United States, at both the federal and state level, and in the European Union and more globally, that could impose new obligations in areas such as e-commerce, data processing, and other related legislation or liability for copyright infringement by third parties. We cannot yet determine the impact that future laws, regulations, and standards may have on our business. For example, the European Union’s Data Act (the “Data Act”) became fully applicable on September 12, 2025. Among other things, the Data Act will affect customers’ ability to terminate service agreements with us or our competitors. Compliance with the Data Act may require us to adjust contract terms and technical measures for data portability. These changes may impact the duration of customer relationships and result in additional compliance and operational costs, which may affect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privacy, data protection, and security laws, we are or may become contractually subject to industry standards adopted by industry groups and may become subject to such obligations in the future. We are also bound by other contractual obligations related to privacy, data protection, and security, and our efforts to comply with such obligations may not be successful.</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are subject to anti-corruption, anti-bribery, and similar laws, and our failure to comply with these laws could subject us to criminal penalties or significant fines and harm our business and reputation.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anti-corruption and anti-bribery and similar laws, such as the U.S. Foreign Corrupt Practices Act of 1977, as amended,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are subject to various export, import, and trade and economic sanction laws and regulations that could impair our ability to compete in international markets and subject us to liability for noncompliance.</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activities are subject to various export, import, and trade and economic sanction laws and regulations, including, among others, the U.S. Export Administration Regulations, administered by the Department of Commerce’s Bureau of Industry and Security (“BIS”), and economic and trade sanctions regulations maintained by the U.S. Department of the Treasury’s Office of Foreign Assets Control (“OFAC”) which we refer to collectively as “Trade Controls”. These Trade Controls, which may be enacted at any time, may prohibit or restrict the sale or supply of certain products, including encryption items and other technology, and services to certain governments, persons, entities, countries, and territories, including those that are the target of comprehensive sanctions. We must be ready to evaluate and respond to these Trade Controls and assess their impact on our business, which can be difficult to ascertain.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 have enacted laws that could limit our ability to distribute our platform or could limit the ability of organizations to use our platform in those countries. </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While we have implemented controls designed to promote and achieve compliance with applicable Trade Controls, in the past we may have inadvertently provided certain services to some customers in apparent violation of U.S. sanctions laws and exported software and source code prior to submitting required filings and obtaining authorization from BIS regarding exports of our software, which may be subject to enforcement action by BIS or OFAC.</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customers or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pStyle w:val="TextBody"/>
        <w:bidi w:val="0"/>
        <w:spacing w:lineRule="auto" w:line="288" w:before="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Finally, changes in our platform or future changes in Trade Controls, such as those we have seen issued by the United States and other governments in response to international armed conflicts, could result in our inability to provide our platform to certain customers or decreased use of our platform by existing or potential customers with international operations. For example, on June 12, 2024, OFAC issued a determination imposing new restrictions on the export, reexport, sale, or supply of IT support and cloud-based services for enterprise management software and design and manufacturing software to persons located in Russia, which went into effect on September 12, 2024. We continue to evaluate these Trade Controls sanctions and their potential applicability to our products and services; however, we are unable to quantitatively estimate any impacts to our business at this time. Any decreased use of our platform or mobile application or increased limitations on our ability to export or sell our platform and mobile application would adversely affect our business, results of operations, and financial condition.</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Changes in tax laws or regulations could be enacted or existing tax laws or regulations could be applied to us or our customers in a manner that could increase the costs of our platform and harm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sales, use, value added, or other tax laws, statutes, rules, regulations, or ordinances could be enacted or amended at any time (possibly with retroactive effect), and could be applied solely or disproportionately to products and services provided over the internet. For example, on July 4, 2025, the United States enacted federal tax legislation commonly referred to as the One Big Beautiful Bill Act. This and other legislation, or further enactments of or amendments to tax laws, could reduce our sales activity due to the inherent cost increase the taxes would represent and ultimately harm our results of operations and cash flows.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subject to taxation in several jurisdictions around the world with increasingly complex tax laws, the application of which can be uncertain. Although we have only been required to pay income and value-added taxes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filings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business, results of operations, and financial condition may be harmed if we are required to collect sales, value added, or other related taxes for subscriptions to our platform in jurisdictions where we have not historically done so.</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collect sales taxes and value added taxes in a number of jurisdictions. One or more states or countries may seek to impose incremental or new sales, use, value added, or other tax collection obligations on us. A successful assertion by a state, country, or other jurisdiction that we should have been or should be collecting additional sales, use, value added, or other taxes could, among other things, result in substantial tax payments, create significant administrative burdens for us, discourage potential customers from subscribing to our platform due to the incremental cost of any such sales, value added, or other related taxes, or otherwise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expect to become profitable in the near future, may never achieve profitability, and have incurred substantial net operating losses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We have experienced ownership changes since inception and our utilization of NOL carryforwards will be subject to annual limitations. However, it is not expected that the annual limitations will result in the expiration of our NOLs or other tax attribute carryforwards prior to utilization. We may experience additional ownership changes in connection with subsequent shifts in our stock ownership (some of which are outside our control). As a result, even if we attain profitability, we may be unable to use a material portion of our NOLs and other tax attributes.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Risks Related to Our Capital Allocation Strategy</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need additional capital, and we cannot be sure that additional financing will be available.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competitions, or unforeseen circumstances, or for other reasons. On an ongoing basis, we are evaluating sources of financing and may need to raise additional capital in the future. Our ability to obtain additional capital will depend on our development efforts, business plans, investor demand, operating performance, the condition of the capital markets, and other factors. If the overall economy is negatively impacted for an extended period, our results of operations, financial position and cash flows may be materially adversely affected. In addition, a severe prolonged economic downturn could result in a variety of risks to the business, including weakening our ability to develop potential businesses and a decreased ability to raise additional capital when needed on acceptable terms, if at all.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experience dilution. Further, if we are unable to obtain additional capital when required, or are unable to obtain additional capital on satisfactory terms, our ability to continue to support our business growth or to respond to business opportunities, challenges, competition, or unforeseen circumstances would be adversely affected.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operating activities may be restricted as a result of covenants related to the indebtedness under our November 2022 Senior Secured Credit Facility, and we may be required to repay the outstanding indebtedness in an event of default, which would have an adverse effect on our business. Additionally, future operational challenges on the part of our lender could impact our ability to quickly access additional liquidity.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7, 2022, we entered into an agreement with several banks and other financial institutions or entities for which Silicon Valley Bank (“SVB”) acted as issuing lender, administrative agent and collateral agent, under which we may incur loans in an aggregate principal amount not to exceed $150 million, consisting of a term loan facility in an aggregate principal amount equal to $50 million and a revolving loan facility in an aggregate principal amount of up to $100 million, including a $30 million letter of credit sub-facility (collectively and as amended on April 13, 2023, June 18, 2024, November 18, 2024, May 29, 2025, and February 26, 2026, the “November 2022 Senior Secured Credit Facility”). On March 27, 2023, First Citizens BancShares, Inc. (“First Citizens”) announced that it had entered into an agreement to purchase assets and liabilities of SVB, inclusive of our November 2022 Senior Secured Credit Facility. We continue to have the ability to make additional borrowings under the November 2022 Senior Secured Credit Facility which is now held by SVB as a division of First Citizens. Upon expiration of the November 2022 Senior Secured Credit Facility, we may seek to obtain additional financing, and we cannot assure you that such additional financing will be available to us on favorable terms when required, or at all.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November 2022 Senior Secured Credit Facility includes customary conditions to borrowing and covenants, including restrictions on our ability to incur liens, incur indebtedness, make or hold investments, execute certain change of control transactions, business combinations or other fundamental changes to the business, dispose of assets, make certain types of restricted payments or enter into certain related party transactions, subject to customary exceptions. In addition, the November 2022 Senior Secured Credit Facility contains financial covenants that require us to maintain a consolidated adjusted quick ratio of 1.25 to 1.00, as well as a minimum cash adjusted EBITDA, each tested on a quarterly basis. The November 2022 Senior Secured Credit Facility contains customary events of default relating to, among other things, payment defaults, breach of covenants, cross acceleration to material indebtedness, bankruptcy-related defaults, judgment defaults, and the occurrence of certain change of control events. Non-compliance with one or more of the covenants and restrictions or the occurrence of an event of default could result in the full or partial principal balance of the November 2022 Senior Secured Credit Facility becoming immediately due and payable and termination of the commitments. Our business may be adversely affected by these restrictions on our ability to operate our business.</w:t>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could decline significantly and rapidly.</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been and could continue to be subject to wide fluctuations in response to numerous factors in addition to the ones described in the preceding Risk Factors, many of which are beyond our control, including: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fluctuations in our results of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overall performance of the equity markets, the economy as a whole, and macroeconomic factors such as inflationary pressures;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financial projections we may provide to the public or our failure to meet these projections;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of securities analysts to initiate or maintain coverage of us, changes in financial estimates by any securities analysts who follow our company, or our failure to meet these estimates or the expectations of investors;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pricing of subscription plans to our platform;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actual or anticipated changes in our growth rate relative to that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anticipated future size or growth rate of our addressable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announcements of new products, or of acquisitions, strategic partnerships, joint ventures, or capital-raising activities or commitments, by us or by our competitors;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additions or departures of members of our board of directors, management, or key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 including those related to privacy, data protection, and security in the United States or globally;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lawsuits threatened or filed against us;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other events or factors, including bank failures, war, international tariffs, incidents of terrorism, or responses to these events;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health epidemics, such as influenza, and other highly communicable diseases or viruses;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sales, purchases, or expectations with respect to such transactions, of shares of our Class A common stock by us or our security holders, particularly by our founders, directors, executive officers, and principal stockholders, none of whom are subject to any contractual lock-up agreement or other contractual restrictions on transfer.</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For example, despite our revenue growing year over year, our stock price has previously experienced significant volatility due to general downturns and increased instability in the equity markets.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largest stockholder will have the ability to influence the outcome of director elections and other matters requiring stockholder approval.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Dustin Moskovitz, our co-founder, Chair, and former Chief Executive Officer, beneficially owns a significant percentage of our outstanding Class A common stock and Class B common stock, representing a majority of the voting power of our capital stock as of July 31, 2026.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dual class structure of our common stock has the effect of concentrating voting control with our founders,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Class B common stock has 10 votes per share, and our Class A common stock, which is the stock listed on the New York Stock Exchange (“NYSE”) and the Long-Term Stock Exchange (“LTSE”) has one vote per share. Our founders, directors, executive officers, and their affiliates hold a majority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 (x) September 21, 2030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cannot predict the effect our dual class structure may have on the trading price of our Class A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predict whether our dual class structure will result in a lower or more volatile trading price of our Class A common stock on the NYSE and the LTSE, in adverse publicity, or other adverse consequences. For example, certain index providers have announced restrictions on including companies with multiple-class share structures in certain of their indices. The FTSE Russell requires new constituents of its indices to have greater than 5% of the company’s voting rights in the hands of public stockholders. Under such policies, the dual class structure of our common stock may make us ineligible for inclusion in certain indices. As a result, mutual funds, exchange-traded funds, and other investment vehicles that attempt to passively track those indices may not invest in our Class A common stock if we are not included and the trading price of our Class A common stock could be adversely affected. Previously, S&amp;P Dow Jones also excluded companies utilizing dual or multi-class capital structures from its indices, including the S&amp;P 500, the S&amp;P MidCap 400, and the S&amp;P SmallCap 600, which together make up the S&amp;P Composite 1500. However, in April 2023, it reversed this policy and announced that companies with dual or multi-class capital structures will again be eligible for inclusion on its indices. We cannot be sure that this policy, or the policies of other indices, will not change further and make us ineligible for inclusion on indices in the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institutional investors and certain investment funds may also be precluded, reluctant or unwilling to invest in entities with multiple class structures due to a lack of ability to meaningfully influence corporate affairs and policies through voting. Such restrictions, reluctance and unwillingness may make our Class A common stock less attractive to investors and, as a result, the market price of our Class A common stock could be adversely affected.</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Sales of substantial amounts of our Class A common stock in the public markets, or the perception that sales might occur, could cause the trading price of our Class A common stock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security holders have rights, subject to some conditions, to require us to file registration statements for the public resale of the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also issue our capital stock or securities convertible into our capital stock from time to time in connection with a financing, acquisition, investments, or otherwise. Any such issuance could result in significant dilution to our existing stockholders and cause the trading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business and financial performance may differ from any projections that we disclose or any information that may be attributed to us by third parties.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implemented or that such program will enhance the long-term value of our share price.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2024, our board of directors authorized a stock repurchase program of up to $150 million of our outstanding Class A common stock. On May 30, 2025, our board of directors authorized the repurchase of an additional $100 million of the Company’s outstanding Class A common stock and removed the fixed duration of the program. On February 27, 2026, our board of directors authorized the repurchase of an additional $160 million of the Company’s outstanding Class A common stock. Repurchases are made on the open market, including via pre-set trading plans, in accordance with applicable securities laws. The program does not obligate us to acquire any particular amount of Class A common stock, and the repurchase program may be suspended or discontinued at any time at our discretion and we may modify our trading plan from time to time in accordance with securities laws. Although the program has been approved, there is no obligation for the Company to repurchase any specific dollar amount of stock.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existence of our stock repurchase program could affect the price of our stock and could potentially reduce the market liquidity for our stock. Although our stock repurchase program is intended to enhance long-term stockholder value, there is no assurance that it will do so because the market price of our common stock may decline below the levels at which we repurchase shares, and short-term stock price fluctuations could reduce the effectiveness of the program. Repurchasing our common stock reduces the amount of cash we have available to fund working capital, capital expenditures, strategic acquisitions or investments, other business opportunities, and other general corporate projects, and we may fail to realize the anticipated long-term stockholder value of any stock repurchase program.</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trading price and trading volume could decline if securities or industry analysts do not publish research about our business, or if they publish unfavorable research.</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assure you that any equity research analysts will adequately provide research coverage about our company and of our Class A common stock. A lack of adequate research coverage may harm the liquidity and trading price of our Class A common stock. To the extent equity research analysts do provide research coverage of our company and our Class A common stock, we will not have any control over the content and opinions included in their reports. The trading price of our Class A common stock could decline if one or more of these analysts downgrade our stock or publish inaccurate or unfavorable commentary or research. If one or more of these analysts cease coverage of our company, or fail to regularly publish reports on us, the demand for our Class A common stock could decrease, which in turn could cause our trading price or trading volume to decline.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may strain our resources, divert management’s attention, and affect our ability to attract and retain executive management and qualified board members.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public company, we are subject to the reporting requirements of the Securities Exchange Act of 1934, as amended (the “Exchange Act”), the listing standards of the NYSE and the LTSE,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have already hired additional employees and engaged outside consultants to assist us in complying with these requirements, we may need to increase this staffing in the future,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This uncertainty may be exacerbated by the recent change of administration at the federal level, the appointment of a new Chair of the Securities and Exchange Commission (“SEC”) and the ongoing reevaluation of regulatory priorities with respect to public companies, including changing regulatory and enforcement practices at the SEC and the national securities exchanges.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Being a public company that is subject to these new rules and regulations has made and will continue to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November 2022 Senior Secured Credit Facility contains restrictions on our ability to pay dividends. Accordingly, investors must rely on sales of their Class A common stock as the only way to realize any future gains, if any, on their investments.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Additional stock issuances could result in significant dilution to our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issue our capital stock or securities convertible into our capital stock from time to time in connection with a financing, acquisition, investments, or otherwise. Additional issuances of our stock will result in dilution to existing holders of our stock. Also, the exercise of stock options to purchase our stock and the settlement of RSUs will result in further dilution. The amount of dilution could be substantial depending upon the size of the issuance or exercise. For example, on September 7, 2022, we issued and sold 19,273,127 shares of our Class A common stock to our co-founder, Chair, and former Chief Executive Officer, Dustin Moskovitz, in a private placement transaction, at a purchase price of $18.16 per share, based on the closing trading price of the Company’s Class A common stock on September 2, 2022, for aggregate gross proceeds of approximately $350 million. Any future such transactions, notes or issuances could result in substantial dilution to our existing stockholders and cause the trading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classified board of directors so that not all members of our board of directors are elected at one time;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our board of directors to determine the number of directors and to fill any vacancies and newly created directorships;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requirement that our directors may only be removed for cause;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prohibition on cumulative voting for directors;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requirement of a super-majority to amend some provisions in our restated certificate of incorporation and amended and restated bylaws;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authorization of the issuance of “blank check” preferred stock that our board of directors could use to implement a stockholder rights plan;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an inability of our stockholders to call special meetings of stockholders;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 prohibition on stockholder actions by written consent, thereby requiring that all stockholder actions be taken at a meeting of our stockholders.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prevent having to litigate claims in multiple jurisdictions and the threat of inconsistent or contrary rulings by different courts, among other considerations, our restated certificate of incorporation provides that the federal district courts of the United States of America will be the exclusive forum for resolving any complaint asserting a cause of action arising under the Securities Act.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instances,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Financial Accounting Standards Board (“FASB”),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generally accepted accounting principles (“GAAP”), we believe certain non-GAAP measures may be useful in evaluating our operating performance. We present certain non-GAAP financial measures in this Quarterly Report on Form 10-Q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 if we are unable to continue to meet these requirements, we may not be able to remain listed on the NYSE or the LTSE. We are required to provide an annual management report on the effectiveness of our internal control over financial reporting.</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required to formally attest to the effectiveness of our internal control over financial reporting and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We may face exposure to foreign currency exchange rate fluctuations.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historically transacted in U.S. dollars with the majority of our customers and vendors, we have also transacted in foreign currencies and for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360"/>
        <w:jc w:val="both"/>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amounts reported in our condensed consolidated financial statements. We base our estimates on historical experience and on various other assumptions that we believe to be reasonable under the circumstances, as provided in the section titled </w:t>
      </w:r>
      <w:r>
        <w:rPr>
          <w:rFonts w:ascii="Times New Roman;serif" w:hAnsi="Times New Roman;serif"/>
          <w:b w:val="false"/>
          <w:i/>
          <w:color w:val="000000"/>
          <w:sz w:val="20"/>
        </w:rPr>
        <w:t>Item 2.</w:t>
      </w:r>
      <w:r>
        <w:rPr>
          <w:color w:val="000000"/>
        </w:rPr>
        <w:t xml:space="preserve">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The results of these estimates form the basis for making judgments about the carrying values of assets, liabilities, and equity, and the amount of revenues and expenses that are not readily apparent from other sources. Significant assumptions and estimates used in preparing our condensed consolidated financial statements include those related to the useful lives and carrying values of long-lived assets,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pStyle w:val="TextBody"/>
        <w:bidi w:val="0"/>
        <w:spacing w:lineRule="auto" w:line="288" w:before="120" w:after="180"/>
        <w:jc w:val="left"/>
        <w:rPr>
          <w:rFonts w:ascii="Times New Roman;serif" w:hAnsi="Times New Roman;serif"/>
          <w:b/>
          <w:i/>
          <w:color w:val="000000"/>
          <w:sz w:val="20"/>
        </w:rPr>
      </w:pPr>
      <w:r>
        <w:rPr>
          <w:rFonts w:ascii="Times New Roman;serif" w:hAnsi="Times New Roman;serif"/>
          <w:b/>
          <w:i/>
          <w:color w:val="000000"/>
          <w:sz w:val="20"/>
        </w:rPr>
        <w:t>Catastrophic events, health epidemics, or geopolitical conflicts may disrupt our business.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Natural disasters or other catastrophic events may cause damage or disruption to our operations, international commerce, and the global economy, and thus could harm our business. In particular, health crises and international conflicts, including the reactions of governments, markets, and the general public, may result in a number of adverse consequences for our business, operations, and results of operations, both worldwide and in our offices in affected regions, many of which are beyond our control. </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our board of directors authorized a stock repurchase program of up to $150.0 million of our outstanding Class A common stock. On May 30, 2025, our board of directors amended the Repurchase Program to remove the expiration date of the Repurchase Program and authorized the repurchase of an additional $100.0 million of the Company’s outstanding Class A common stock pursuant to the Repurchase Program. On February 27, 2026, our board of directors amended the Repurchase Program to authorize the repurchase of an additional $160.0 million of the Company’s outstanding Class A common stock pursuant to the Repurchase Program. As of July 31, 2026, $102.9 million remained available for future stock repurchases under the Repurchase Program. The Repurchase Program, as amended, has no specified expiration date and will continue until the funds committed to the Repurchase Program are exhausted or such authorization is revoked by our board of directors.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our stock repurchase activity under our authorized stock repurchase program for the three months ended July 31, 2026 (in thousands, except for per share data): </w:t>
      </w:r>
    </w:p>
    <w:tbl>
      <w:tblPr>
        <w:tblW w:w="10205" w:type="dxa"/>
        <w:jc w:val="left"/>
        <w:tblInd w:w="0" w:type="dxa"/>
        <w:tblLayout w:type="fixed"/>
        <w:tblCellMar>
          <w:top w:w="28" w:type="dxa"/>
          <w:left w:w="28" w:type="dxa"/>
          <w:bottom w:w="28" w:type="dxa"/>
          <w:right w:w="28" w:type="dxa"/>
        </w:tblCellMar>
      </w:tblPr>
      <w:tblGrid>
        <w:gridCol w:w="310"/>
        <w:gridCol w:w="273"/>
        <w:gridCol w:w="275"/>
        <w:gridCol w:w="502"/>
        <w:gridCol w:w="471"/>
        <w:gridCol w:w="472"/>
        <w:gridCol w:w="109"/>
        <w:gridCol w:w="109"/>
        <w:gridCol w:w="109"/>
        <w:gridCol w:w="326"/>
        <w:gridCol w:w="790"/>
        <w:gridCol w:w="168"/>
        <w:gridCol w:w="109"/>
        <w:gridCol w:w="109"/>
        <w:gridCol w:w="109"/>
        <w:gridCol w:w="871"/>
        <w:gridCol w:w="867"/>
        <w:gridCol w:w="869"/>
        <w:gridCol w:w="109"/>
        <w:gridCol w:w="109"/>
        <w:gridCol w:w="109"/>
        <w:gridCol w:w="535"/>
        <w:gridCol w:w="2097"/>
        <w:gridCol w:w="398"/>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 Dollar Value of Shares that May Still Be Purchased Under the Plans of Programs</w:t>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125,679 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105,903 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 July 31</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8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102,914 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7,445 </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documents listed in the Exhibit Index of this Quarterly Report on Form 10-Q are incorporated by reference or are filed with this Quarterly Report on Form 10-Q, in each case as indicated therein (numbered in accordance with Item 601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320"/>
        <w:gridCol w:w="283"/>
        <w:gridCol w:w="284"/>
        <w:gridCol w:w="109"/>
        <w:gridCol w:w="109"/>
        <w:gridCol w:w="109"/>
        <w:gridCol w:w="1604"/>
        <w:gridCol w:w="1512"/>
        <w:gridCol w:w="1529"/>
        <w:gridCol w:w="109"/>
        <w:gridCol w:w="109"/>
        <w:gridCol w:w="109"/>
        <w:gridCol w:w="170"/>
        <w:gridCol w:w="170"/>
        <w:gridCol w:w="171"/>
        <w:gridCol w:w="109"/>
        <w:gridCol w:w="109"/>
        <w:gridCol w:w="109"/>
        <w:gridCol w:w="263"/>
        <w:gridCol w:w="263"/>
        <w:gridCol w:w="264"/>
        <w:gridCol w:w="109"/>
        <w:gridCol w:w="109"/>
        <w:gridCol w:w="109"/>
        <w:gridCol w:w="210"/>
        <w:gridCol w:w="210"/>
        <w:gridCol w:w="211"/>
        <w:gridCol w:w="109"/>
        <w:gridCol w:w="109"/>
        <w:gridCol w:w="109"/>
        <w:gridCol w:w="337"/>
        <w:gridCol w:w="337"/>
        <w:gridCol w:w="432"/>
      </w:tblGrid>
      <w:tr>
        <w:trPr/>
        <w:tc>
          <w:tcPr>
            <w:tcW w:w="3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16"/>
                  <w:u w:val="single"/>
                </w:rPr>
                <w:t>Restated Certificate of Incorporation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21, 2020</w:t>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Amended and Restated Bylaws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12, 2023</w:t>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Third Amendment to Lease Agreement, by and between Swig 631 Folsom, LLC, SIC Holdings, LLC, and the Registrant, dated May 26,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001-39495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28, 2026</w:t>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1-asanaxinsidertr.htm">
              <w:r>
                <w:rPr>
                  <w:rStyle w:val="InternetLink"/>
                  <w:rFonts w:ascii="Times New Roman;serif" w:hAnsi="Times New Roman;serif"/>
                  <w:b w:val="false"/>
                  <w:color w:val="0000FF"/>
                  <w:sz w:val="16"/>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ana-q2202710xqxexhibit311.htm">
              <w:r>
                <w:rPr>
                  <w:rStyle w:val="InternetLink"/>
                  <w:rFonts w:ascii="Times New Roman;serif" w:hAnsi="Times New Roman;serif"/>
                  <w:b w:val="false"/>
                  <w:color w:val="0000FF"/>
                  <w:sz w:val="16"/>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ana-q2202710xqxexhibit312.htm">
              <w:r>
                <w:rPr>
                  <w:rStyle w:val="InternetLink"/>
                  <w:rFonts w:ascii="Times New Roman;serif" w:hAnsi="Times New Roman;serif"/>
                  <w:b w:val="false"/>
                  <w:color w:val="0000FF"/>
                  <w:sz w:val="16"/>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ana-q2202710xqxexhibit321.htm">
              <w:r>
                <w:rPr>
                  <w:rStyle w:val="InternetLink"/>
                  <w:rFonts w:ascii="Times New Roman;serif" w:hAnsi="Times New Roman;serif"/>
                  <w:b w:val="false"/>
                  <w:color w:val="0000FF"/>
                  <w:sz w:val="16"/>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sana-q2202710xqxexhibit322.htm">
              <w:r>
                <w:rPr>
                  <w:rStyle w:val="InternetLink"/>
                  <w:rFonts w:ascii="Times New Roman;serif" w:hAnsi="Times New Roman;serif"/>
                  <w:b w:val="false"/>
                  <w:color w:val="0000FF"/>
                  <w:sz w:val="16"/>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cover page from the Registrant’s Quarterly Report on Form 10-Q for the quarter ended July 31, 2026, has been formatted in Inline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Indicates a management contract or compensatory plan or arrangement.</w:t>
      </w:r>
    </w:p>
    <w:p>
      <w:pPr>
        <w:pStyle w:val="TextBody"/>
        <w:bidi w:val="0"/>
        <w:spacing w:lineRule="auto" w:line="288" w:before="0" w:after="0"/>
        <w:ind w:left="0" w:right="0" w:hanging="360"/>
        <w:jc w:val="both"/>
        <w:rPr/>
      </w:pPr>
      <w:r>
        <w:rPr>
          <w:color w:val="000000"/>
        </w:rPr>
        <w:t>†    </w:t>
      </w:r>
      <w:r>
        <w:rPr>
          <w:rFonts w:ascii="Times New Roman;serif" w:hAnsi="Times New Roman;serif"/>
          <w:b w:val="false"/>
          <w:color w:val="000000"/>
          <w:sz w:val="18"/>
        </w:rPr>
        <w:t>The certifications attached as Exhibits 32.1 and 32.2 that accompany this Quarterly Report on Form 10-Q are not deemed filed with the SEC and are not to be incorporated by reference into any filing of the Registrant under the Securities Act of 1933, as amended, or the Exchange Act, whether made before or after the date of this Quarterly Report on Form 10-Q, irrespective of any general incorporation language contained in such filing</w:t>
      </w:r>
      <w:r>
        <w:rPr>
          <w:rFonts w:ascii="Times New Roman;serif" w:hAnsi="Times New Roman;serif"/>
          <w:b w:val="false"/>
          <w:color w:val="000000"/>
          <w:sz w:val="20"/>
        </w:rPr>
        <w:t>.</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8017" w:type="dxa"/>
        <w:jc w:val="left"/>
        <w:tblInd w:w="0" w:type="dxa"/>
        <w:tblLayout w:type="fixed"/>
        <w:tblCellMar>
          <w:top w:w="28" w:type="dxa"/>
          <w:left w:w="28" w:type="dxa"/>
          <w:bottom w:w="28" w:type="dxa"/>
          <w:right w:w="28" w:type="dxa"/>
        </w:tblCellMar>
      </w:tblPr>
      <w:tblGrid>
        <w:gridCol w:w="764"/>
        <w:gridCol w:w="673"/>
        <w:gridCol w:w="677"/>
        <w:gridCol w:w="198"/>
        <w:gridCol w:w="198"/>
        <w:gridCol w:w="198"/>
        <w:gridCol w:w="1547"/>
        <w:gridCol w:w="1547"/>
        <w:gridCol w:w="221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ASANA,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Daniel Rogers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Daniel Rogers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Aziz Megji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Aziz Megji</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33500" cy="257175"/>
            <wp:effectExtent l="0" t="0" r="0" b="0"/>
            <wp:docPr id="8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 descr=""/>
                    <pic:cNvPicPr>
                      <a:picLocks noChangeAspect="1" noChangeArrowheads="1"/>
                    </pic:cNvPicPr>
                  </pic:nvPicPr>
                  <pic:blipFill>
                    <a:blip r:embed="rId5"/>
                    <a:stretch>
                      <a:fillRect/>
                    </a:stretch>
                  </pic:blipFill>
                  <pic:spPr bwMode="auto">
                    <a:xfrm>
                      <a:off x="0" y="0"/>
                      <a:ext cx="1333500" cy="257175"/>
                    </a:xfrm>
                    <a:prstGeom prst="rect">
                      <a:avLst/>
                    </a:prstGeom>
                  </pic:spPr>
                </pic:pic>
              </a:graphicData>
            </a:graphic>
          </wp:inline>
        </w:drawing>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19.1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ASANA,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(Last Amended June 17, 2026)</w:t>
      </w:r>
    </w:p>
    <w:p>
      <w:pPr>
        <w:pStyle w:val="TextBody"/>
        <w:bidi w:val="0"/>
        <w:spacing w:lineRule="auto" w:line="288" w:before="240" w:after="283"/>
        <w:jc w:val="both"/>
        <w:rPr/>
      </w:pPr>
      <w:r>
        <w:rPr>
          <w:rFonts w:ascii="Times New Roman;serif" w:hAnsi="Times New Roman;serif"/>
          <w:b w:val="false"/>
          <w:color w:val="000000"/>
          <w:sz w:val="24"/>
        </w:rPr>
        <w:t>The Board of Directors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of Asana, Inc., a Delaware corporation (“</w:t>
      </w:r>
      <w:r>
        <w:rPr>
          <w:rFonts w:ascii="Times New Roman;serif" w:hAnsi="Times New Roman;serif"/>
          <w:b/>
          <w:i/>
          <w:color w:val="000000"/>
          <w:sz w:val="24"/>
        </w:rPr>
        <w:t>Asana</w:t>
      </w:r>
      <w:r>
        <w:rPr>
          <w:color w:val="000000"/>
        </w:rPr>
        <w:t>”</w:t>
      </w:r>
      <w:r>
        <w:rPr>
          <w:rFonts w:ascii="Times New Roman;serif" w:hAnsi="Times New Roman;serif"/>
          <w:b w:val="false"/>
          <w:color w:val="000000"/>
          <w:sz w:val="24"/>
        </w:rPr>
        <w:t>), has adopted this Insider Trading Policy (this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 in order to take an active role in the prevention of insider trading violations by our officers, directors, employees, and other related individuals.</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A.Why do we have this Policy?</w:t>
      </w:r>
    </w:p>
    <w:p>
      <w:pPr>
        <w:pStyle w:val="TextBody"/>
        <w:bidi w:val="0"/>
        <w:spacing w:lineRule="auto" w:line="288" w:before="240" w:after="283"/>
        <w:jc w:val="both"/>
        <w:rPr/>
      </w:pPr>
      <w:r>
        <w:rPr>
          <w:rFonts w:ascii="Times New Roman;serif" w:hAnsi="Times New Roman;serif"/>
          <w:b w:val="false"/>
          <w:color w:val="000000"/>
          <w:sz w:val="24"/>
        </w:rPr>
        <w:t xml:space="preserve">On a regular basis we provide you, our officers, directors, employees and other related individuals, with confidential information regarding many aspects of our business. Under federal and state securities laws, it is illegal to trade in the securities of a company while in possession of material nonpublic information (as defined in the section titled </w:t>
      </w:r>
      <w:r>
        <w:rPr>
          <w:color w:val="000000"/>
        </w:rPr>
        <w:t>“</w:t>
      </w:r>
      <w:r>
        <w:rPr>
          <w:rFonts w:ascii="Times New Roman;serif" w:hAnsi="Times New Roman;serif"/>
          <w:b w:val="false"/>
          <w:i/>
          <w:color w:val="000000"/>
          <w:sz w:val="24"/>
        </w:rPr>
        <w:t>What does ‘Material Nonpublic Information’ mean?” below)</w:t>
      </w:r>
      <w:r>
        <w:rPr>
          <w:color w:val="000000"/>
        </w:rPr>
        <w:t xml:space="preserve"> </w:t>
      </w:r>
      <w:r>
        <w:rPr>
          <w:rFonts w:ascii="Times New Roman;serif" w:hAnsi="Times New Roman;serif"/>
          <w:b w:val="false"/>
          <w:color w:val="000000"/>
          <w:sz w:val="24"/>
        </w:rPr>
        <w:t xml:space="preserve">about that company. Thus, because you will have knowledge of specific confidential information that is not disclosed outside of Asana and which will constitute material nonpublic information, your trading in our securities could constitute “insider trading” and violate the law, as could “tipping” (giving material nonpublic information to) others who then trade on the basis of that information. The consequences of insider trading or the tipping of material nonpublic information can be severe. In fact, the person violating the laws, as well as Asana and our individual directors, officers and other supervisory personnel, may be subject to criminal and civil lawsuits and financial penalties in connection with a violation of the insider trading laws.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Nonpublic information about Asana is subject to your Confidential Information and Invention Assignment Agreement with Asana and is not to be used or disclosed outside of Asana, except as necessary to perform your job duties. Unauthorized disclosure or use of nonpublic information, including misuse in securities trading, will subject you to disciplinary action, up to and including termination of employment. We have adopted this Policy to comply with the laws governing (i) trading in our common stock while in possession of material nonpublic information concerning Asana and (ii) tipping or disclosing material nonpublic information to outsiders, as well as to prevent the appearance of improper trading or tipping. We reserve the right to prohibit any transaction from being completed to enforce compliance with this Policy.</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B.What is our policy on Insider Trading?</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Do not trade on material nonpublic information</w:t>
      </w:r>
    </w:p>
    <w:p>
      <w:pPr>
        <w:pStyle w:val="TextBody"/>
        <w:bidi w:val="0"/>
        <w:spacing w:lineRule="auto" w:line="288" w:before="240" w:after="283"/>
        <w:jc w:val="both"/>
        <w:rPr/>
      </w:pPr>
      <w:r>
        <w:rPr>
          <w:rFonts w:ascii="Times New Roman;serif" w:hAnsi="Times New Roman;serif"/>
          <w:b w:val="false"/>
          <w:color w:val="000000"/>
          <w:sz w:val="24"/>
        </w:rPr>
        <w:t>Whether or not the trading window (as described below) is open and except as discussed in the section titled “</w:t>
      </w:r>
      <w:r>
        <w:rPr>
          <w:rFonts w:ascii="Times New Roman;serif" w:hAnsi="Times New Roman;serif"/>
          <w:b w:val="false"/>
          <w:i/>
          <w:color w:val="000000"/>
          <w:sz w:val="24"/>
        </w:rPr>
        <w:t>Are there any exceptions to this Policy?</w:t>
      </w:r>
      <w:r>
        <w:rPr>
          <w:color w:val="000000"/>
        </w:rPr>
        <w:t xml:space="preserve">” </w:t>
      </w:r>
      <w:r>
        <w:rPr>
          <w:rFonts w:ascii="Times New Roman;serif" w:hAnsi="Times New Roman;serif"/>
          <w:b w:val="false"/>
          <w:color w:val="000000"/>
          <w:sz w:val="24"/>
        </w:rPr>
        <w:t xml:space="preserve">below, you may not, directly or indirectly through others, engage in any transaction involving Asana securities </w:t>
      </w:r>
      <w:r>
        <w:rPr>
          <w:rFonts w:ascii="Times New Roman;serif" w:hAnsi="Times New Roman;serif"/>
          <w:b w:val="false"/>
          <w:i/>
          <w:color w:val="000000"/>
          <w:sz w:val="24"/>
        </w:rPr>
        <w:t>while you are aware of</w:t>
      </w:r>
      <w:r>
        <w:rPr>
          <w:color w:val="000000"/>
        </w:rPr>
        <w:t xml:space="preserve"> </w:t>
      </w:r>
      <w:r>
        <w:rPr>
          <w:rFonts w:ascii="Times New Roman;serif" w:hAnsi="Times New Roman;serif"/>
          <w:b w:val="false"/>
          <w:color w:val="000000"/>
          <w:sz w:val="24"/>
        </w:rPr>
        <w:t>material nonpublic information about Asana. It is not an excuse that you did not “use” the information in deciding whether or not to engage in the transaction.</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1155"/>
                <wp:effectExtent l="0" t="0" r="0" b="0"/>
                <wp:wrapNone/>
                <wp:docPr id="89" name="Frame8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Similarly, you may not engage in transactions involving the securities of any other company if you are aware of material nonpublic information about that company. For example, you may be involved in a proposed transaction involving a prospective business relationship or transaction with another company. If information about that transaction constitutes material nonpublic information for that other company, you are prohibited from engaging in transactions involving the securities of that other company. It is important to note that “materiality” is different for different companies. Information that is not material to Asana may be material to another company.</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Do not disclose material nonpublic information </w:t>
      </w:r>
    </w:p>
    <w:p>
      <w:pPr>
        <w:pStyle w:val="TextBody"/>
        <w:bidi w:val="0"/>
        <w:spacing w:lineRule="auto" w:line="288" w:before="240" w:after="283"/>
        <w:jc w:val="both"/>
        <w:rPr/>
      </w:pPr>
      <w:r>
        <w:rPr>
          <w:rFonts w:ascii="Times New Roman;serif" w:hAnsi="Times New Roman;serif"/>
          <w:b w:val="false"/>
          <w:color w:val="000000"/>
          <w:sz w:val="24"/>
        </w:rPr>
        <w:t>You may not disclose material nonpublic information concerning Asana or any other company to friends, family members or any other person or entity not authorized to receive such information, except directly to the Securities and Exchange Commission (the “</w:t>
      </w:r>
      <w:r>
        <w:rPr>
          <w:rFonts w:ascii="Times New Roman;serif" w:hAnsi="Times New Roman;serif"/>
          <w:b/>
          <w:i/>
          <w:color w:val="000000"/>
          <w:sz w:val="24"/>
        </w:rPr>
        <w:t>SEC</w:t>
      </w:r>
      <w:r>
        <w:rPr>
          <w:color w:val="000000"/>
        </w:rPr>
        <w:t>”</w:t>
      </w:r>
      <w:r>
        <w:rPr>
          <w:rFonts w:ascii="Times New Roman;serif" w:hAnsi="Times New Roman;serif"/>
          <w:b w:val="false"/>
          <w:color w:val="000000"/>
          <w:sz w:val="24"/>
        </w:rPr>
        <w:t xml:space="preserve">) in compliance with Asana’s Ethics and Reporting Policy. Any nonpublic information you acquire in the course of your service with Asana may only be used for legitimate business purposes of Asana. In addition, you are required to handle the nonpublic information of others in accordance with the terms of any relevant nondisclosure agreements, including your Confidential Information and Invention Assignment Agreement with Asana, and to limit your use of the nonpublic information to the purpose for which it was disclosed.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Even if you are not directly disclosing material nonpublic information, you may not make recommendations or express opinions about securities of another company, Asana or otherwise, based on material nonpublic information. In particular, you may not participate, in any manner other than passive observation, in any Internet message board or social media platform that is related to trading in our securities. You are prohibited from engaging in these actions whether or not you derive any profit or personal benefit from doing so. You should know that third parties are known to contact employees of companies to obtain information about Asana under false pretexts.</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Do not respond to outside inquiries for information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you receive an inquiry for information from someone outside of Asana, such as a stock analyst or media personnel, you should refer the inquiry to our General Counsel or, if our General Counsel is unavailable, our Chief Financial Officer. Responding to a request yourself is a violation of this Policy and, in some circumstances, may lead to disciplinary action, up to and including termination, and may also be a violation of the law. </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Take personal responsibility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ultimate responsibility for complying with this Policy and applicable laws rests with you. As we request you do in all aspects of your work with Asana, please use your best judgment at all times and consult with the General Counsel and/or your legal and financial advisors, in confidence, if you have questions.</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C.Who does this Policy apply to?</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1155"/>
                <wp:effectExtent l="0" t="0" r="0" b="0"/>
                <wp:wrapNone/>
                <wp:docPr id="90" name="Frame8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both"/>
        <w:rPr>
          <w:rFonts w:ascii="Times New Roman;serif" w:hAnsi="Times New Roman;serif"/>
          <w:b w:val="false"/>
          <w:color w:val="000000"/>
          <w:sz w:val="24"/>
        </w:rPr>
      </w:pPr>
      <w:r>
        <w:rPr>
          <w:rFonts w:ascii="Times New Roman;serif" w:hAnsi="Times New Roman;serif"/>
          <w:b w:val="false"/>
          <w:color w:val="000000"/>
          <w:sz w:val="24"/>
        </w:rPr>
        <w:t>This Policy applies to all directors, officers, employees and agents (such as consultants and independent contractors) of Asana upon the commencement of their relationship with Asana.</w:t>
      </w:r>
    </w:p>
    <w:p>
      <w:pPr>
        <w:pStyle w:val="TextBody"/>
        <w:bidi w:val="0"/>
        <w:spacing w:lineRule="auto" w:line="288" w:before="220" w:after="283"/>
        <w:jc w:val="both"/>
        <w:rPr/>
      </w:pPr>
      <w:r>
        <w:rPr>
          <w:rFonts w:ascii="Times New Roman;serif" w:hAnsi="Times New Roman;serif"/>
          <w:b w:val="false"/>
          <w:color w:val="000000"/>
          <w:sz w:val="24"/>
        </w:rPr>
        <w:t>References in this Policy to “</w:t>
      </w:r>
      <w:r>
        <w:rPr>
          <w:rFonts w:ascii="Times New Roman;serif" w:hAnsi="Times New Roman;serif"/>
          <w:b/>
          <w:i/>
          <w:color w:val="000000"/>
          <w:sz w:val="24"/>
        </w:rPr>
        <w:t>you</w:t>
      </w:r>
      <w:r>
        <w:rPr>
          <w:color w:val="000000"/>
        </w:rPr>
        <w:t xml:space="preserve">” </w:t>
      </w:r>
      <w:r>
        <w:rPr>
          <w:rFonts w:ascii="Times New Roman;serif" w:hAnsi="Times New Roman;serif"/>
          <w:b w:val="false"/>
          <w:color w:val="000000"/>
          <w:sz w:val="24"/>
        </w:rPr>
        <w:t xml:space="preserve">(as well as general references to directors, officers, employees and agents of Asana) should also be understood to include, to the extent applicable, members of your immediate family, persons with whom you share a household, your dependents and any other individuals or entities whose transactions in securities you influence, direct or control (including, for example, a venture or investment fund, if you influence, direct or control transactions by the fund). You are responsible for making sure that these individuals and entities comply with this Policy. This Policy is confidential and is subject to your Confidential Information and Invention Assignment Agreement with Asana. Nonetheless, you may share this Policy with your spouse or domestic partner, financial planner, tax advisor, or attorney on a need-to-know basis, provided the confidentiality obligations are maintained (i.e., those persons do not use this Policy in any manner other than to advise you, and they do not further disseminate this Policy). </w:t>
      </w:r>
    </w:p>
    <w:p>
      <w:pPr>
        <w:pStyle w:val="TextBody"/>
        <w:bidi w:val="0"/>
        <w:spacing w:lineRule="auto" w:line="288" w:before="220" w:after="283"/>
        <w:jc w:val="both"/>
        <w:rPr/>
      </w:pPr>
      <w:r>
        <w:rPr>
          <w:rFonts w:ascii="Times New Roman;serif" w:hAnsi="Times New Roman;serif"/>
          <w:b w:val="false"/>
          <w:color w:val="000000"/>
          <w:sz w:val="24"/>
        </w:rPr>
        <w:t xml:space="preserve">You are expected to comply with this Policy as long as you hold our securities or possess any material nonpublic information about Asana. This means that, even after you cease to be affiliated with Asana, you must continue to abide by the applicable trading restrictions until you no longer have material nonpublic information. </w:t>
      </w:r>
      <w:r>
        <w:rPr>
          <w:rFonts w:ascii="Times New Roman;serif" w:hAnsi="Times New Roman;serif"/>
          <w:b w:val="false"/>
          <w:i/>
          <w:color w:val="000000"/>
          <w:sz w:val="24"/>
        </w:rPr>
        <w:t>In addition, if you are subject to a closed trading window under this Policy at the time you cease to be affiliated with Asana, you are expected to abide by the applicable trading restrictions until at least the end of the relevant closed trading window.</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D.What types of transactions are covered by this Policy?</w:t>
      </w:r>
    </w:p>
    <w:p>
      <w:pPr>
        <w:pStyle w:val="TextBody"/>
        <w:bidi w:val="0"/>
        <w:spacing w:lineRule="auto" w:line="288" w:before="220" w:after="283"/>
        <w:jc w:val="both"/>
        <w:rPr/>
      </w:pPr>
      <w:r>
        <w:rPr>
          <w:rFonts w:ascii="Times New Roman;serif" w:hAnsi="Times New Roman;serif"/>
          <w:b w:val="false"/>
          <w:color w:val="000000"/>
          <w:sz w:val="24"/>
        </w:rPr>
        <w:t>This Policy applies to all transactions involving our securities. This Policy therefore applies to purchases, sales and other transfers of our common stock, options, restricted stock units, warrants, debt securities and other securities. This Policy also applies to any arrangements that affect economic exposure to changes in the prices of these securities. These arrangements may include, among other things, transactions in derivative securities (such as exchange-traded put or call options), hedging transactions, short sales and certain decisions with respect to participation in benefit plans. This Policy also applies to any offers with respect to the transactions discussed above. Although there are limited exceptions to this Policy (described in “</w:t>
      </w:r>
      <w:r>
        <w:rPr>
          <w:rFonts w:ascii="Times New Roman;serif" w:hAnsi="Times New Roman;serif"/>
          <w:b w:val="false"/>
          <w:i/>
          <w:color w:val="000000"/>
          <w:sz w:val="24"/>
        </w:rPr>
        <w:t>Are there any exceptions to this Policy?</w:t>
      </w:r>
      <w:r>
        <w:rPr>
          <w:color w:val="000000"/>
        </w:rPr>
        <w:t xml:space="preserve">” </w:t>
      </w:r>
      <w:r>
        <w:rPr>
          <w:rFonts w:ascii="Times New Roman;serif" w:hAnsi="Times New Roman;serif"/>
          <w:b w:val="false"/>
          <w:color w:val="000000"/>
          <w:sz w:val="24"/>
        </w:rPr>
        <w:t>below), please note that there are no exceptions from insider trading laws or this Policy based on the size of the transaction (</w:t>
      </w:r>
      <w:r>
        <w:rPr>
          <w:rFonts w:ascii="Times New Roman;serif" w:hAnsi="Times New Roman;serif"/>
          <w:b w:val="false"/>
          <w:i/>
          <w:color w:val="000000"/>
          <w:sz w:val="24"/>
        </w:rPr>
        <w:t>e.g.</w:t>
      </w:r>
      <w:r>
        <w:rPr>
          <w:rFonts w:ascii="Times New Roman;serif" w:hAnsi="Times New Roman;serif"/>
          <w:b w:val="false"/>
          <w:color w:val="000000"/>
          <w:sz w:val="24"/>
        </w:rPr>
        <w:t xml:space="preserve">, this policy applies whether a trade involves one or 10,000 shares of our common stock). </w:t>
      </w:r>
    </w:p>
    <w:p>
      <w:pPr>
        <w:pStyle w:val="TextBody"/>
        <w:bidi w:val="0"/>
        <w:spacing w:lineRule="auto" w:line="288" w:before="2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If you engage in gambling or participate in prediction markets (platforms that allow betting on the outcome of real-world events, such as elections, sports, award shows, economic trends, and corporate announcements and developments), you may not participate, bet, or recommend betting, with respect to anything related to Asana or on the basis of information that you have acquired because of your relationship to or role at Asana, regardless of whether you are in possession of nonpublic information. This prohibition helps protect you and Asana from the risks associated with prediction markets and ensures compliance with confidentiality obligations that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1155"/>
                <wp:effectExtent l="0" t="0" r="0" b="0"/>
                <wp:wrapNone/>
                <wp:docPr id="91" name="Frame9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both"/>
        <w:rPr>
          <w:rFonts w:ascii="Times New Roman;serif" w:hAnsi="Times New Roman;serif"/>
          <w:b w:val="false"/>
          <w:color w:val="000000"/>
          <w:sz w:val="24"/>
        </w:rPr>
      </w:pPr>
      <w:r>
        <w:rPr>
          <w:rFonts w:ascii="Times New Roman;serif" w:hAnsi="Times New Roman;serif"/>
          <w:b w:val="false"/>
          <w:color w:val="000000"/>
          <w:sz w:val="24"/>
        </w:rPr>
        <w:t>you have to Asana. Please see our Code of Conduct and Ethics for more information about prediction market participation.</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Transactions that are Strictly Prohibited or Require Special Consideration</w:t>
      </w:r>
    </w:p>
    <w:p>
      <w:pPr>
        <w:pStyle w:val="TextBody"/>
        <w:bidi w:val="0"/>
        <w:spacing w:lineRule="auto" w:line="288" w:before="240" w:after="283"/>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Short Sales</w:t>
      </w:r>
      <w:r>
        <w:rPr>
          <w:rFonts w:ascii="Times New Roman;serif" w:hAnsi="Times New Roman;serif"/>
          <w:b w:val="false"/>
          <w:color w:val="000000"/>
          <w:sz w:val="24"/>
        </w:rPr>
        <w:t>. You may not engage in short sales (i.e.</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the sale of a security that must be borrowed to make delivery) or “sell short against the box” (i.e.</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sell with a delayed delivery) if such sales involve our securities. Short sales may signal to the market possible bad news about Asana or a general lack of confidence in our prospects and an expectation that the value of our securities will decline. </w:t>
      </w:r>
    </w:p>
    <w:p>
      <w:pPr>
        <w:pStyle w:val="TextBody"/>
        <w:bidi w:val="0"/>
        <w:spacing w:lineRule="auto" w:line="288" w:before="240" w:after="283"/>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Derivative or Hedging Transactions</w:t>
      </w:r>
      <w:r>
        <w:rPr>
          <w:rFonts w:ascii="Times New Roman;serif" w:hAnsi="Times New Roman;serif"/>
          <w:b w:val="false"/>
          <w:color w:val="000000"/>
          <w:sz w:val="24"/>
        </w:rPr>
        <w:t xml:space="preserve">. You may not engage in derivative securities or hedging transactions. You may not trade in publicly-traded options, such as puts and calls, and other derivative securities with respect to our securities (other than stock options and other compensatory equity awards issued to you by Asana). This includes any hedging or similar transactions designed to decrease the risks associated with holding our common stock. </w:t>
      </w:r>
    </w:p>
    <w:p>
      <w:pPr>
        <w:pStyle w:val="TextBody"/>
        <w:bidi w:val="0"/>
        <w:spacing w:lineRule="auto" w:line="288" w:before="240" w:after="283"/>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Collateral</w:t>
      </w:r>
      <w:r>
        <w:rPr>
          <w:rFonts w:ascii="Times New Roman;serif" w:hAnsi="Times New Roman;serif"/>
          <w:b w:val="false"/>
          <w:color w:val="000000"/>
          <w:sz w:val="24"/>
        </w:rPr>
        <w:t xml:space="preserve">. You may not use our securities as collateral for loans. You may not pledge our securities as collateral for loans. </w:t>
      </w:r>
    </w:p>
    <w:p>
      <w:pPr>
        <w:pStyle w:val="TextBody"/>
        <w:bidi w:val="0"/>
        <w:spacing w:lineRule="auto" w:line="288" w:before="240" w:after="283"/>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Margin Accounts</w:t>
      </w:r>
      <w:r>
        <w:rPr>
          <w:rFonts w:ascii="Times New Roman;serif" w:hAnsi="Times New Roman;serif"/>
          <w:b w:val="false"/>
          <w:color w:val="000000"/>
          <w:sz w:val="24"/>
        </w:rPr>
        <w:t>. You may not hold our common stock in margin accounts because your broker may sell securities held in the margin account during a closed trading window.</w:t>
      </w:r>
    </w:p>
    <w:p>
      <w:pPr>
        <w:pStyle w:val="TextBody"/>
        <w:bidi w:val="0"/>
        <w:spacing w:lineRule="auto" w:line="288" w:before="240" w:after="283"/>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Open Orders</w:t>
      </w:r>
      <w:r>
        <w:rPr>
          <w:rFonts w:ascii="Times New Roman;serif" w:hAnsi="Times New Roman;serif"/>
          <w:b w:val="false"/>
          <w:color w:val="000000"/>
          <w:sz w:val="24"/>
        </w:rPr>
        <w:t>. You should exercise caution when placing open orders, such as limit orders or stop orders, with brokers, particularly where the order is likely to remain outstanding for an extended period of time. Open orders may result in the execution of a trade during a closed trading window, which may result in inadvertent insider trading in violation of this Policy.</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E.What does “Material Nonpublic Information” mean?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Information is “material” if a reasonable investor would consider it important in making a decision to buy, sell, or retain our common stock. In general, any information that could reasonably be expected to affect the market price of our securities is likely to be material. Both positive and negative information may be material.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Information is “nonpublic” until it has been widely disseminated to the public (through, for example, an SEC filing, press conference, or release), and the public has had a chance to absorb and evaluate it. Unless you have seen material information publicly disseminated, you should assume the information is nonpublic.</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Examples of information that would normally be regarded as “material” include, but are not limited to, the following: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4"/>
        </w:rPr>
        <w:t>financial results, financial condition, projections, or forecasts, including, but not limited to, daily, weekly, monthly revenue, churn rate and ARR numbers;</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1155"/>
                <wp:effectExtent l="0" t="0" r="0" b="0"/>
                <wp:wrapNone/>
                <wp:docPr id="92"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known but unannounced earnings or losses;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known but unannounced other information periodically disclosed in our SEC filings;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plans to launch new products or features or other market initiatives of a significant nature;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the status of our progress toward achieving significant financial goals;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significant developments involving business relationships with customers or other business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significant corporate events, such as a pending or proposed acquisition;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new equity or debt offerings;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positive or negative developments in outstanding litigation or regulatory matters;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significant breach in security of information technology systems;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known but unannounced changes in our senior management or our Board of Directors.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Financial information is particularly sensitive. For example, nonpublic information about the results of our operations for even a portion of a quarter might be material in helping an analyst predict our results of operations for the quarter.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When in doubt, you should assume that the information is both material and nonpublic. If you have any questions as to whether information should be considered material or nonpublic, please consult with the General Counsel. </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F.When may I trade in Asana’s common stock?</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Even if you are not in possession of any material nonpublic information, you may only trade in our common stock if all of the following conditions have been met:</w:t>
      </w:r>
    </w:p>
    <w:p>
      <w:pPr>
        <w:pStyle w:val="TextBody"/>
        <w:bidi w:val="0"/>
        <w:spacing w:lineRule="auto" w:line="288" w:before="160" w:after="283"/>
        <w:ind w:left="0" w:right="0" w:hanging="360"/>
        <w:jc w:val="both"/>
        <w:rPr/>
      </w:pPr>
      <w:r>
        <w:rPr>
          <w:rFonts w:ascii="Tahoma;sans-serif" w:hAnsi="Tahoma;sans-serif"/>
          <w:b w:val="false"/>
          <w:color w:val="000000"/>
          <w:sz w:val="20"/>
        </w:rPr>
        <w:t>1.</w:t>
      </w:r>
      <w:r>
        <w:rPr>
          <w:rFonts w:ascii="Times New Roman;serif" w:hAnsi="Times New Roman;serif"/>
          <w:b w:val="false"/>
          <w:color w:val="000000"/>
          <w:sz w:val="24"/>
          <w:u w:val="single"/>
        </w:rPr>
        <w:t>Open Trading Window</w:t>
      </w:r>
      <w:r>
        <w:rPr>
          <w:rFonts w:ascii="Times New Roman;serif" w:hAnsi="Times New Roman;serif"/>
          <w:b w:val="false"/>
          <w:color w:val="000000"/>
          <w:sz w:val="24"/>
        </w:rPr>
        <w:t>. You may only engage in transactions involving our common stock during an open trading window. Our trading window will typically open at the end of the first full trading day following the date our quarterly financial results are publicly disclosed and continue through the end of the last calendar day of the second month of the quarter. In addition to regular quarterly closed trading windows, there may be additional closed trading windows when appropriate due to certain events. We will notify you whenever a special closed trading window goes into effect that applies to you. See “</w:t>
      </w:r>
      <w:r>
        <w:rPr>
          <w:rFonts w:ascii="Times New Roman;serif" w:hAnsi="Times New Roman;serif"/>
          <w:b w:val="false"/>
          <w:i/>
          <w:color w:val="000000"/>
          <w:sz w:val="24"/>
        </w:rPr>
        <w:t>When is our Open and Closed Trading Window Period?</w:t>
      </w:r>
      <w:r>
        <w:rPr>
          <w:color w:val="000000"/>
        </w:rPr>
        <w:t xml:space="preserve">” </w:t>
      </w:r>
      <w:r>
        <w:rPr>
          <w:rFonts w:ascii="Times New Roman;serif" w:hAnsi="Times New Roman;serif"/>
          <w:b w:val="false"/>
          <w:color w:val="000000"/>
          <w:sz w:val="24"/>
        </w:rPr>
        <w:t>below.</w:t>
      </w:r>
    </w:p>
    <w:p>
      <w:pPr>
        <w:pStyle w:val="TextBody"/>
        <w:bidi w:val="0"/>
        <w:spacing w:lineRule="auto" w:line="288" w:before="160" w:after="283"/>
        <w:ind w:left="0" w:right="0" w:hanging="360"/>
        <w:jc w:val="both"/>
        <w:rPr/>
      </w:pPr>
      <w:r>
        <w:rPr>
          <w:rFonts w:ascii="Tahoma;sans-serif" w:hAnsi="Tahoma;sans-serif"/>
          <w:b w:val="false"/>
          <w:color w:val="000000"/>
          <w:sz w:val="20"/>
        </w:rPr>
        <w:t>2.</w:t>
      </w:r>
      <w:r>
        <w:rPr>
          <w:rFonts w:ascii="Times New Roman;serif" w:hAnsi="Times New Roman;serif"/>
          <w:b w:val="false"/>
          <w:color w:val="000000"/>
          <w:sz w:val="24"/>
          <w:u w:val="single"/>
        </w:rPr>
        <w:t>Pre-Clearance</w:t>
      </w:r>
      <w:r>
        <w:rPr>
          <w:rFonts w:ascii="Times New Roman;serif" w:hAnsi="Times New Roman;serif"/>
          <w:b w:val="false"/>
          <w:color w:val="000000"/>
          <w:sz w:val="24"/>
        </w:rPr>
        <w:t xml:space="preserve">. If you are a member of the Board or an executive officer of Asana, you must receive pre-clearance from the General Counsel of your proposed trade (please see attached form). From time to time, the General Counsel may identify other persons who require pre-clearance on </w:t>
      </w:r>
      <w:r>
        <w:rPr>
          <w:rFonts w:ascii="Times New Roman;serif" w:hAnsi="Times New Roman;serif"/>
          <w:b w:val="false"/>
          <w:color w:val="000000"/>
          <w:sz w:val="24"/>
          <w:u w:val="single"/>
        </w:rPr>
        <w:t>Schedule I</w:t>
      </w:r>
      <w:r>
        <w:rPr>
          <w:color w:val="000000"/>
        </w:rPr>
        <w:t xml:space="preserve"> </w:t>
      </w:r>
      <w:r>
        <w:rPr>
          <w:rFonts w:ascii="Times New Roman;serif" w:hAnsi="Times New Roman;serif"/>
          <w:b w:val="false"/>
          <w:color w:val="000000"/>
          <w:sz w:val="24"/>
        </w:rPr>
        <w:t xml:space="preserve">to the Policy. The General Counsel may not engage in a transaction involving our common stock unless the Chief Financial Officer has pre-cleared the transaction. The General Counsel and the Chief Financial Officer are under no obligation to approve a transaction submitted for pre-clearance and may determine not to permit the transaction. </w:t>
      </w:r>
    </w:p>
    <w:p>
      <w:pPr>
        <w:pStyle w:val="TextBody"/>
        <w:bidi w:val="0"/>
        <w:spacing w:lineRule="auto" w:line="288" w:before="160" w:after="283"/>
        <w:ind w:left="0" w:right="0" w:hanging="360"/>
        <w:jc w:val="both"/>
        <w:rPr/>
      </w:pPr>
      <w:r>
        <w:rPr>
          <w:rFonts w:ascii="Tahoma;sans-serif" w:hAnsi="Tahoma;sans-serif"/>
          <w:b w:val="false"/>
          <w:color w:val="000000"/>
          <w:sz w:val="20"/>
        </w:rPr>
        <w:t>3.</w:t>
      </w:r>
      <w:r>
        <w:rPr>
          <w:rFonts w:ascii="Times New Roman;serif" w:hAnsi="Times New Roman;serif"/>
          <w:b w:val="false"/>
          <w:color w:val="000000"/>
          <w:sz w:val="24"/>
          <w:u w:val="single"/>
        </w:rPr>
        <w:t>10b5-1 Plan</w:t>
      </w:r>
      <w:r>
        <w:rPr>
          <w:rFonts w:ascii="Times New Roman;serif" w:hAnsi="Times New Roman;serif"/>
          <w:b w:val="false"/>
          <w:color w:val="000000"/>
          <w:sz w:val="24"/>
        </w:rPr>
        <w:t xml:space="preserve">. The SEC has enacted rules that provide an affirmative defense against alleged violations of U.S. federal insider trading laws for transactions made pursuant to trading plans that meet certain requirements, commonly referred to as “10b5-1 trading </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3" name="Frame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pPr>
      <w:r>
        <w:rPr>
          <w:rFonts w:ascii="Times New Roman;serif" w:hAnsi="Times New Roman;serif"/>
          <w:b w:val="false"/>
          <w:color w:val="000000"/>
          <w:sz w:val="24"/>
        </w:rPr>
        <w:t>plans.” These trading plans must be entered into when you are not aware of material nonpublic information, when there is no quarterly closed trading window (discussed below) in effect, when you meet the requirements set forth in Rule 10b5-1 promulgated under the Securities Exchange Act of 1934, as amended (“</w:t>
      </w:r>
      <w:r>
        <w:rPr>
          <w:rFonts w:ascii="Times New Roman;serif" w:hAnsi="Times New Roman;serif"/>
          <w:b/>
          <w:i/>
          <w:color w:val="000000"/>
          <w:sz w:val="24"/>
        </w:rPr>
        <w:t>Rule 10b5-1</w:t>
      </w:r>
      <w:r>
        <w:rPr>
          <w:color w:val="000000"/>
        </w:rPr>
        <w:t>”</w:t>
      </w:r>
      <w:r>
        <w:rPr>
          <w:rFonts w:ascii="Times New Roman;serif" w:hAnsi="Times New Roman;serif"/>
          <w:b w:val="false"/>
          <w:color w:val="000000"/>
          <w:sz w:val="24"/>
        </w:rPr>
        <w:t>), when you meet those specific requirements or guidelines established by Asana for such plans, and such plans are pre-approved by the General Counsel. Transactions made pursuant to a 10b5-1 trading plan are not subject to the restrictions in this Policy, even if you are aware of material nonpublic information at the time of the transaction or a closed trading window is in effect.</w:t>
      </w:r>
      <w:r>
        <w:rPr>
          <w:color w:val="000000"/>
          <w:u w:val="single"/>
        </w:rPr>
        <w:t xml:space="preserve"> </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Executives and directors are encouraged, should they wish to trade in our common stock, to do so via a 10b5-1 Plan, subject to such plans meeting those specific requirements or guidelines established by Asana and Rule 10b5-1. Anyone else desiring to trade via such a plan may also do so, subject to that plan meeting any specific requirements or guidelines established by Asana and Rule 10b5-1. Trading plans must be pre-approved by and filed with the General Counsel and contain such certifications and representations specified under the guidelines established by Asana and under the requirements of Rule 10b5-1, and must comply with any other criteria established by Asana. </w:t>
      </w:r>
    </w:p>
    <w:p>
      <w:pPr>
        <w:pStyle w:val="TextBody"/>
        <w:bidi w:val="0"/>
        <w:spacing w:lineRule="auto" w:line="288" w:before="160" w:after="283"/>
        <w:jc w:val="both"/>
        <w:rPr/>
      </w:pPr>
      <w:r>
        <w:rPr>
          <w:rFonts w:ascii="Times New Roman;serif" w:hAnsi="Times New Roman;serif"/>
          <w:b w:val="false"/>
          <w:color w:val="000000"/>
          <w:sz w:val="24"/>
        </w:rPr>
        <w:t>If you do not follow the above requirements, you may be subject to disciplinary action, up to and including termination of your relationship with Asana, as well as civil and criminal penalties as described in the section titled “</w:t>
      </w:r>
      <w:r>
        <w:rPr>
          <w:rFonts w:ascii="Times New Roman;serif" w:hAnsi="Times New Roman;serif"/>
          <w:b w:val="false"/>
          <w:i/>
          <w:color w:val="000000"/>
          <w:sz w:val="24"/>
        </w:rPr>
        <w:t>What are the consequences of Insider Trading?</w:t>
      </w:r>
      <w:r>
        <w:rPr>
          <w:color w:val="000000"/>
        </w:rPr>
        <w:t xml:space="preserve">” </w:t>
      </w:r>
      <w:r>
        <w:rPr>
          <w:rFonts w:ascii="Times New Roman;serif" w:hAnsi="Times New Roman;serif"/>
          <w:b w:val="false"/>
          <w:color w:val="000000"/>
          <w:sz w:val="24"/>
        </w:rPr>
        <w:t xml:space="preserve">below. </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G.When is our Open and Closed Trading Window Period?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To limit the likelihood of trading at times when there is a significant risk of insider trading exposure, we have instituted quarterly trading open and closed windows and may institute special additional closed trading windows from time to time. Whether or not a closed trading window is in effect, you must comply with this Policy and may not trade on the basis of material nonpublic information.</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Quarterly Closed Trading Windows</w:t>
      </w:r>
    </w:p>
    <w:p>
      <w:pPr>
        <w:pStyle w:val="TextBody"/>
        <w:bidi w:val="0"/>
        <w:spacing w:lineRule="auto" w:line="288" w:before="240" w:after="283"/>
        <w:jc w:val="both"/>
        <w:rPr/>
      </w:pPr>
      <w:r>
        <w:rPr>
          <w:rFonts w:ascii="Times New Roman;serif" w:hAnsi="Times New Roman;serif"/>
          <w:b w:val="false"/>
          <w:color w:val="000000"/>
          <w:sz w:val="24"/>
        </w:rPr>
        <w:t>Except as discussed in the section titled “</w:t>
      </w:r>
      <w:r>
        <w:rPr>
          <w:rFonts w:ascii="Times New Roman;serif" w:hAnsi="Times New Roman;serif"/>
          <w:b w:val="false"/>
          <w:i/>
          <w:color w:val="000000"/>
          <w:sz w:val="24"/>
        </w:rPr>
        <w:t>Are there any exceptions to this Policy?</w:t>
      </w:r>
      <w:r>
        <w:rPr>
          <w:rFonts w:ascii="Times New Roman;serif" w:hAnsi="Times New Roman;serif"/>
          <w:b w:val="false"/>
          <w:color w:val="000000"/>
          <w:sz w:val="24"/>
        </w:rPr>
        <w:t>,” officers, directors, employees, and agents may not engage in transactions involving our common stock during quarterly closed trading windows. Quarterly closed trading windows begin at the end of the last calendar day of the second month of each fiscal quarter and continue until the end of the first full trading day following the date of public disclosure of our financial results for that fiscal quarter. This defined period is a particularly sensitive time for transactions involving our common stock from the perspective of compliance with applicable securities laws due to the fact that, during this period, individuals may often possess or have access to material nonpublic information relevant to the expected financial results for the quarter.</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4" name="Frame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Special Closed Trading Windows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From time to time, we may also implement additional closed trading windows when, in the judgment of the General Counsel, a closing of the trading window is warranted. We will generally impose special closed trading windows when there are material developments known to us that have not yet been disclosed to the public. For example, we may impose a special closed trading window in anticipation of announcing interim earnings guidance or a significant transaction or business development. However, special closed trading windows may be declared for any reason and at any time.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We will notify you if you are subject to a special closed trading window. If you receive this notification, you may not disclose to others the fact that you are subject to the special closed trading window and may not engage in any transaction involving our common stock until approved by the General Counsel.</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Regulation BTR Closed Trading Restrictions</w:t>
      </w:r>
    </w:p>
    <w:p>
      <w:pPr>
        <w:pStyle w:val="TextBody"/>
        <w:bidi w:val="0"/>
        <w:spacing w:lineRule="auto" w:line="288" w:before="240" w:after="283"/>
        <w:jc w:val="both"/>
        <w:rPr/>
      </w:pPr>
      <w:r>
        <w:rPr>
          <w:rFonts w:ascii="Times New Roman;serif" w:hAnsi="Times New Roman;serif"/>
          <w:b w:val="false"/>
          <w:color w:val="000000"/>
          <w:sz w:val="24"/>
        </w:rPr>
        <w:t>Directors and executives may also be subject to trading restrictions pursuant to Regulation Blackout Trading Restriction (“</w:t>
      </w:r>
      <w:r>
        <w:rPr>
          <w:rFonts w:ascii="Times New Roman;serif" w:hAnsi="Times New Roman;serif"/>
          <w:b/>
          <w:i/>
          <w:color w:val="000000"/>
          <w:sz w:val="24"/>
        </w:rPr>
        <w:t>Regulation BTR</w:t>
      </w:r>
      <w:r>
        <w:rPr>
          <w:color w:val="000000"/>
        </w:rPr>
        <w:t>”</w:t>
      </w:r>
      <w:r>
        <w:rPr>
          <w:rFonts w:ascii="Times New Roman;serif" w:hAnsi="Times New Roman;serif"/>
          <w:b w:val="false"/>
          <w:color w:val="000000"/>
          <w:sz w:val="24"/>
        </w:rPr>
        <w:t>) under U.S. federal securities laws. In general, Regulation BTR prohibits any director or executive from engaging in certain transactions involving our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Asana, regardless of the intentions of the director or executive affecting the transaction. In addition, individuals who engage in such transactions are subject to sanction by the SEC as well as potential criminal liability.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Asana will notify directors and executives if they are subject to a trading restriction under Regulation BTR. Failure to comply with an applicable trading restriction in accordance with Regulation BTR is a violation of law and this Policy.</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H.Are there any exceptions to this Policy?</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Yes, there are limited exceptions to this Policy, which are described below. Please note that there may be instances where you suffer financial harm or other hardship or are otherwise required to forgo a planned transaction because of the restrictions imposed by this Policy. Personal financial emergency or other personal circumstances are not mitigating factors under securities laws and will not excuse a failure to comply with this Policy. </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Receipt, Vesting, and Exercise of Stock Awards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trading restrictions under this Policy do not apply to the acceptance or purchase of stock options, restricted stock, restricted stock units or the like issued or offered directly by Asana, nor do they apply to the vesting, cancellation, forfeiture of stock options, restricted stock, restricted stock units or stock appreciation rights or the acquisition or repurchase of shares pursuant to option exercises under our option plans.</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Sale of Shares to Cover Tax Withholdings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trading restrictions under this Policy do not apply to the sale of shares of our common stock issued upon vesting of restricted stock units for the limited purpose of covering tax withholding obligations (and any associated broker or other fees), provided that, prior to such sale, you irrevocably elect to sell such shares to cover tax withholding obligations in a manner approved by the General Counsel.</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Purchases from our Employee Stock Purchase Plan</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trading restrictions under this Policy do not apply to elections with respect to participation in our employee stock purchase plan or to purchases of our common stock under such plans. However, the trading restrictions do apply to subsequent sales of our common stock.</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Stock Splits, Stock Dividends, and Similar Transactions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The trading restrictions under this Policy do not apply to a change in the number of securities held as a result of a stock split or stock dividend applying equally to all securities of a class, or similar transactions.</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Bona Fide Gifts, Inheritance, or Change in Form of Ownership</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trading restrictions under this Policy do not apply to bona fide gifts involving our securities, transfers by will or the laws of descent and distribution, or transfers for tax planning purposes in which your beneficial ownership and pecuniary interest in the transferred securities does not change. Some transactions that involve merely a change in the form in which you own securities may be permitted. </w:t>
      </w:r>
    </w:p>
    <w:p>
      <w:pPr>
        <w:pStyle w:val="TextBody"/>
        <w:bidi w:val="0"/>
        <w:spacing w:lineRule="auto" w:line="288" w:before="240" w:after="283"/>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Other Exceptions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Any other exception from this Policy must be approved by the General Counsel in consultation with the Audit Committee or the Nominating &amp; Corporate Governance Committee, as appropriate.</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Please be aware that even if a transaction falls within one of the exceptions described above, you will need to separately assess whether the transaction complies with applicable law. If you have any questions, please consult with the General Counsel.</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I.What are the consequences of Insider Trading?</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Penalties for violating insider trading laws can include disgorging profit made or loss avoided by trading, paying the loss suffered by the persons who purchased securities from, or sold securities to, the insider tippee, paying civil and/or criminal penalties and/or serving a jail or prison term. Asana and/or supervisors of the person violating the rules may also be required to pay civil or criminal penalties and could be subject to private lawsuits.</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 violation of this Policy is not necessarily a violation of law. In fact, for reasons explained in this Policy, it is not necessary for us to wait for the filing or conclusion of any civil or criminal action against an alleged violator before taking disciplinary action as your employer. In addition, please remember that we may prohibit a transaction from being completed to enforce compliance with this Policy.</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J.What should I do if I suspect that this Policy has been violated?</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Please promptly report violations or suspected violations of this Policy to the General Counsel. You may also report via Asana’s Ethics Helpline.</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K.Priority of Statutory or Regulatory Trading Restrictions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The trading prohibitions and restrictions set forth in this Policy will be superseded by any greater prohibitions or restrictions prescribed by federal or state securities laws and regulations, or contractual restrictions on the sale of securities. </w:t>
      </w:r>
    </w:p>
    <w:p>
      <w:pPr>
        <w:pStyle w:val="TextBody"/>
        <w:bidi w:val="0"/>
        <w:spacing w:lineRule="auto" w:line="288" w:before="240" w:after="283"/>
        <w:ind w:left="0" w:right="0" w:hanging="720"/>
        <w:jc w:val="both"/>
        <w:rPr>
          <w:rFonts w:ascii="Times New Roman;serif" w:hAnsi="Times New Roman;serif"/>
          <w:b/>
          <w:color w:val="000000"/>
          <w:sz w:val="24"/>
        </w:rPr>
      </w:pPr>
      <w:r>
        <w:rPr>
          <w:rFonts w:ascii="Times New Roman;serif" w:hAnsi="Times New Roman;serif"/>
          <w:b/>
          <w:color w:val="000000"/>
          <w:sz w:val="24"/>
        </w:rPr>
        <w:t>L.Amendments</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We are committed to continuously reviewing and updating our policies, and we therefore reserve the right to amend this Policy at any time, for any reason, subject to applicable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7"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I</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INDIVIDUALS SUBJECT TO</w:t>
        <w:br/>
        <w:t xml:space="preserve">PRE-CLEARANCE REQUIREMENTS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All Members of the Board of Directors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All members of the Executive Leadership Team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Head of 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Head of Marketing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Head of Communications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Corporate Controller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Head of FP&amp;A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Head of Revenue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Administrative Business Partners to CEO, CFO, COO, and GC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Asanas listed in the pre-clearance project maintained by Asana Legal</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8" name="Frame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Amended June 17, 2026    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ASANA,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INSIDER TRADING POLICY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PRE-CLEARANCE CHECKLIST AND CERTIFICATION</w:t>
      </w:r>
    </w:p>
    <w:tbl>
      <w:tblPr>
        <w:tblW w:w="4614" w:type="dxa"/>
        <w:jc w:val="left"/>
        <w:tblInd w:w="0" w:type="dxa"/>
        <w:tblLayout w:type="fixed"/>
        <w:tblCellMar>
          <w:top w:w="28" w:type="dxa"/>
          <w:left w:w="28" w:type="dxa"/>
          <w:bottom w:w="28" w:type="dxa"/>
          <w:right w:w="28" w:type="dxa"/>
        </w:tblCellMar>
      </w:tblPr>
      <w:tblGrid>
        <w:gridCol w:w="1419"/>
        <w:gridCol w:w="1246"/>
        <w:gridCol w:w="1250"/>
        <w:gridCol w:w="109"/>
        <w:gridCol w:w="109"/>
        <w:gridCol w:w="109"/>
        <w:gridCol w:w="109"/>
        <w:gridCol w:w="109"/>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60" w:after="60"/>
              <w:jc w:val="both"/>
              <w:rPr/>
            </w:pPr>
            <w:r>
              <w:rPr/>
            </w:r>
          </w:p>
          <w:p>
            <w:pPr>
              <w:pStyle w:val="TableContents"/>
              <w:bidi w:val="0"/>
              <w:spacing w:before="60" w:after="60"/>
              <w:jc w:val="both"/>
              <w:rPr/>
            </w:pPr>
            <w:r>
              <w:rPr/>
            </w:r>
          </w:p>
          <w:p>
            <w:pPr>
              <w:pStyle w:val="TableContents"/>
              <w:bidi w:val="0"/>
              <w:spacing w:lineRule="auto" w:line="288" w:before="60" w:after="60"/>
              <w:jc w:val="both"/>
              <w:rPr>
                <w:rFonts w:ascii="Times New Roman;serif" w:hAnsi="Times New Roman;serif"/>
                <w:b/>
                <w:color w:val="000000"/>
                <w:sz w:val="24"/>
              </w:rPr>
            </w:pPr>
            <w:r>
              <w:rPr>
                <w:rFonts w:ascii="Times New Roman;serif" w:hAnsi="Times New Roman;serif"/>
                <w:b/>
                <w:color w:val="000000"/>
                <w:sz w:val="24"/>
              </w:rPr>
              <w:t xml:space="preserve">Name of Person Proposing to Trade: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Purchase 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 xml:space="preserve">Max 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4"/>
              </w:rPr>
            </w:pPr>
            <w:r>
              <w:rPr>
                <w:rFonts w:ascii="Times New Roman;serif" w:hAnsi="Times New Roman;serif"/>
                <w:b/>
                <w:color w:val="000000"/>
                <w:sz w:val="24"/>
              </w:rPr>
              <w:t>Date Trading will be Completed 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540"/>
        <w:jc w:val="both"/>
        <w:rPr/>
      </w:pPr>
      <w:r>
        <w:rPr/>
      </w:r>
    </w:p>
    <w:p>
      <w:pPr>
        <w:pStyle w:val="TextBody"/>
        <w:bidi w:val="0"/>
        <w:spacing w:lineRule="auto" w:line="288" w:before="240" w:after="283"/>
        <w:ind w:left="0" w:right="0" w:hanging="540"/>
        <w:jc w:val="both"/>
        <w:rPr/>
      </w:pPr>
      <w:r>
        <w:rPr>
          <w:color w:val="000000"/>
        </w:rPr>
        <w:t>☐    </w:t>
      </w:r>
      <w:r>
        <w:rPr>
          <w:rFonts w:ascii="Times New Roman;serif" w:hAnsi="Times New Roman;serif"/>
          <w:b/>
          <w:color w:val="000000"/>
          <w:sz w:val="24"/>
        </w:rPr>
        <w:t>Compliant with Insider Trading Policy (</w:t>
      </w:r>
      <w:r>
        <w:rPr>
          <w:rFonts w:ascii="Times New Roman;serif" w:hAnsi="Times New Roman;serif"/>
          <w:b/>
          <w:i/>
          <w:color w:val="000000"/>
          <w:sz w:val="24"/>
        </w:rPr>
        <w:t>e.g.</w:t>
      </w:r>
      <w:r>
        <w:rPr>
          <w:rFonts w:ascii="Times New Roman;serif" w:hAnsi="Times New Roman;serif"/>
          <w:b/>
          <w:color w:val="000000"/>
          <w:sz w:val="24"/>
        </w:rPr>
        <w:t xml:space="preserve">, during an open window). </w:t>
      </w:r>
      <w:r>
        <w:rPr>
          <w:rFonts w:ascii="Times New Roman;serif" w:hAnsi="Times New Roman;serif"/>
          <w:b w:val="false"/>
          <w:color w:val="000000"/>
          <w:sz w:val="24"/>
        </w:rPr>
        <w:t>I will ensure my trade is made during an open window and is in compliance with the Insider Trading Policy.</w:t>
      </w:r>
    </w:p>
    <w:p>
      <w:pPr>
        <w:pStyle w:val="TextBody"/>
        <w:bidi w:val="0"/>
        <w:spacing w:lineRule="auto" w:line="288" w:before="80" w:after="283"/>
        <w:ind w:left="0" w:right="0" w:hanging="540"/>
        <w:jc w:val="both"/>
        <w:rPr/>
      </w:pPr>
      <w:r>
        <w:rPr>
          <w:color w:val="000000"/>
        </w:rPr>
        <w:t>☐    </w:t>
      </w:r>
      <w:r>
        <w:rPr>
          <w:rFonts w:ascii="Times New Roman;serif" w:hAnsi="Times New Roman;serif"/>
          <w:b/>
          <w:color w:val="000000"/>
          <w:sz w:val="24"/>
        </w:rPr>
        <w:t xml:space="preserve">Rule 10b-5 concerns. </w:t>
      </w:r>
      <w:r>
        <w:rPr>
          <w:rFonts w:ascii="Times New Roman;serif" w:hAnsi="Times New Roman;serif"/>
          <w:b w:val="false"/>
          <w:color w:val="000000"/>
          <w:sz w:val="24"/>
        </w:rPr>
        <w:t>I am aware that trading is prohibited when I am in possession of any material nonpublic information regarding Asana that has not been adequately disclosed to the public. I have discussed with the General Counsel any information known to me that I believe may be material or that I have any questions about whether it is material.</w:t>
      </w:r>
    </w:p>
    <w:p>
      <w:pPr>
        <w:pStyle w:val="TextBody"/>
        <w:bidi w:val="0"/>
        <w:spacing w:lineRule="auto" w:line="288" w:before="80" w:after="283"/>
        <w:ind w:left="0" w:right="0" w:hanging="540"/>
        <w:jc w:val="both"/>
        <w:rPr>
          <w:color w:val="000000"/>
        </w:rPr>
      </w:pPr>
      <w:r>
        <w:rPr>
          <w:color w:val="000000"/>
        </w:rPr>
        <w:t>    </w:t>
      </w:r>
      <w:r>
        <w:rPr>
          <w:rFonts w:ascii="Times New Roman;serif" w:hAnsi="Times New Roman;serif"/>
          <w:b w:val="false"/>
          <w:color w:val="000000"/>
          <w:sz w:val="24"/>
        </w:rPr>
        <w:t>I am not trading on the basis of any material nonpublic information. If I become aware of any nonpublic material information, or the trading window closes, I will cease trading immediately (which may include cancelling an open order).</w:t>
      </w:r>
    </w:p>
    <w:p>
      <w:pPr>
        <w:pStyle w:val="TextBody"/>
        <w:bidi w:val="0"/>
        <w:spacing w:before="0" w:after="0"/>
        <w:ind w:left="0" w:right="0" w:hanging="5040"/>
        <w:jc w:val="both"/>
        <w:rPr/>
      </w:pPr>
      <w:r>
        <w:rPr/>
      </w:r>
    </w:p>
    <w:p>
      <w:pPr>
        <w:pStyle w:val="TextBody"/>
        <w:bidi w:val="0"/>
        <w:spacing w:before="0" w:after="0"/>
        <w:ind w:left="0" w:right="0" w:hanging="5040"/>
        <w:jc w:val="both"/>
        <w:rPr/>
      </w:pPr>
      <w:r>
        <w:rPr/>
      </w:r>
    </w:p>
    <w:p>
      <w:pPr>
        <w:pStyle w:val="TextBody"/>
        <w:bidi w:val="0"/>
        <w:spacing w:lineRule="auto" w:line="288" w:before="0" w:after="0"/>
        <w:ind w:left="0" w:right="0" w:hanging="4320"/>
        <w:jc w:val="both"/>
        <w:rPr/>
      </w:pPr>
      <w:r>
        <w:rPr>
          <w:rFonts w:ascii="Times New Roman;serif" w:hAnsi="Times New Roman;serif"/>
          <w:b w:val="false"/>
          <w:i/>
          <w:color w:val="000000"/>
          <w:sz w:val="24"/>
        </w:rPr>
        <w:t>Signature of Person Proposing to Trade:</w:t>
      </w:r>
      <w:r>
        <w:rPr>
          <w:color w:val="000000"/>
          <w:u w:val="single"/>
        </w:rPr>
        <w:t>    </w:t>
      </w:r>
    </w:p>
    <w:p>
      <w:pPr>
        <w:pStyle w:val="TextBody"/>
        <w:bidi w:val="0"/>
        <w:spacing w:lineRule="auto" w:line="288" w:before="0" w:after="0"/>
        <w:ind w:left="0" w:right="0" w:hanging="4320"/>
        <w:jc w:val="both"/>
        <w:rPr/>
      </w:pPr>
      <w:r>
        <w:rPr>
          <w:rFonts w:ascii="Times New Roman;serif" w:hAnsi="Times New Roman;serif"/>
          <w:b w:val="false"/>
          <w:i/>
          <w:color w:val="000000"/>
          <w:sz w:val="24"/>
        </w:rPr>
        <w:t xml:space="preserve">Date: </w:t>
      </w:r>
      <w:r>
        <w:rPr>
          <w:color w:val="000000"/>
          <w:u w:val="single"/>
        </w:rPr>
        <w:t>    </w:t>
      </w:r>
    </w:p>
    <w:p>
      <w:pPr>
        <w:pStyle w:val="TextBody"/>
        <w:bidi w:val="0"/>
        <w:spacing w:lineRule="auto" w:line="288" w:before="0" w:after="0"/>
        <w:ind w:left="0" w:right="0" w:hanging="4320"/>
        <w:jc w:val="both"/>
        <w:rPr/>
      </w:pPr>
      <w:r>
        <w:rPr>
          <w:rFonts w:ascii="Times New Roman;serif" w:hAnsi="Times New Roman;serif"/>
          <w:b w:val="false"/>
          <w:i/>
          <w:color w:val="000000"/>
          <w:sz w:val="24"/>
        </w:rPr>
        <w:t xml:space="preserve">Print Name of Person Proposing to Trade: </w:t>
      </w:r>
      <w:r>
        <w:rPr>
          <w:color w:val="000000"/>
          <w:u w:val="single"/>
        </w:rPr>
        <w:t>    </w:t>
      </w:r>
    </w:p>
    <w:p>
      <w:pPr>
        <w:pStyle w:val="TextBody"/>
        <w:bidi w:val="0"/>
        <w:spacing w:lineRule="auto" w:line="288" w:before="0" w:after="0"/>
        <w:ind w:left="0" w:right="0" w:hanging="5040"/>
        <w:jc w:val="both"/>
        <w:rPr>
          <w:rFonts w:ascii="Times New Roman;serif" w:hAnsi="Times New Roman;serif"/>
          <w:b w:val="false"/>
          <w:i/>
          <w:color w:val="000000"/>
          <w:sz w:val="24"/>
        </w:rPr>
      </w:pPr>
      <w:r>
        <w:rPr>
          <w:rFonts w:ascii="Times New Roman;serif" w:hAnsi="Times New Roman;serif"/>
          <w:b w:val="false"/>
          <w:i/>
          <w:color w:val="000000"/>
          <w:sz w:val="24"/>
        </w:rPr>
        <w:t>Date</w:t>
      </w:r>
    </w:p>
    <w:p>
      <w:pPr>
        <w:pStyle w:val="TextBody"/>
        <w:bidi w:val="0"/>
        <w:spacing w:before="0" w:after="0"/>
        <w:ind w:left="0" w:right="0" w:hanging="5040"/>
        <w:jc w:val="both"/>
        <w:rPr/>
      </w:pPr>
      <w:r>
        <w:rPr/>
      </w:r>
    </w:p>
    <w:p>
      <w:pPr>
        <w:pStyle w:val="TextBody"/>
        <w:bidi w:val="0"/>
        <w:ind w:left="0" w:right="0" w:hanging="50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Daniel Rogers, certify that:</w:t>
      </w:r>
    </w:p>
    <w:p>
      <w:pPr>
        <w:pStyle w:val="TextBody"/>
        <w:bidi w:val="0"/>
        <w:spacing w:before="0" w:after="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I have reviewed this Quarterly Report on Form 10-Q of Asana, Inc.;</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2.</w:t>
      </w:r>
      <w:r>
        <w:rPr>
          <w:color w:val="000000"/>
        </w:rPr>
        <w:t xml:space="preserve"> </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4.</w:t>
      </w:r>
      <w:r>
        <w:rPr>
          <w:color w:val="000000"/>
        </w:rPr>
        <w:t xml:space="preserve"> </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and15d-15(f)) for the registrant and have:</w:t>
      </w:r>
    </w:p>
    <w:p>
      <w:pPr>
        <w:pStyle w:val="TextBody"/>
        <w:bidi w:val="0"/>
        <w:spacing w:before="0" w:after="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ind w:left="0" w:right="0" w:hanging="630"/>
        <w:jc w:val="left"/>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49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ind w:left="0" w:right="0" w:firstLine="490"/>
        <w:jc w:val="left"/>
        <w:rPr/>
      </w:pPr>
      <w:r>
        <w:rPr/>
      </w:r>
    </w:p>
    <w:p>
      <w:pPr>
        <w:pStyle w:val="TextBody"/>
        <w:bidi w:val="0"/>
        <w:spacing w:before="0" w:after="0"/>
        <w:ind w:left="0" w:right="0" w:hanging="490"/>
        <w:jc w:val="left"/>
        <w:rPr/>
      </w:pPr>
      <w:r>
        <w:rPr/>
      </w:r>
    </w:p>
    <w:tbl>
      <w:tblPr>
        <w:tblW w:w="4975"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34"/>
        <w:gridCol w:w="134"/>
        <w:gridCol w:w="136"/>
        <w:gridCol w:w="623"/>
        <w:gridCol w:w="623"/>
        <w:gridCol w:w="884"/>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Daniel Rogers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Daniel Rogers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Aziz Megji, certify that: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Asana, Inc.;</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and15d-15(f)) for the registrant and have: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4945"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34"/>
        <w:gridCol w:w="134"/>
        <w:gridCol w:w="136"/>
        <w:gridCol w:w="615"/>
        <w:gridCol w:w="615"/>
        <w:gridCol w:w="87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Aziz Megji</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Aziz Megji</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Asana, Inc. (the “Company”) on Form 10-Q for the period ended July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4975"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34"/>
        <w:gridCol w:w="134"/>
        <w:gridCol w:w="136"/>
        <w:gridCol w:w="622"/>
        <w:gridCol w:w="622"/>
        <w:gridCol w:w="88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Daniel Rogers</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Daniel Rogers</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88" w:before="36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Asana, Inc. (the “Company”) on Form 10-Q for the period ended July 31,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ind w:left="0" w:right="0" w:hanging="49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left"/>
        <w:rPr/>
      </w:pPr>
      <w:r>
        <w:rPr/>
      </w:r>
    </w:p>
    <w:tbl>
      <w:tblPr>
        <w:tblW w:w="4945" w:type="dxa"/>
        <w:jc w:val="left"/>
        <w:tblInd w:w="0" w:type="dxa"/>
        <w:tblLayout w:type="fixed"/>
        <w:tblCellMar>
          <w:top w:w="28" w:type="dxa"/>
          <w:left w:w="28" w:type="dxa"/>
          <w:bottom w:w="28" w:type="dxa"/>
          <w:right w:w="28" w:type="dxa"/>
        </w:tblCellMar>
      </w:tblPr>
      <w:tblGrid>
        <w:gridCol w:w="764"/>
        <w:gridCol w:w="673"/>
        <w:gridCol w:w="677"/>
        <w:gridCol w:w="109"/>
        <w:gridCol w:w="109"/>
        <w:gridCol w:w="109"/>
        <w:gridCol w:w="134"/>
        <w:gridCol w:w="134"/>
        <w:gridCol w:w="136"/>
        <w:gridCol w:w="615"/>
        <w:gridCol w:w="615"/>
        <w:gridCol w:w="87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 Aziz Megji</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Aziz Megji</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77720/000119312520250298/d98181dex31.htm" TargetMode="External"/><Relationship Id="rId3" Type="http://schemas.openxmlformats.org/officeDocument/2006/relationships/hyperlink" Target="https://www.sec.gov/Archives/edgar/data/1477720/000147772023000055/aex31xamendedandrestatedby.htm" TargetMode="External"/><Relationship Id="rId4" Type="http://schemas.openxmlformats.org/officeDocument/2006/relationships/hyperlink" Target="https://www.sec.gov/Archives/edgar/data/1477720/000147772026000039/exhbit105-thirdamendmentto.htm" TargetMode="Externa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53341</Words>
  <Characters>299386</Characters>
  <CharactersWithSpaces>350570</CharactersWithSpaces>
  <Paragraphs>3539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