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77470</wp:posOffset>
            </wp:positionV>
            <wp:extent cx="24771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2" w:lineRule="exact"/>
        <w:rPr>
          <w:sz w:val="24"/>
          <w:szCs w:val="24"/>
          <w:color w:val="auto"/>
        </w:rPr>
      </w:pPr>
    </w:p>
    <w:p>
      <w:pPr>
        <w:ind w:left="1160" w:hanging="810"/>
        <w:spacing w:after="0"/>
        <w:tabs>
          <w:tab w:leader="none" w:pos="11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8" w:lineRule="exact"/>
        <w:rPr>
          <w:sz w:val="24"/>
          <w:szCs w:val="24"/>
          <w:color w:val="auto"/>
        </w:rPr>
      </w:pPr>
    </w:p>
    <w:p>
      <w:pPr>
        <w:ind w:left="1160" w:hanging="810"/>
        <w:spacing w:after="0"/>
        <w:tabs>
          <w:tab w:leader="none" w:pos="11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6" w:lineRule="exact"/>
        <w:rPr>
          <w:sz w:val="24"/>
          <w:szCs w:val="24"/>
          <w:color w:val="auto"/>
        </w:rPr>
      </w:pPr>
    </w:p>
    <w:tbl>
      <w:tblPr>
        <w:tblLayout w:type="fixed"/>
        <w:tblInd w:w="2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00" w:type="dxa"/>
            <w:vAlign w:val="bottom"/>
            <w:gridSpan w:val="5"/>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January 31, 2025</w:t>
            </w: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78"/>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700" w:type="dxa"/>
            <w:vAlign w:val="bottom"/>
            <w:gridSpan w:val="5"/>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rPr>
              <w:t>Commission file number: 001-39495</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89"/>
        </w:trPr>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Pr>
          <w:p>
            <w:pPr>
              <w:spacing w:after="0"/>
              <w:rPr>
                <w:sz w:val="16"/>
                <w:szCs w:val="16"/>
                <w:color w:val="auto"/>
              </w:rPr>
            </w:pPr>
          </w:p>
        </w:tc>
      </w:tr>
      <w:tr>
        <w:trPr>
          <w:trHeight w:val="405"/>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ASANA, INC.</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66"/>
        </w:trPr>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700" w:type="dxa"/>
            <w:vAlign w:val="bottom"/>
            <w:gridSpan w:val="5"/>
          </w:tcPr>
          <w:p>
            <w:pPr>
              <w:jc w:val="center"/>
              <w:ind w:left="121"/>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20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492"/>
        </w:trPr>
        <w:tc>
          <w:tcPr>
            <w:tcW w:w="440" w:type="dxa"/>
            <w:vAlign w:val="bottom"/>
          </w:tcPr>
          <w:p>
            <w:pPr>
              <w:spacing w:after="0"/>
              <w:rPr>
                <w:sz w:val="24"/>
                <w:szCs w:val="24"/>
                <w:color w:val="auto"/>
              </w:rPr>
            </w:pPr>
          </w:p>
        </w:tc>
        <w:tc>
          <w:tcPr>
            <w:tcW w:w="394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gridSpan w:val="2"/>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26-3912448</w:t>
            </w:r>
          </w:p>
        </w:tc>
      </w:tr>
      <w:tr>
        <w:trPr>
          <w:trHeight w:val="251"/>
        </w:trPr>
        <w:tc>
          <w:tcPr>
            <w:tcW w:w="4380" w:type="dxa"/>
            <w:vAlign w:val="bottom"/>
            <w:gridSpan w:val="4"/>
          </w:tcPr>
          <w:p>
            <w:pPr>
              <w:jc w:val="center"/>
              <w:ind w:right="1140"/>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80" w:type="dxa"/>
            <w:vAlign w:val="bottom"/>
          </w:tcPr>
          <w:p>
            <w:pPr>
              <w:jc w:val="center"/>
              <w:ind w:left="221"/>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137"/>
        </w:trPr>
        <w:tc>
          <w:tcPr>
            <w:tcW w:w="4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r>
      <w:tr>
        <w:trPr>
          <w:trHeight w:val="279"/>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633 Folsom Street, Suite 100</w:t>
            </w: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60"/>
        </w:trPr>
        <w:tc>
          <w:tcPr>
            <w:tcW w:w="4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San Francisco, CA 94107</w:t>
            </w:r>
          </w:p>
        </w:tc>
        <w:tc>
          <w:tcPr>
            <w:tcW w:w="20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92"/>
        </w:trPr>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700" w:type="dxa"/>
            <w:vAlign w:val="bottom"/>
            <w:gridSpan w:val="5"/>
          </w:tcPr>
          <w:p>
            <w:pPr>
              <w:jc w:val="center"/>
              <w:ind w:left="121"/>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and Zip Code)</w:t>
            </w:r>
          </w:p>
        </w:tc>
        <w:tc>
          <w:tcPr>
            <w:tcW w:w="20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321"/>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(415) 525-3888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92"/>
        </w:trPr>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700" w:type="dxa"/>
            <w:vAlign w:val="bottom"/>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00" w:type="dxa"/>
            <w:vAlign w:val="bottom"/>
          </w:tcPr>
          <w:p>
            <w:pPr>
              <w:spacing w:after="0"/>
              <w:rPr>
                <w:sz w:val="16"/>
                <w:szCs w:val="16"/>
                <w:color w:val="auto"/>
              </w:rPr>
            </w:pPr>
          </w:p>
        </w:tc>
        <w:tc>
          <w:tcPr>
            <w:tcW w:w="3280" w:type="dxa"/>
            <w:vAlign w:val="bottom"/>
          </w:tcPr>
          <w:p>
            <w:pPr>
              <w:spacing w:after="0"/>
              <w:rPr>
                <w:sz w:val="16"/>
                <w:szCs w:val="16"/>
                <w:color w:val="auto"/>
              </w:rPr>
            </w:pPr>
          </w:p>
        </w:tc>
      </w:tr>
      <w:tr>
        <w:trPr>
          <w:trHeight w:val="118"/>
        </w:trPr>
        <w:tc>
          <w:tcPr>
            <w:tcW w:w="4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2"/>
          </w:tcPr>
          <w:p>
            <w:pPr>
              <w:spacing w:after="0"/>
              <w:rPr>
                <w:sz w:val="10"/>
                <w:szCs w:val="10"/>
                <w:color w:val="auto"/>
              </w:rPr>
            </w:pPr>
          </w:p>
        </w:tc>
        <w:tc>
          <w:tcPr>
            <w:tcW w:w="3280" w:type="dxa"/>
            <w:vAlign w:val="bottom"/>
          </w:tcPr>
          <w:p>
            <w:pPr>
              <w:spacing w:after="0"/>
              <w:rPr>
                <w:sz w:val="10"/>
                <w:szCs w:val="10"/>
                <w:color w:val="auto"/>
              </w:rPr>
            </w:pPr>
          </w:p>
        </w:tc>
      </w:tr>
      <w:tr>
        <w:trPr>
          <w:trHeight w:val="345"/>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180" w:type="dxa"/>
            <w:vAlign w:val="bottom"/>
            <w:gridSpan w:val="7"/>
          </w:tcPr>
          <w:p>
            <w:pPr>
              <w:jc w:val="center"/>
              <w:ind w:right="2881"/>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72"/>
        </w:trPr>
        <w:tc>
          <w:tcPr>
            <w:tcW w:w="440" w:type="dxa"/>
            <w:vAlign w:val="bottom"/>
          </w:tcPr>
          <w:p>
            <w:pPr>
              <w:spacing w:after="0"/>
              <w:rPr>
                <w:sz w:val="24"/>
                <w:szCs w:val="24"/>
                <w:color w:val="auto"/>
              </w:rPr>
            </w:pPr>
          </w:p>
        </w:tc>
        <w:tc>
          <w:tcPr>
            <w:tcW w:w="39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4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48"/>
        </w:trPr>
        <w:tc>
          <w:tcPr>
            <w:tcW w:w="440" w:type="dxa"/>
            <w:vAlign w:val="bottom"/>
          </w:tcPr>
          <w:p>
            <w:pPr>
              <w:spacing w:after="0"/>
              <w:rPr>
                <w:sz w:val="12"/>
                <w:szCs w:val="12"/>
                <w:color w:val="auto"/>
              </w:rPr>
            </w:pPr>
          </w:p>
        </w:tc>
        <w:tc>
          <w:tcPr>
            <w:tcW w:w="3840" w:type="dxa"/>
            <w:vAlign w:val="bottom"/>
            <w:tcBorders>
              <w:top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00" w:type="dxa"/>
            <w:vAlign w:val="bottom"/>
          </w:tcPr>
          <w:p>
            <w:pPr>
              <w:spacing w:after="0"/>
              <w:rPr>
                <w:sz w:val="12"/>
                <w:szCs w:val="12"/>
                <w:color w:val="auto"/>
              </w:rPr>
            </w:pPr>
          </w:p>
        </w:tc>
        <w:tc>
          <w:tcPr>
            <w:tcW w:w="22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ASAN</w:t>
            </w: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tcPr>
          <w:p>
            <w:pPr>
              <w:jc w:val="center"/>
              <w:ind w:right="481"/>
              <w:spacing w:after="0" w:line="148" w:lineRule="exact"/>
              <w:rPr>
                <w:sz w:val="20"/>
                <w:szCs w:val="20"/>
                <w:color w:val="auto"/>
              </w:rPr>
            </w:pPr>
            <w:r>
              <w:rPr>
                <w:rFonts w:ascii="Times New Roman" w:cs="Times New Roman" w:eastAsia="Times New Roman" w:hAnsi="Times New Roman"/>
                <w:sz w:val="17"/>
                <w:szCs w:val="17"/>
                <w:color w:val="auto"/>
              </w:rPr>
              <w:t>New York Stock Exchange</w:t>
            </w:r>
          </w:p>
        </w:tc>
      </w:tr>
      <w:tr>
        <w:trPr>
          <w:trHeight w:val="234"/>
        </w:trPr>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jc w:val="center"/>
              <w:ind w:right="481"/>
              <w:spacing w:after="0"/>
              <w:rPr>
                <w:sz w:val="20"/>
                <w:szCs w:val="20"/>
                <w:color w:val="auto"/>
              </w:rPr>
            </w:pPr>
            <w:r>
              <w:rPr>
                <w:rFonts w:ascii="Times New Roman" w:cs="Times New Roman" w:eastAsia="Times New Roman" w:hAnsi="Times New Roman"/>
                <w:sz w:val="18"/>
                <w:szCs w:val="18"/>
                <w:color w:val="auto"/>
                <w:w w:val="99"/>
              </w:rPr>
              <w:t>Long-Term Stock Exchange</w:t>
            </w:r>
          </w:p>
        </w:tc>
      </w:tr>
    </w:tbl>
    <w:p>
      <w:pPr>
        <w:spacing w:after="0" w:line="17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6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jc w:val="both"/>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Accelerated filer</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26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88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060" w:type="dxa"/>
            <w:vAlign w:val="bottom"/>
          </w:tcPr>
          <w:p>
            <w:pPr>
              <w:ind w:left="19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13" w:lineRule="exact"/>
        <w:rPr>
          <w:sz w:val="24"/>
          <w:szCs w:val="24"/>
          <w:color w:val="auto"/>
        </w:rPr>
      </w:pPr>
    </w:p>
    <w:p>
      <w:pPr>
        <w:jc w:val="both"/>
        <w:ind w:right="20"/>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27"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40"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9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0"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 aggregate market value of the registrant’s shares of Class A common stock held by non-affiliates of the registrant as of July 31, 2024, the last business day of the registrant’s most recently completed second fiscal quarter, was approximately $1.2 billion, based on the closing price reported for such date on the New York Stock Exchange. Shares of common stock held by each executive officer, director and holder of 5% or more of the outstanding common stock have been excluded in that such persons may be deemed to be affiliates. This determination of affiliate status does not reflect a determination that such persons are affiliates of the registrant for</w:t>
      </w:r>
    </w:p>
    <w:p>
      <w:pPr>
        <w:spacing w:after="0"/>
        <w:rPr>
          <w:sz w:val="20"/>
          <w:szCs w:val="20"/>
          <w:color w:val="auto"/>
        </w:rPr>
      </w:pPr>
      <w:r>
        <w:rPr>
          <w:rFonts w:ascii="Times New Roman" w:cs="Times New Roman" w:eastAsia="Times New Roman" w:hAnsi="Times New Roman"/>
          <w:sz w:val="13"/>
          <w:szCs w:val="13"/>
          <w:color w:val="auto"/>
        </w:rPr>
        <w:t>any other purpose</w:t>
      </w:r>
      <w:r>
        <w:rPr>
          <w:rFonts w:ascii="Times New Roman" w:cs="Times New Roman" w:eastAsia="Times New Roman" w:hAnsi="Times New Roman"/>
          <w:sz w:val="17"/>
          <w:szCs w:val="17"/>
          <w:color w:val="auto"/>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12, 2025, the number of shares of the registrant’s Class A common stock outstanding was 147,663,349 and the number of shares of the registrant’s Class B common stock outstanding was 85,411,680.</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63" w:lineRule="exact"/>
        <w:rPr>
          <w:sz w:val="24"/>
          <w:szCs w:val="24"/>
          <w:color w:val="auto"/>
        </w:rPr>
      </w:pPr>
    </w:p>
    <w:p>
      <w:pPr>
        <w:ind w:right="20"/>
        <w:spacing w:after="0" w:line="211"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January 31, 2025.</w:t>
      </w: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3" w:right="339" w:bottom="495"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6"/>
              </w:rPr>
              <w:t>Part I</w:t>
            </w:r>
          </w:p>
        </w:tc>
        <w:tc>
          <w:tcPr>
            <w:tcW w:w="9760" w:type="dxa"/>
            <w:vAlign w:val="bottom"/>
            <w:gridSpan w:val="26"/>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0" w:type="dxa"/>
            <w:vAlign w:val="bottom"/>
            <w:gridSpan w:val="2"/>
            <w:vMerge w:val="continue"/>
          </w:tcPr>
          <w:p>
            <w:pPr>
              <w:spacing w:after="0"/>
              <w:rPr>
                <w:sz w:val="15"/>
                <w:szCs w:val="15"/>
                <w:color w:val="auto"/>
              </w:rPr>
            </w:pPr>
          </w:p>
        </w:tc>
        <w:tc>
          <w:tcPr>
            <w:tcW w:w="9760" w:type="dxa"/>
            <w:vAlign w:val="bottom"/>
            <w:gridSpan w:val="26"/>
            <w:vMerge w:val="continue"/>
          </w:tcPr>
          <w:p>
            <w:pPr>
              <w:spacing w:after="0"/>
              <w:rPr>
                <w:sz w:val="15"/>
                <w:szCs w:val="15"/>
                <w:color w:val="auto"/>
              </w:rPr>
            </w:pPr>
          </w:p>
        </w:tc>
        <w:tc>
          <w:tcPr>
            <w:tcW w:w="10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6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460" w:type="dxa"/>
            <w:vAlign w:val="bottom"/>
            <w:gridSpan w:val="1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IC. Cybersecurity</w:t>
            </w:r>
          </w:p>
        </w:tc>
        <w:tc>
          <w:tcPr>
            <w:tcW w:w="7340" w:type="dxa"/>
            <w:vAlign w:val="bottom"/>
            <w:gridSpan w:val="1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60" w:type="dxa"/>
            <w:vAlign w:val="bottom"/>
            <w:tcBorders>
              <w:top w:val="single" w:sz="8" w:color="0000FF"/>
            </w:tcBorders>
            <w:gridSpan w:val="3"/>
          </w:tcPr>
          <w:p>
            <w:pPr>
              <w:spacing w:after="0"/>
              <w:rPr>
                <w:sz w:val="18"/>
                <w:szCs w:val="18"/>
                <w:color w:val="auto"/>
              </w:rPr>
            </w:pPr>
          </w:p>
        </w:tc>
        <w:tc>
          <w:tcPr>
            <w:tcW w:w="8400" w:type="dxa"/>
            <w:vAlign w:val="bottom"/>
            <w:gridSpan w:val="18"/>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160" w:type="dxa"/>
            <w:vAlign w:val="bottom"/>
            <w:gridSpan w:val="1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720" w:type="dxa"/>
            <w:vAlign w:val="bottom"/>
            <w:gridSpan w:val="1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Part II</w:t>
            </w:r>
          </w:p>
        </w:tc>
        <w:tc>
          <w:tcPr>
            <w:tcW w:w="9700" w:type="dxa"/>
            <w:vAlign w:val="bottom"/>
            <w:gridSpan w:val="25"/>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86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6. [Reserved]</w:t>
            </w:r>
          </w:p>
        </w:tc>
        <w:tc>
          <w:tcPr>
            <w:tcW w:w="8700" w:type="dxa"/>
            <w:vAlign w:val="bottom"/>
            <w:gridSpan w:val="20"/>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0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04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06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6160" w:type="dxa"/>
            <w:vAlign w:val="bottom"/>
            <w:gridSpan w:val="9"/>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920" w:type="dxa"/>
            <w:vAlign w:val="bottom"/>
            <w:gridSpan w:val="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440" w:type="dxa"/>
            <w:vAlign w:val="bottom"/>
            <w:gridSpan w:val="3"/>
          </w:tcPr>
          <w:p>
            <w:pPr>
              <w:spacing w:after="0"/>
              <w:rPr>
                <w:sz w:val="18"/>
                <w:szCs w:val="18"/>
                <w:color w:val="auto"/>
              </w:rPr>
            </w:pPr>
          </w:p>
        </w:tc>
        <w:tc>
          <w:tcPr>
            <w:tcW w:w="7620" w:type="dxa"/>
            <w:vAlign w:val="bottom"/>
            <w:gridSpan w:val="13"/>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7"/>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Part III</w:t>
            </w:r>
          </w:p>
        </w:tc>
        <w:tc>
          <w:tcPr>
            <w:tcW w:w="9640" w:type="dxa"/>
            <w:vAlign w:val="bottom"/>
            <w:gridSpan w:val="24"/>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00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4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320" w:type="dxa"/>
            <w:vAlign w:val="bottom"/>
            <w:gridSpan w:val="8"/>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 and Management and Related Stockholder Matters</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180" w:type="dxa"/>
            <w:vAlign w:val="bottom"/>
            <w:gridSpan w:val="2"/>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6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3960" w:type="dxa"/>
            <w:vAlign w:val="bottom"/>
            <w:gridSpan w:val="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Part IV</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240" w:type="dxa"/>
            <w:vAlign w:val="bottom"/>
            <w:gridSpan w:val="10"/>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2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60" w:type="dxa"/>
            <w:vAlign w:val="bottom"/>
            <w:gridSpan w:val="15"/>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______________________</w:t>
      </w:r>
    </w:p>
    <w:p>
      <w:pPr>
        <w:sectPr>
          <w:pgSz w:w="11900" w:h="16838" w:orient="portrait"/>
          <w:cols w:equalWidth="0" w:num="1">
            <w:col w:w="11160"/>
          </w:cols>
          <w:pgMar w:left="4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175895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type w:val="continuous"/>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ability to grow or maintain our dollar-based net retention rate, expand usage of our platform within organizations, and sell subscriptions to our platform; our ability to convert individuals, teams, and organizations on our free and trial versions into paying customers; the timing and success of new features, integrations, capabilities, and enhancements by us, or by our competitors to their products, including the successful deployment of artificial intelligence (“AI”),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ongoing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talent, technologies, or intellectual property, including potentially significant amortization costs and possible write-downs; general economic conditions affecting domestic or international markets, and the rate of global information technology (“IT”) spending, including as a result of a downturn or recession, inflation and high interest rates, and instability in financial institutions and global financial markets; and geopolitical instability.</w:t>
      </w:r>
    </w:p>
    <w:p>
      <w:pPr>
        <w:spacing w:after="0" w:line="1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do not reflect the potential impact of any future acquisitions, mergers, dispositions, joint ventures, restructurings, or investments.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10-K to “we,” “us,” “our,” “our company,” and “Asana” refer to Asana, Inc. and its consolidated subsidiaries. The Asana logo, “Asana,” “Work Graph,”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173"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Investing in our Class A common stock involves numerous risks, including the risks described in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xml:space="preserve"> of this Annual Report on Form 10-K. Below are some of these risks, any one of which could materially adversely affect our business, financial condition, results of operations, and prospects.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 growth rates may not be indicative of our future growth.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our current scale, which makes it difficult to evaluate our future prospects and may increase the risk that we will not be successful.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not be able to achieve profitability or, if achieved, sustain profitability.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long-term value as a company will be greater if we focus on growth, which may negatively impact our profitability in the near and medium term.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and annual results may fluctuate significantly and may not meet our expectations or those of investors or securities analysts.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work management solutions develops more slowly than we expect or declines, our business would be adversely affected.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 and competition presents an ongoing threat to the success of our business. Our ability to compete and ensure our success requires developments in our technology, including the successful deployment of AI in our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leverage our sales capabilities would harm our ability to expand usage of our platform within our customer base and achieve broader market acceptance of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attract and retain highly qualified personnel in very competitive markets to continue to execute on our business strategy and growth plans.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technical operations infrastructure, or experience service outages, interruptions, or delays in the deployment of our platform, our results of operations may be harmed.</w:t>
      </w:r>
    </w:p>
    <w:p>
      <w:pPr>
        <w:spacing w:after="0" w:line="10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key personnel could harm our business.</w:t>
      </w:r>
    </w:p>
    <w:p>
      <w:pPr>
        <w:spacing w:after="0" w:line="17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culture has contributed to our success, and if we cannot maintain this culture as we grow, we could lose the employee engagement fostered by our culture, which could harm our business.</w:t>
      </w:r>
    </w:p>
    <w:p>
      <w:pPr>
        <w:spacing w:after="0" w:line="10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maintaining open marketplaces to distribute our mobile application. If such third parties interfere with the distribution of our platform, our business would be adversely affected.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customers outside the United States and our international operations expose us to risks inherent in international sales and operations.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evolving U.S. and foreign laws, regulations, rules, contractual obligations, industry standards, policies and other obligations related to AI, privacy, data protection,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may be volatile and could decline significantly and rapidly.</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consolidations, sale of all or substantially all of our assets, or other major corporate transaction requiring stockholder approval.</w:t>
      </w:r>
    </w:p>
    <w:p>
      <w:pPr>
        <w:spacing w:after="0" w:line="125"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Class A common stock in the public markets, or the perception that sales might occur, could cause the trading price of our Class A common stock to decline.</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Asana is an enterprise work management software platform that unifies cross-functional teams so businesses can effectively set and track goals, drive strategic initiatives, and manage work effectively. Over 169,000 paying customers across 200 countries and territories use Asana to connect their work to company goals and orchestrate mission-critical workflows like product launches,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 In Asana, everyone understands who is doing what, by when, how and why.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Why Asana was Founded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was created because our co-founders experienced firsthand the work coordination challenges faced by large and growing companies. Instead of spending time on high impact work that generated results, employees get stuck in status meetings and struggle to coordinate work via emails, documents and communication apps. In short, organizations are drowning in tools and crave clarity around how work connects to business goals.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co-founders created Asana to address this work transparency and coordination problem. They developed a solution that brings cross-functional teams together effectively and creates a system of record across all work and all levels of an organization. From the goals at the top of an organization to the strategic portfolios in place to achieve those goals, down to the cross-functional projects and individual tasks that support those strategies – Asana captures and maps it all. This clarity and transparency helps individuals, teams, departments, and leaders work smarter to drive better outcomes, faster.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Asana Work Graph</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Underpinning our platform is the Asana Work Graph®, our proprietary data model. The Asana Work Graph provides a structured map of how all work gets done inside an organization. It is built for scale and captures the relationship between the work that teams undertake, the information about that work, the people doing the work, and the outcomes of that work. In contrast, others approach the problem of work management with a container model, relating tables of data which force units of work into a singular construct, leading to duplicated work. The Work Graph serves as the single source of truth for every department with the right security, permissions, control, and enterprise requirements needed to handle work for the largest companies, regardless of industry.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Asana AI</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Asana AI differentiates itself through its foundation on the Work Graph data model. This unique data architecture enables the AI to maintain comprehensive context about how work actually flows through an organization, ensuring its recommendations and actions are grounded in accurate, up-to-date information about team workflows and organizational practices. Leveraging this structured work data, Asana AI allows humans and AI to collaborate together to automate manual work, get insights on what to prioritize, and adapt workflows to an organization's evolving needs.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Asana takes a human-centered, ethical approach to AI. We have built our AI via strategic partnerships with leading foundational model providers, ensuring enterprise-grade security and reliability. Our AI Principles that define how we build and deploy AI are on our website.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is a multi-product company and our go-to-market strategy has evolved to emphasize our direct sales approach and further investments in our channel partner program, all while maintaining our successful product-led growth motion. This allows us to better serve enterprise buyers and reach teams of all sizes.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customers initially adopt our platform through product-led channels such as our website and free trials, often quickly expanding through customer support and professional services via the promotion of new use cases. As customers experience the productivity benefits of Asana, our platform becomes critical to managing work and achieving business objectives, which drives further adoption and expansion. This pattern of increasing platform value is evidenced by our dollar-based net retention rate, which generally increases with greater organizational spend.</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further strengthen our enterprise motion, we established a partner program which includes a robust ecosystem of value-added resellers, managed service providers, and technology partners across more than 50 countries. These partners have unique expertise, services and products that complement Asana’s portfolio. Our sales program supports partner success via comprehensive education and certification resources and a global partner directory where customers can connect with Asana partners directly for project support or managed services.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our hybrid go-to-market approach is demonstrated by our strong customer metrics. As of January 31, 2025, our dollar-based net retention rate for Core customers (those spending $5,000 or more annually) was 97%, representing 24,062 customers. For our largest customers, spending $100,000 or more annually, our dollar-based net retention rate was 96%, comprising 726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Challenges we Solve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Work continues to get harder to manage as organizations try to move faster to accomplish ambitious goals and respond to changing global conditions and market demands. According to Asana’s 2024 State of Work Innovation report, 53% of an average knowledge worker’s week is spent on busywork, rather than strategic, high value projects. This is because teams are trying to manage critical projects across departments and geographies via a combination of spreadsheets, documents, emails, calls, and meetings. These mechanisms aren’t designed for coordinating work at scale so employees become overwhelmed trying to determine priorities, understand project status, who’s doing what, and how work is impacting objectives and goals.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critical business problem is uniquely solved by a purpose-built work management solution. It eliminates chaos and complexity by offering one source of truth for all work, and serves as the work coordination layer between teams and tools.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Customers &amp; Use Cases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Asana serves the needs of all workers and organizations. From individual contributors to the executive leadership team, across departments and roles in a wide range of businesses. With Asana:</w:t>
      </w:r>
    </w:p>
    <w:p>
      <w:pPr>
        <w:spacing w:after="0" w:line="104" w:lineRule="exact"/>
        <w:rPr>
          <w:sz w:val="20"/>
          <w:szCs w:val="20"/>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Individuals </w:t>
      </w:r>
      <w:r>
        <w:rPr>
          <w:rFonts w:ascii="Times New Roman" w:cs="Times New Roman" w:eastAsia="Times New Roman" w:hAnsi="Times New Roman"/>
          <w:sz w:val="18"/>
          <w:szCs w:val="18"/>
          <w:color w:val="auto"/>
        </w:rPr>
        <w:t>can manage their work, from tasks to cross-functional projects and workflows, and see how it ladders up to strategic initiatives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organization-wide goals. Individuals can collaborate with teammates and gain visibility into each team member’s responsibilities and progress, maximizing effectiveness and reducing distractions from high impact work.</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Team leads and directors </w:t>
      </w:r>
      <w:r>
        <w:rPr>
          <w:rFonts w:ascii="Times New Roman" w:cs="Times New Roman" w:eastAsia="Times New Roman" w:hAnsi="Times New Roman"/>
          <w:sz w:val="18"/>
          <w:szCs w:val="18"/>
          <w:color w:val="auto"/>
        </w:rPr>
        <w:t>can manage work across a portfolio of projects or workflows, see progress against goals, identify bottlenecks, resource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constraints, and milestones without having to ask for updates and distract workers. They can also adjust plans and reallocate resources in real time to drive outcomes faster.</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Executives </w:t>
      </w:r>
      <w:r>
        <w:rPr>
          <w:rFonts w:ascii="Times New Roman" w:cs="Times New Roman" w:eastAsia="Times New Roman" w:hAnsi="Times New Roman"/>
          <w:sz w:val="18"/>
          <w:szCs w:val="18"/>
          <w:color w:val="auto"/>
        </w:rPr>
        <w:t>can communicate company-wide goals, monitor status, and oversee work across projects and portfolios to gain real-time insights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 all work in the organization is tracking against strategic objectives.</w:t>
      </w:r>
    </w:p>
    <w:p>
      <w:pPr>
        <w:spacing w:after="0" w:line="10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support cross-functional use cases across the entire organization, enabling every team to customize the platform for their specific needs and ways of working. Some of our most common use cases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Project and Process Management: </w:t>
      </w:r>
      <w:r>
        <w:rPr>
          <w:rFonts w:ascii="Times New Roman" w:cs="Times New Roman" w:eastAsia="Times New Roman" w:hAnsi="Times New Roman"/>
          <w:sz w:val="18"/>
          <w:szCs w:val="18"/>
          <w:color w:val="auto"/>
        </w:rPr>
        <w:t>Teams use Asana to plan, execute, and track both complex projects and recurring processes. From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campaigns and product launches to IT service requests and employee onboarding, Asana provides the structure and visibility needed to drive this work forward.</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Goals and Business Reporting: </w:t>
      </w:r>
      <w:r>
        <w:rPr>
          <w:rFonts w:ascii="Times New Roman" w:cs="Times New Roman" w:eastAsia="Times New Roman" w:hAnsi="Times New Roman"/>
          <w:sz w:val="18"/>
          <w:szCs w:val="18"/>
          <w:color w:val="auto"/>
        </w:rPr>
        <w:t>Organizations align their teams around shared objectives using our Goals feature, while gaining real-time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insights into progress through customizable dashboards and reporting capabilities. This enables leaders to track key metrics, identify bottlenecks, and make data-driven decisions.</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Resource Management: </w:t>
      </w:r>
      <w:r>
        <w:rPr>
          <w:rFonts w:ascii="Times New Roman" w:cs="Times New Roman" w:eastAsia="Times New Roman" w:hAnsi="Times New Roman"/>
          <w:sz w:val="18"/>
          <w:szCs w:val="18"/>
          <w:color w:val="auto"/>
        </w:rPr>
        <w:t>Teams optimize workforce allocation through our resource management tools, which provide visibility into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workload distribution, and project timelines. This helps prevent burnout while ensuring critical initiatives are properly staffed.</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Planning and Portfolio Management: </w:t>
      </w:r>
      <w:r>
        <w:rPr>
          <w:rFonts w:ascii="Times New Roman" w:cs="Times New Roman" w:eastAsia="Times New Roman" w:hAnsi="Times New Roman"/>
          <w:sz w:val="18"/>
          <w:szCs w:val="18"/>
          <w:color w:val="auto"/>
        </w:rPr>
        <w:t>Leaders leverage Asana to prioritize initiatives, allocate resources across portfolios, and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alignment from executive vision to day-to-day execution.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brings users together on a single unified platform that provides clarity at every level of an organization for individuals, team leads, and executives. It enables organizations to align work to goals, coordinate cross-functional work, gain visibility into progress, automate workflows across departments, and scale work securely.</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two, complementary products within the Asana platform to meet the needs of diverse organizations. Our core work management product is available in a tiered, seat-based model – Personal, Starter, Advanced, Enterprise, and Enterprise+ – each providing increasing levels of functionality and control to support growing organizational complexity. In 2024, we launched Asana AI Studio, our dedicated AI product that augments the core platform with AI capabilities. This no-code builder operates on a consumption-based model and lets teams design custom AI agents and deploy them directly within their workflows, underscoring our vision to continually foster effective partnership between our users and AI.</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Asana platform maintains a robust API that enables developers to build apps on Asana and integrate efficiently with hundreds of third-party applications like Microsoft Teams, Slack, Jira, Salesforce, Google Workspace, Adobe Creative Cloud and many more. Integrations connect Asana with applications so that teams are able to coordinate work, no matter where it occurs. Apps built on Asana can use app components, which enables developers to display their own customized widgets, forms, and rules within Asana’s user interface, empowering teams to work more.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Powered by the Asana Work Graph, our platform captures the relationship between the work, (e.g., tasks, goals, ideas, agenda items), the information about that work, (e.g., custom fields, messages, files, dependencies, status), and the people doing the work (e.g., assignees, roles, teams, divisions). Asana provides interactive dynamic views—list, calendar, board, timeline, goals, portfolio, reports and more—so that teams can work together on the same underlying data in whatever way makes most sense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805815</wp:posOffset>
            </wp:positionV>
            <wp:extent cx="5143500" cy="267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AI</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approach to AI centers on the concept that AI is no longer just a tool—it’s a teammate. Powered by our Work Graph, Asana AI comes alongside employees in the flow of their work, driving projects and strategic initiatives forward in three key ways:</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Advise teams </w:t>
      </w:r>
      <w:r>
        <w:rPr>
          <w:rFonts w:ascii="Times New Roman" w:cs="Times New Roman" w:eastAsia="Times New Roman" w:hAnsi="Times New Roman"/>
          <w:sz w:val="18"/>
          <w:szCs w:val="18"/>
          <w:color w:val="auto"/>
        </w:rPr>
        <w:t>where to focus by surfacing insights around potential risks to achieving goals.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Action work and workflows </w:t>
      </w:r>
      <w:r>
        <w:rPr>
          <w:rFonts w:ascii="Times New Roman" w:cs="Times New Roman" w:eastAsia="Times New Roman" w:hAnsi="Times New Roman"/>
          <w:sz w:val="18"/>
          <w:szCs w:val="18"/>
          <w:color w:val="auto"/>
        </w:rPr>
        <w:t>at scale by taking on tasks, triaging requests, and assigning work.</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Adapt to how teams work </w:t>
      </w:r>
      <w:r>
        <w:rPr>
          <w:rFonts w:ascii="Times New Roman" w:cs="Times New Roman" w:eastAsia="Times New Roman" w:hAnsi="Times New Roman"/>
          <w:sz w:val="18"/>
          <w:szCs w:val="18"/>
          <w:color w:val="auto"/>
        </w:rPr>
        <w:t>by identifying where workflows are broken or could be improved based on organizational best practices and sharing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resources to inform work.</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Value</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core tenet of our platform is to create clarity and accountability up, down, and across the organization, to maximize every employee’s impact, and help organizations scale these efficiently with security and control.</w:t>
      </w:r>
    </w:p>
    <w:p>
      <w:pPr>
        <w:spacing w:after="0" w:line="10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Drive greater clarity and accountability</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Asana drives clarity and accountability by connecting work to company goals. It’s a single source of truth for how work gets done inside organizations, which means everyone stays focused on priorities. They can see progress in real time and make rapid, strategic decisions to ensure goals are achieved quickly and effectively.</w:t>
      </w:r>
    </w:p>
    <w:p>
      <w:pPr>
        <w:spacing w:after="0" w:line="11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Maximize impact with AI</w:t>
      </w:r>
    </w:p>
    <w:p>
      <w:pPr>
        <w:spacing w:after="0" w:line="17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Asana AI increases the velocity of productive work by coming alongside knowledge workers to automate manual tasks, provide insights on where to prioritize and adapt workflows to best support the organization's evolving needs. From intake and planning stages through to execution and reporting, AI is embedded in the most critical workflows where teams already work.</w:t>
      </w:r>
    </w:p>
    <w:p>
      <w:pPr>
        <w:spacing w:after="0" w:line="11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Scale with confidence</w:t>
      </w:r>
    </w:p>
    <w:p>
      <w:pPr>
        <w:spacing w:after="0" w:line="175"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The Asana Work Graph enables true enterprise scalability, supporting deployments of over 200,000 users while maintaining robust security, governance, and control. Organizations and their leaders—from end users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professionals and chief information officers—choose Asana for its category-leading net promoter score and cross-functional capabilities.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Value Delivery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platform delivers differentiated value across each of our primary use cases through our core and AI functionality:</w:t>
      </w:r>
    </w:p>
    <w:p>
      <w:pPr>
        <w:spacing w:after="0" w:line="16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Project and Process Management: </w:t>
      </w:r>
      <w:r>
        <w:rPr>
          <w:rFonts w:ascii="Times New Roman" w:cs="Times New Roman" w:eastAsia="Times New Roman" w:hAnsi="Times New Roman"/>
          <w:sz w:val="18"/>
          <w:szCs w:val="18"/>
          <w:color w:val="auto"/>
        </w:rPr>
        <w:t>Our platform forms the foundation for teams to create time-bound project plans or customized, repeatable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while maintaining organizational consistency through templates and rules. Teams benefit from Gantt-chart functionality with automated dependency management, while forms streamline work intake with intelligent routing. Asana AI enhances these capabilities by drafting detailed project plans, suggesting task metadata to support ongoing tracking, and proactively identifying potential risks or bottlenecks. Asana AI can also help teams streamline their workflows by analyzing patterns and suggesting process improvements based on organizational best practices.</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Goals and Business Reporting: </w:t>
      </w:r>
      <w:r>
        <w:rPr>
          <w:rFonts w:ascii="Times New Roman" w:cs="Times New Roman" w:eastAsia="Times New Roman" w:hAnsi="Times New Roman"/>
          <w:sz w:val="18"/>
          <w:szCs w:val="18"/>
          <w:color w:val="auto"/>
        </w:rPr>
        <w:t>Asana provides unprecedented visibility into organizational progress through our native goals feature,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tracks progress as underlying work is completed. Teams can create custom reports to track key metrics across any set of portfolios, projects or processes. Asana AI enriches this reporting by providing predictive insights about goal attainment, surfacing potential risks, and suggesting corrective actions. Asana AI can also generate executive summaries and status updates, saving teams time while ensuring stakeholders stay informed.</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Resource Management: </w:t>
      </w:r>
      <w:r>
        <w:rPr>
          <w:rFonts w:ascii="Times New Roman" w:cs="Times New Roman" w:eastAsia="Times New Roman" w:hAnsi="Times New Roman"/>
          <w:sz w:val="18"/>
          <w:szCs w:val="18"/>
          <w:color w:val="auto"/>
        </w:rPr>
        <w:t>Our workload view offers a comprehensive solution for managing team capacity and task distribution, complemented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planning tools that optimize staffing across projects. Advanced permission controls ensure sensitive resource data remains secure, while time tracking integration capabilities provide granular insights into effort allocation. Asana AI augments these capabilities by analyzing historical data to predict resource needs, suggesting optimal task assignments based on team members' capacity and prior experiences, and identifying potential resource conflicts before they impact project timelines.</w:t>
      </w:r>
    </w:p>
    <w:p>
      <w:pPr>
        <w:spacing w:after="0" w:line="1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Strategic Planning and Portfolio Management: </w:t>
      </w:r>
      <w:r>
        <w:rPr>
          <w:rFonts w:ascii="Times New Roman" w:cs="Times New Roman" w:eastAsia="Times New Roman" w:hAnsi="Times New Roman"/>
          <w:sz w:val="18"/>
          <w:szCs w:val="18"/>
          <w:color w:val="auto"/>
        </w:rPr>
        <w:t>Asana unifies strategic planning by aggregating projects, goals, and resources in a single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 workflows facilitate project intake and prioritization, while cross-portfolio reporting provides comprehensive insights into organizational initiatives. Asana AI serves as a strategic partner by analyzing portfolio performance, suggesting resource optimization strategies, and identifying opportunities for better cross-team collaboration. Asana AI can also help leaders evaluate trade-offs between different initiatives by analyzing historical data in the platform.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Asana Work Graph, allowing us to build rich new functionality quickly and innovate in the work management space.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Extensible, Efficient Technology Platform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cloud-native platform includes proprietary software services built on top of infrastructure provided by our preferred cloud provider, Amazon Web Services. We shard customer data in our distributed datastore (located in several data centers around the world) to achieve high scale, availability, performance, as well as redundancy to protect against data loss. Our platform services keep track of connected devices and data requests, automatically sending updates to devices as data is refreshed. This allows our client software to surface real-time information efficiently and provides a fast, responsive experience to our customers.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Commitment to Security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Upholding the trust that we have established with our customers and gaining the trust of new customers remains a priority for us and as a result, we have implemented safeguards designed to protect the confidentiality and security of customer data. Our security program includes conducting risk assessments of our systems that process the data our customers store in Asana; monitoring for security events; maintaining incident response, disaster recovery, and business continuity plans that explicitly address and provide guidance to our employees in furtherance of the security, confidentiality, integrity, and availability of customer data; and having a qualified third party perform security assessments on a periodic basis to test against security standards and practices.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security program considers the American Institute of Certified Public Accountants (“AICPA”) Trust Services Criteria for Security, Availability, and Confidentiality as well as the ISO 27001:2013 standards for the systems that process the data our customers store in Asana. We issue a SOC 2 Type II report on an annual basis and are certified against ISO 27001:2013, and ISO 27017:2015. This means that independent third parties have both validated our processes and practices with respect to these standards, and confirmed our ability to maintain compliance with controls we have implemented.</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built our platform with security features, integrations, and infrastructure that are designed to be scalable as we develop and introduce new functionality. We have implemented a variety of safeguards designed to protect the security of our platform, including encrypting user data in transit and at rest, replicating our databases to support reliability of the platform, and controlling access to our facilities and office network.</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commitment to meeting the rigorous security and compliance needs of regulated industries, including government customers, can be seen in our announced pursuit of FedRAMP authorization in the United States. This strategic initiative seeks to better enable healthcare providers, financial institutions, and governmental bodies to use Asana's work management platform while maintaining compliance with their strict security and privacy standards.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and Privacy for Our Customers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committed to protecting the privacy rights of our customers. We have established a comprehensive privacy and data protection compliance program, aligning our practices with regulations such as the European Union’s General Data Protection Regulation 2016/679 (“EU GDPR”) and the California Consumer Privacy Act of 2018, as amended by the California Privacy Rights Act of 2020 (“CPRA”) (collectively, “CCPA”). Asana also aligns its privacy program for the systems that process the data our customers store in Asana to privacy certifications such as ISO/IEC 27701:2019 and ISO 27018:2019. We deliver periodic training to our employees on privacy practices, review and map the data we collect, use, and share, and have created a global customer rights program to reply to customer requests pertaining to data privacy. Additionally, Enterprise customers can purchase a version of Asana that can be used to comply with their obligations under the U.S. Health Insurance Portability and Accountability Act (“HIPAA”). We strive to be transparent about our privacy and data protection practices. Law and regulatory guidance continues to evolve when it comes to privacy and data protection. As data protection authorities and regulators interpret and issue guidance on the EU GDPR, along with other new and existing privacy, data protection, and security laws around the world, we will continue to follow developments and enhance our privacy program as needed.</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process confidential, proprietary, and sensitive information, including personal information. Accordingly, we are, or may become, subject to numerous privacy, data protection, and security requirements, including federal, state, local, and foreign laws, and regulations related to privacy, data protection, and security. Several states within the United States have enacted or proposed privacy, data protection, and security laws and we expect more states to pass similar laws in the future. Additionally, we are, or may become, subject to various U.S. federal and state consumer protection laws which require us to publish statements that accurately and fairly describe how we handle personal information and choices individuals may have about the way we handle their personal information.</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for additional information about some of the laws and regulations to which we may become subject and about the risks to our business associated with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a paying customer as a customer on a paid subscription plan. As of January 31, 2025, we had over 169,000 paying customers globally. Of those paying customers, 24,062 were Core customers, and 726 of those paying customers spent $100,000 or more with us on an annualized basis.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current customer base spans numerous industry categories, including technology, retail, education, non-profit, government, healthcare, hospitality, media, manufacturing, professional services, and financial services, and includes many category leaders across these diverse industries.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employ a hybrid go-to-market approach, combining a product-led model, direct sales and channel partners.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Product-led Model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demonstrate the value of our platform to potential paying customers, we provide free trials of our paid Asana Advanced tier offering, in addition to our free Personal tier offering, for teams of up to 10 people. As individuals, teams, and their guests realize the productivity benefits we provide, Asana becomes an integral part of their day-to-day work and critical to helping them achieve their objectives.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 Sales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targeted direct sales team focused on promoting new use cases, expanding our footprint within our existing customer base, and landing large enterprise accounts with a top-down motion. Our direct sales force has a global presence, and consists of sales teams focused primarily on accounts with expansion opportunities including department-specific and organization-wide use cases such as strategic planning, employee onboarding, and goal setting and tracking.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Channel Partners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built a robust ecosystem of value-added resellers, managed service providers, and technology partners across more than 50 countries. These partners have unique expertise, services and products that complement Asana’s portfolio. Sales supports partner success via comprehensive education and certification resources and a global partner directory where customers can connect with Asana partners directly for projects or managed services.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market our platform through owned properties, such as our website, first-party events like the Work Innovation Summit global series, third-party events, social media channels, media coverage, paid acquisition, and word of mouth to promote discovery and adoption. Every month millions of people visit asana.com, and hundreds of thousands of people register to try our platform and products. Our customers also have the ability to invite external parties to collaborate on specific Asana projects, which supports viral adoption of our platform.</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engage in thought leadership through The Work Innovation Lab – a research and thought leadership platform by Asana that develops human-centered insight and original research to help businesses evolve today to meet the growing needs and challenges of the future of work.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global Asana community connects over 800,000 users to Asana and each other online and offline, and creates champions to help spread the word about Asana. Through the community, Asana users can become Ambassadors to deepen their Asana knowledge and inspire their teams, connect with peers in the online Forum, and attend in-person and online Asana on Tour community events to improve their Asana expertise.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Culture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company culture is a core driver of our business success and enables us to work towards achieving our mission.</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of our values is purposefully aligned with what will guide us to achieve our mission: To help humanity thrive by enabling the world's teams to work together effortlessly.</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690031"/>
        </w:rPr>
        <w:t>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67945</wp:posOffset>
            </wp:positionV>
            <wp:extent cx="574040" cy="574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933450</wp:posOffset>
            </wp:positionV>
            <wp:extent cx="574040" cy="574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690031"/>
        </w:rPr>
        <w:t>Clarity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67945</wp:posOffset>
            </wp:positionV>
            <wp:extent cx="574040"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690031"/>
        </w:rPr>
        <w:t>Reject False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690031"/>
        </w:rPr>
        <w:t>Tradeoffs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48895</wp:posOffset>
            </wp:positionV>
            <wp:extent cx="574675"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75" cy="56578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915035</wp:posOffset>
            </wp:positionV>
            <wp:extent cx="574675" cy="57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675" cy="57404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915035</wp:posOffset>
            </wp:positionV>
            <wp:extent cx="574040"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04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690031"/>
        </w:rPr>
        <w:t>Co-Creation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67945</wp:posOffset>
            </wp:positionV>
            <wp:extent cx="574675" cy="565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675" cy="56578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933450</wp:posOffset>
            </wp:positionV>
            <wp:extent cx="574675"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75"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690031"/>
        </w:rPr>
        <w:t>Mindfulness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60325</wp:posOffset>
            </wp:positionV>
            <wp:extent cx="574675" cy="57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5">
            <w:col w:w="2620" w:space="720"/>
            <w:col w:w="1200" w:space="720"/>
            <w:col w:w="1460" w:space="720"/>
            <w:col w:w="1460" w:space="720"/>
            <w:col w:w="16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690031"/>
        </w:rPr>
        <w:t>Give and Take</w:t>
      </w:r>
    </w:p>
    <w:p>
      <w:pPr>
        <w:spacing w:after="0" w:line="39" w:lineRule="exact"/>
        <w:rPr>
          <w:sz w:val="20"/>
          <w:szCs w:val="20"/>
          <w:color w:val="auto"/>
        </w:rPr>
      </w:pPr>
    </w:p>
    <w:p>
      <w:pPr>
        <w:ind w:left="1940"/>
        <w:spacing w:after="0"/>
        <w:rPr>
          <w:sz w:val="20"/>
          <w:szCs w:val="20"/>
          <w:color w:val="auto"/>
        </w:rPr>
      </w:pPr>
      <w:r>
        <w:rPr>
          <w:rFonts w:ascii="Arial" w:cs="Arial" w:eastAsia="Arial" w:hAnsi="Arial"/>
          <w:sz w:val="17"/>
          <w:szCs w:val="17"/>
          <w:b w:val="1"/>
          <w:bCs w:val="1"/>
          <w:color w:val="690031"/>
        </w:rPr>
        <w:t>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690031"/>
        </w:rPr>
        <w:t>Be Real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690031"/>
        </w:rPr>
        <w:t>(with yourself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690031"/>
        </w:rPr>
        <w:t>Do Great</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690031"/>
        </w:rPr>
        <w:t>Things, Fast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690031"/>
        </w:rPr>
        <w:t>Heartitude</w:t>
      </w:r>
    </w:p>
    <w:p>
      <w:pPr>
        <w:spacing w:after="0" w:line="255" w:lineRule="exact"/>
        <w:rPr>
          <w:sz w:val="20"/>
          <w:szCs w:val="20"/>
          <w:color w:val="auto"/>
        </w:rPr>
      </w:pPr>
    </w:p>
    <w:p>
      <w:pPr>
        <w:sectPr>
          <w:pgSz w:w="11900" w:h="16838" w:orient="portrait"/>
          <w:cols w:equalWidth="0" w:num="4">
            <w:col w:w="3400" w:space="720"/>
            <w:col w:w="1480" w:space="720"/>
            <w:col w:w="1520" w:space="720"/>
            <w:col w:w="2680"/>
          </w:cols>
          <w:pgMar w:left="320" w:top="121" w:right="339" w:bottom="1440" w:gutter="0" w:footer="0" w:header="0"/>
          <w:type w:val="continuous"/>
        </w:sectPr>
      </w:pPr>
    </w:p>
    <w:p>
      <w:pPr>
        <w:ind w:left="4220"/>
        <w:spacing w:after="0"/>
        <w:rPr>
          <w:sz w:val="20"/>
          <w:szCs w:val="20"/>
          <w:color w:val="auto"/>
        </w:rPr>
      </w:pPr>
      <w:r>
        <w:rPr>
          <w:rFonts w:ascii="Arial" w:cs="Arial" w:eastAsia="Arial" w:hAnsi="Arial"/>
          <w:sz w:val="17"/>
          <w:szCs w:val="17"/>
          <w:b w:val="1"/>
          <w:bCs w:val="1"/>
          <w:color w:val="690031"/>
        </w:rPr>
        <w:t>and others)</w:t>
      </w:r>
    </w:p>
    <w:p>
      <w:pPr>
        <w:sectPr>
          <w:pgSz w:w="11900" w:h="16838" w:orient="portrait"/>
          <w:cols w:equalWidth="0" w:num="1">
            <w:col w:w="11240"/>
          </w:cols>
          <w:pgMar w:left="320" w:top="121" w:right="339" w:bottom="1440" w:gutter="0" w:footer="0" w:header="0"/>
          <w:type w:val="continuous"/>
        </w:sectPr>
      </w:pPr>
    </w:p>
    <w:p>
      <w:pPr>
        <w:spacing w:after="0" w:line="2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strive to uphold a culture where all employees feel connected to one another and our mission. We do this by distributing responsibility so that every employee has one or more areas of responsibility and using Asana to keep everyone aligned on the high-level purpose of their work and the expected results.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treat our culture like a product, meaning we continuously gather feedback from our employees so we can fine-tune and iterate on our programs, processes, and goals.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Finally, we are Asana power users. Our Asana on Asana approach provides our employees with clarity into how their work directly contributes to our business goals and mission, supports our customers, and enables them to do their most impactful work.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Key to our success is the time, attention, and investment we place on continued innovation in our platform. We continue to invest in expanding our product offerings and enhancing the features and functionality of our platform, particularly in the areas of AI, integrations, automation, functional workflows, security, and organization-wide use cases. We leverage the breadth of our customer base, and the diverse ways in which they use our platform, to recognize their needs quickly and guide future product development and innovation. Further, we ourselves are users—all of our employees are committed to using Asana internally, every day—ensuring our entire organization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touch with the platform’s capabilities and can rapidly identify improvements and test emerging features. Our research and development team is responsible for the design, development, testing, and delivery of solutions for our platform.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work management, project portfolio management, goal management, and workflow management categories, including, but not limited to, solutions around collaboration, communication, and coordination.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competitors fall into the following groups: companies specifically offering work management solutions; companies offering productivity suites; and companies specializing in vertical, department-specific solutions.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Asana Work Graph®, our unique and differentiated data model;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performance, price, and reliability of solutions, including AI-powered features;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structure, security, and observability that makes AI governable at scale;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adaptability to a broad range of use cases;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functionality of platform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security;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 Innovation lab, a research and thought leadership platform, generates proprietary insights and research that executives and organizations utilize in strategic decision-making;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strength;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easy to use integrations for, and robust, effective partnerships with, other larger enterprise software solutions and tools.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certain parts of our service. As a result, open source development and licensing practices can limit the value of our software copyright assets.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we had been granted 101 U.S. patents, had 75 U.S. patent applications pending, and eight notices of allowance. Our issued patents expire between January 2030 and September 2043. We have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aim to be the change we want to see in the workplace. This strategy makes us a better company and contributes to the type of culture we want to work in: one of high impact and deep belonging.</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firmly believe that a strong and positive culture is the foundation for driving exceptional business results. As of January 31, 2025, our Glassdoor overall score sat at 4.0 out of 5.0, including an 81% approval rating of our CEO. During 2024, we were recognized with the following awards that highlight our unwavering dedication to co-creating an environment where our employees thrive and, ultimately, drive the growth and success of our customers.</w:t>
      </w:r>
    </w:p>
    <w:p>
      <w:pPr>
        <w:spacing w:after="0" w:line="12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and Great Place to Work’s Best Workplace in the Bay Area, for the eighth year in a 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Fortune and Great Place to Work’s Best Workplace in Technology for the seventh year in a row;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Inc.’s Best Workplaces for the seventh year in a row.</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our most recent global employee engagement survey, 75% of our employees indicated they would recommend Asana as a great place to work and 76% reported feeling an overall sense of belonging.</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Asana employed 1,819 people as of January 31, 2025, of which approximately 73% were located in the United States and approximately 27% were located internationally.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cash compensation, opportunities for equity ownership at all levels of the organization, development programs that enable continued learning and growth and a robust employment package that promotes well-being across all aspects of their lives, including health care, retirement savings vehicles, and paid time off. Our compensation programs are designed to align employee interests with the long-term success of the company and to foster cross-business collaboration. In conjunction with our annual compensation review program, we run a regression-based analysis of our pay equity globally with the assistance of a third-party firm to ensure that we are promoting and retaining the best talent. As part of our promotion and retention efforts, we also invest in ongoing leadership development through programs such as our Conscious Leadership training program, and encourage managers to utilize development offerings in our learning and development platform. In addition, we regularly conduct employee surveys to gauge employee engagement and identify areas of focus.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December 2008. Our principal executive offices are located at 633 Folsom Street, Suite 100, San Francisco, CA 94107. Our telephone number is (415) 525-3888. Our website address is https://asana.com. Information contained on, or that can be accessed through, our website is not incorporated by reference into this Annual Report on Form 10-K. The Asana logo, “Asana,” “Work Graph,” and our other registered or common law trademarks, service marks or trade names appearing in this Annual Report on Form 10-K are the property of Asana, Inc. Other trade names, trademarks, and service marks used in this Annual Report on Form 10-K are the property of their respective owners.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to those reports may also be obtained, free of charge, electronically through our investor relations website located at investors.asana.com as soon as reasonably practicable after we file such material with, or furnish it to, the SEC.</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announce material information to the public using SEC filings, press releases, public conference calls, and on the investor relations page of our website at https://investors.asana.com. We use these channels, as well as social media, our LinkedIn page (www.linkedin.com/company/asana), our Instagram account (@asana), our Facebook page (www.facebook.com/asana/), and Threads profiles (@asana and @moskov), to communicate with investors and the public about our company, our products 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together with the other information in this Annual Report on Form 10-K, including the section titled “Management’s Discussion and Analysis of Financial Condition and Results of Operations” and our consolidated financial statements and related notes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prior growth rates may not be indicative of our future growth.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in prior periods and we may not be able to achieve similar revenue growth rates in the future. Further, as we continue to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12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individuals, teams, and organizations as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or maintain our dollar-based net retention rate, expand usage within organizations, and sell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package our subscription plans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individuals, teams, and organizations on our free and trial versions into paying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widespread acceptance and use of our platform, including in markets outside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expand our direct sales force and channel partner program and leverage our existing sales capacity;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features and capabilities of our platform, including the successful deployment of AI features in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excellent customer experience and customer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security, privacy, and reliability of our platform or systems that process confidential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compete against established companies and new market entrants, as well as existing software tools;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prior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In particular, advancements in technology such as AI and machine learning are changing the way people work by automating tasks, enhancing communication, and improving decision-making processes, and businesses that are slow to adopt these new technologies may face a competitive disadvantage.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fluctuating interest rates, inflation, actual or anticipated bank failures, instability in financial markets, tariffs and changes in trade agreements,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may not be able to achieve profitability or, if achieved, sustain profitability.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fiscal year since our founding. We generated net losses of $255.5 million and $257.0 million for the fiscal years ended January 31, 2025 and January 31, 2024, respectively. As of January 31, 2025, we had an accumulated deficit of $1,828.5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to continue to make future investments and expenditures related to the growth of our business, including:</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 in our sales and marketing activities;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investments in research and development to introduce new features and enhancements to our platform, including integration of AI in our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employees necessary to support our goals;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operations across our multiple geographies;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general and administrative organization.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significant part of our business strategy and culture is to focus on long-term growth and customer success over short-term financial results. As a result, in the near and medium term, we may continue to operate at a loss, or our near- and medium-term profitability may be lower than it would be if our strategy were to maximize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meet our expectations or those of investors or securities analysts.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12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or maintain our dollar-based net retention rate, expand usage within organizations, and sell subscriptions;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features, integrations, capabilities, and enhancements by us to our platform, or by our competitors to their products, including the development and deployment of AI driven features, or any other changes in the competitive landscape of our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widespread acceptance and use of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our forecasting of the demand for our platform, which would lead to lower revenues, increased costs, or both;</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and recognition of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technical difficulties, or interruptions to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other dispute-related settlement payments, or other litigation-related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hired;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grant or vesting of equity awards to employees, directors, or consultants;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for software spending;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global interest rates, which may affect our customers’ spending patterns and our return on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inflation on our costs and on customer spending;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continuing uncertainty in relation to, the legislative or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 costs in new and existing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either domestic or international markets, including geopolitical uncertainty and instability, tariffs and changes in trade agreements, and their effects on software spending.</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significant growth and increasing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12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 plans. Additionally, we seek to expand within organizations by adding new customers, having organizations upgrade to our Advanced, Enterprise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on-going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lengthened sales cycles, and diversion of our own sales and professional services resources to a smaller number of larger customers. If our efforts to sell to organizations of all sizes are not successful or do not generate additional revenues, our business, results of operations, and financial condition would suffer.</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and packaging, adequate quality testing, integration with new and existing technologies, including AI,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We may have limited insight into the privacy, data protection, or security practices of third-party data suppliers for our AI algorithms.</w:t>
      </w:r>
    </w:p>
    <w:p>
      <w:pPr>
        <w:spacing w:after="0" w:line="14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their subscription plan.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including a downturn or recession, inflation and fluctuating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fluctuating interest rates, instability in financial markets, bank failures,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their existing cash to fulfill their payment obligation to us due to future bank failures, our business could be negatively impacted. As a result of these macroeconomic conditions, and any corresponding actions customers may take to manage costs, we have experienced and may continue to experience longer sales cycles, and we may continue to experience a reduction in renewal rates,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macroeconomic uncertainties may not be fully reflected in our operating results and overall financial performance until future periods. If we fail to predict customer demands, fail to sufficiently account for the impact of macroeconomic conditions on our sales projections, or fail to attract new customers and maintain and expand new and existing customer relationships, our revenues may grow more slowly than expected, may not grow at all, or may decline, and our business may be harmed.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of our marketing strategies is to offer free and trial subscription plans, and we may not be able to continue to realize the benefits of this strategy.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free and trial subscription plans to promote brand awareness and organic adoption of our platform.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 the costs associated with hosting such free and trial versions, our ability to grow our business will be harmed, and our business, results of operations, and financial condition will suffer.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substantially all of our revenues from a single software solution and products available as add-ons to that solution.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flagship product, the Asana work management platform, currently accounts for substantially all of our revenue through seat-based licenses. Additionally, the revenue derived from our add-on product, AI Studio, and products or services we may launch in the future, may be dependent on licenses to our core work management platform.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including features, integrations, or capabilities that utilize AI; price, product, and service changes by us or our competitors; technological changes and developments within the markets we serve; growth, contraction, and rapid evolution of our market; and general economic conditions and trends including a downturn or recession, inflation, and fluctuating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work management solutions develops more slowly than we expect or declines, our business would be adversely affected.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or if work management solutions are disrupted by developments in AI and we are unable to successfully integrate AI in our products, weakening economic conditions, privacy, data protection, or security concerns, competing technologies and products, decreases in corporate spending, or otherwise, it could result in decreased revenues, and our business, results of operations, and financial condition would be adversely affected.</w:t>
      </w:r>
    </w:p>
    <w:p>
      <w:pPr>
        <w:spacing w:after="0" w:line="13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competition presents an ongoing threat to the success of our business. Our ability to compete and ensure our success requires developments in our technology, including the successful deployment of artificial intelligence in our products.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portfolio management, work management, goal management, and workflow management categories, including, but not limited to, solutions around collaboration, communication, and coordination. Our competitors generally fall into the following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companies specifically offering work management solutions, companies offering productivity suites, and companies specializing in vertical solutions that address a portion of our market.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 the following: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developments in our technology, including the successful deployment of AI in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adaptability of our platform to a broad range of use cases;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platform and the timing and market acceptance of new features and enhancements to our platform or the offerings of our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performance, price, security, and reliability of solutions developed either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strength;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efforts, including our ability to grow our market share domestically and internationally;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diversity of our customer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efforts;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create easy to use integrations for, and robust, effective partnerships with, other larger enterprise software solutions and tools.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incorporate AI or machine learning to more significantly improve their product offerings,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may offer price concessions, delayed payment terms, financing terms, or other terms and conditions that are more enticing to potential customers.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leverage our sales capabilities would harm our ability to expand usage of our platform within our customer base and achieve broader market acceptance of our platform.</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expand usage of our platform within our customer base and achieve broader market acceptance among businesses will depend to a significant extent on our ability to expand our sales operations successfully, particularly our sales and marketing efforts targeted at broadening use of our platform across departments and entire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organizations. We plan to leverage our direct sales force and channel partners,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and channel partners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and channel partners are unable to achieve desired productivity levels in a reasonable period of time, or if we are unable to retain our existing direct sales personnel and channel partners.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attracting, training, and retaining sufficient numbers of capable sales personnel in our direct sales force and channel partners to support our growth.</w:t>
      </w:r>
    </w:p>
    <w:p>
      <w:pPr>
        <w:spacing w:after="0" w:line="13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with whom we work face a variety of evolving threats, including but not limited to ransomware attacks, which could cause security incidents. Security incidents can and do compromise the confidentiality, integrity, and availability of this information or our systems. Such incidents include, but are not limited to, cyber-attacks, software bugs and vulnerabilities, malicious internet-based activity, online and offline fraud, server malfunctions, software or hardware failures, malicious code, malware (including as a result of advanced persistent threat intrusion), viruses, social engineering (including through deep fakes, which are increasingly more difficult to identify, and phishing attacks), ransomware, supply chain attacks and vulnerabilities through our third-party partners, denial-of-service attacks, credential stuffing, credential harvesting, loss of data or other information technology assets, adware, telecommunications failures, earthquakes, fire, floods, attacks enhanced or facilitated by AI, and other similar threats, efforts by individuals or groups of hackers and sophisticated organizations, including state-sponsored organizations, threat actors, “hacktivists,” organized criminal threat actors, errors or malfeasance of our personnel, misconfiguration, and security vulnerabilities in the software or systems on which we rely. For example, we have been impacted by the use of automated or other fraudulent processes designed to circumvent controls to conduct fraud, send spam, or to execute an account takeover. We anticipate such activity to continue. These abuses and exploits, and the steps that we take to address them may result in a loss of anticipated revenue, increased costs to protect against or remediate these issues, or cause harm to our reputation and brand.</w:t>
      </w:r>
    </w:p>
    <w:p>
      <w:pPr>
        <w:spacing w:after="0" w:line="1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nation-state-supported actors, are becoming increasingly prevalent and severe and can lead to significant interruptions in our operations and our ability to provide our products or services, loss of confidential, proprietary, and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business. Threat actors may also gain access to other networks and systems after a compromise of our networks and systems.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expend resources and modify our business activities to try to protect against security incidents. Additionally, certain privacy, data protection, and security obligations require us to implement and maintain specific security measures or industry-standard or reasonable security measures to protect our information technology systems and confidential, proprietary, and sensitive information.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have not been, and may not in the future, be able to detect and/or remediate all vulnerabilities including on a timely basis. Further, we have experienced (and may in the future experience) delays in developing and deploying remedial measures designed to address such identified vulnerabilities. Vulnerabilities could be exploited and result in a security incident.</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 parties, including supply chain attacks or other threats to our business operations, could result in unauthorized access to our sites, networks, systems, and accounts; unauthorized access to, and misappropriation of, individuals’ personal information or other sensitive,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or our ability to provide our services;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liabilities, such as investigations, fines, penalties, audits, inspections, injunctions, additional oversight, or restrictions or bans on processing personal information. Actual or anticipated security breaches or attacks may cause us to incur increasing costs, including costs to deploy additional personnel and protection technologies, train employees, and engage third-party experts and consultants.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from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could cause a security incident or other interruption that could result in unauthorized, unlawful, or accidental acquisition, modification, destruction, loss, alteration, encryption, disclosure of, or access to our information technology systems and confidential, proprietary, and sensitive information, or those of the third parties with whom we work. For example, periodically we become aware of attempts to phish Asana employees or attempts to circumvent spam protections we’ve put in place in our product. A security incident or other interruption could disrupt our ability (and that of third parties with whom we work) to provide our products or services or could impact our reputation.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the third parties with whom we work, could also violate applicable privacy, data protection, security, and other laws, and cause significant legal and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exposure, adverse publicity, and a loss of confidence in our security measures, which could have a material adverse effect on our business, results of operations, and financial condition. Applicable privacy, data protection, and security obligations may also require us, or we may voluntarily choose, to notify relevant stakeholders, such as governmental authorities, partners, customers, investors, and affected individuals, of security breaches or incidents, or take other action, such as providing credit monitoring and identity theft protection services, and we have done such notifications in the past. Such notifications may involve inconsistent requirements and are costly, and the notifications or the failure to comply with such applicable requirements could lead to adverse consequences.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confidential, proprietary, and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services, deter new customers from using our services, and negatively impact our ability to grow and operate our business.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security. We also cannot be sure that our insurance coverage will be adequate or sufficient to protect us from or to mitigate liabilities arising out of our privacy, data protection, and security practices, that such coverage will continue to be available on commercially reasonable terms or at all, or that such coverage will pay future claims.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proprietary, or confidential information could be leaked, disclosed, or revealed as a result of or in connection with our employees’ or vendors’ use of generative AI technologies.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any sensitive information (including regulated, proprietary and confidential information, including personal information and business information) that we input into a third-party generative artificial intelligence platform could be leaked or disclosed to others, including if sensitive information is used to train the third parties’ artificial intelligence model. Additionally, where an artificial intelligence model ingests personal information and makes connections using such information, those technologies may reveal other personal or sensitive information generated by the model.</w:t>
      </w:r>
    </w:p>
    <w:p>
      <w:pPr>
        <w:spacing w:after="0" w:line="12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AI and machine learning technologies in our products and operations gives rise to legal, business, and operational risks. Legal, regulatory, social and ethical issues relating to the use of AI and machine learning technologies in our products and business may result in reputational harm and liability.</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platform integrates generative AI and machine learning technology into certain features that we offer to our customers. The rapid evolution of AI and machine learning technologies require dedicated resources to develop, test, and maintain our product offerings and to help responsibly integrate such technologies into certain features to minimize unintended or harmful impacts to our customers. Uncertainty around new and emerging AI and machine learning technologies may require additional investment in the development of proprietary datasets, machine learning models, and systems to test for accuracy, bias, and other variables, which are often complex, may be costly, and could impact our profit margin as we expand the use of AI and machine learning technologies in our products. There are significant risks involved in developing, maintaining, and deploying these technologies internally and/or to customers and there can be no assurance that such technologies will enhance our products or benefit our customers or business.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ability to continue to develop or use such technologies may be dependent on our access to technology offered by vendors and specific third-party software and infrastructure providers, such as processing hardware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AI models, and we cannot control the quality, availability, or cost of such vendor offerings or third-party software and infrastructure offerings. We face competition from other companies in our industry who use similar machine learning technologies. Failure to offer or deploy new AI or machine learning technologies as quickly or effectively as our competitors could adversely affect our business.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market acceptance and consumer perceptions of AI and machine learning technologies are currently fast-evolving and therefore remain uncertain. For example, AI technologies, including generative AI, may create content or information that appears correct but is factually inaccurate or flawed. The use of AI technologies also presents emerging ethical and social issues. If we enable or offer solutions that draw scrutiny or controversy due to their perceived or actual negative impact on our customers, we may experience brand or reputational harm, competitive disadvantages, consumer complaints, legal liability, and other adverse consequences, any of which could materially adversely affect our business, results of operations, and financial condition.</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and may in the future experience, system slowdowns and interruptions.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would harm our business, results of operations, and financial condition.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software technology underlying and integrating with our platform is inherently complex and may contain material defects or errors. Errors, failures, vulnerabilities, or bugs have in the past, and may in the future, occur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information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3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discontinues or limits our access to its software or APIs;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application developers;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how information is accessed by us or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or otherwise favors its own competitive offerings over our platform.</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standards. If we are unable to effectively anticipate and manage these risks, or if it is difficult for customers to access and use our platform, our business, results of operations, and financial condition may be harmed.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could harm our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For example, in March 2025, we announced the anticipated transition of Dustin Moskovitz from the role of Chief Executive Officer to focusing on serving as the Chair of the Board when a new Chief Executive Officer is appointed by the Board. Our senior management and key employees are employed on an at-will basis. We currently do not have “key person” insurance on any of our employees. The loss of Mr. Moskovitz, key development, engineering, sales, or marketing personnel, and other key members of management, may disrupt our operations and have an adverse effect on our ability to grow our business. Changes in our senior management team may also cause disruptions in, and harm to, our business, results of operations, and financial condition.</w:t>
      </w:r>
    </w:p>
    <w:p>
      <w:pPr>
        <w:spacing w:after="0" w:line="13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and retention efforts may also be limited by laws and regulations, such as restrictive immigration laws, and restrictions on travel imposed by certain governments, as well as delays in processing or a lack of availability of visas. In addition, our past and future restructuring efforts may adversely affect our ability to attract and retain employees. If we do not succeed in attracting excellent personnel or retaining or motivating existing personnel, we may be unable to innovate quickly enough to support our business model or grow effectively.</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Recently, there has been increased scrutiny of companies’ human capital practices and initiatives. Negative perception of certain of these practices and initiatives, whether due to our perceived over- or under- pursuit of such initiatives, may result in issues with hiring or retaining employees, as well as potential litigation or other adverse impacts. In addition, our ability to successfully identify, hire and promote employees may be impacted by legal and judicial developments outside of our control and may necessitate changes to our employment practices. For example, some advocacy groups and state attorneys general have asserted that the U.S. Supreme Court’s decision striking down race-based affirmative action in higher education in June 2023 should be analogized to private employment matters and private contract matters. Several cases alleging discrimination based on similar arguments have been filed since the decision, with increasing scrutiny of certain corporate human capital practices. In January 2025, the current U.S. administration signed a number of Executive Orders focused on human capital initiatives, which include a broad mandate to eliminate certain federal programs and a caution to the private sector to end what may be viewed as illegal human capital initiatives. The Executive Orders also indicate upcoming compliance investigations of private entities, including publicly traded companies, and changes to federal contracting regulations.</w:t>
      </w:r>
    </w:p>
    <w:p>
      <w:pPr>
        <w:spacing w:after="0" w:line="13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culture has contributed to our success, and if we cannot maintain this culture as we grow, we could lose the employee engagement fostered by our culture, which could harm our business.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culture. We have invested substantial time and resources in building out our team with an emphasis on shared values and inclusion. As we continue to grow and develop the infrastructure associated with being a public company, we will need to maintain our culture among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and regulations related to human capital, and stakeholder responses thereto, may have an adverse effect on our business, financial condition, and results of operations and may damage our reputation.</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human capital and related practices and initiatives. The landscape related to the regulation of such practices and initiatives is constantly evolving. Investor advocacy groups, institutional investors, stockholders, activists, employees, consumers, customers, regulators, proxy advisory services and other market participants have increasingly focused on these types of matters and initiatives. Such stakeholders have placed increased importance on these practices and their effect on companies from an investor, consumer, customer or employee perspective.</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could be criticized for the scope or nature of our practices or initiatives in these areas, or for any revisions to our practices or initiatives. Furthermore, some stakeholders may disagree with our practices or initiatives and there is also a risk that stakeholders may change their views on these matters over time. Our various stakeholders or regulators may also have divergent opinions and conflicting expectations regarding our culture, values, strategy and business, which makes it difficult to achieve a consistently positive perception among all of our various stakeholders. Moreover, we may determine that it is in the best interest of our company and our stockholders to prioritize other investments over maintenance of our current practices or initiatives based on economic, technological developments, regulatory and social factors, business strategy or pressure from investors, activists or other stakeholders.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practices or initiatives do not meet evolving investor, industry, stakeholder or regulatory expectations and standards related to human capital and related matters, or if we are perceived to have not responded appropriately to the growing and various concerns about such issues, among other things, our reputation, culture, ability to attract or retain employees, sales, stock price, ability to access the capital markets, or overall business or financial results could be adversely affected. Further, if we incur adverse publicity and reaction from investors, activists or other stakeholders related to our human capital practices or initiatives, the perception of us and our products by current and potential customers could cause our customers and consumers to stop purchasing our products or to purchase products from a competitor or subject us to legal and regulatory proceedings, any of which could adversely impact our business and financial results.</w:t>
      </w:r>
    </w:p>
    <w:p>
      <w:pPr>
        <w:spacing w:after="0" w:line="13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will suffer.</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10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customers outside the United States and our international operations expose us to risks inherent in international sales and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fiscal year ended January 31, 2025, 39.8%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12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platform for specific countries, including translation into foreign languages and associated expenses;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laws that impose different and potentially conflicting obligations with respect to how personal information is processed or require that customer data be stored in a designated territory;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delays and difficulties in setting up foreign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collections issues;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sanctions, privacy, data protection, and security laws and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values of foreign currencies relative to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potential outcomes of any claims or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or similar issues, such as a pandemic or epidemic;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and local economic and political conditions, such as global economic downturns or recessions in the regions in which we do business, tariffs and changes in trade agreements, bank failures, as well as macroeconomic and policy impacts of political instability and armed conflicts.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global armed conflicts, including between Ukraine and Russia and in the Middle East, have created potential global security concerns that could impact operations in our global offices in affected regions and could also impact regional and global economies, either of which could adversely affect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2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government entities, customers reliant on government funding, and other government contractors are subject to a number of additional challenges and risks.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and expect to continue selling our products and services to U.S. federal and state and foreign governmental agency customers, which may occur through direct sales to government entities or sales to government entities through our channel partners. We also sell our products and services to customers who may be reliant on funding derived from federal, state, or foreign governmental sources. We are currently pursuing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Risk and Authorization Management Program (“FedRAMP”) authorization. Even if we obtain FedRAMP authorization, selling to government entities, customers reliant on government funding, and other government contractors or affiliates presents a number of unique challenges and risks including the following:</w:t>
      </w:r>
    </w:p>
    <w:p>
      <w:pPr>
        <w:spacing w:after="0" w:line="122" w:lineRule="exact"/>
        <w:rPr>
          <w:sz w:val="20"/>
          <w:szCs w:val="20"/>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are subject to termination for the convenience of the customer;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may change, or we may be unable to achieve one or more government certifications, including FedRAMP, which may restrict our ability to sell into the government sector until we have attained such certificates;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governmental entities, customers reliant on government funding, and other government contractors or affiliates, including channel partners or resellers in the government market, contain terms that are less favorable than what we generally agree to in our standard agreements, including, terms and conditions required by regulation that are not negotiable with the customer;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U.S. government contractor, we may be subject to Executive Orders and regulatory changes affecting various aspects of our operations, including compliance with nondiscrimination plans and regulatory requirements, and any required elimination or modification of such plans or other regulatory requirements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payment for our products from government or other customers may be influenced, among other things, by public sector budgetary cycles and funding authorizations, with funding reductions or delays having an adverse impact on customer demand for our products.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Though our current revenue impact from contracts with government entities is not significant, to the extent that we become more reliant on contracts with government entities, customers reliant on government funding and/or other government contractors or affiliates in the future, our exposure to such risks and challenges could increase, which in turn could adversely impact our business and revenue.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2025, the current presidential administration began issuing Executive Orders identifying new government policies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excessive fraudulent activity, we could incur substantial costs and lose the right to accept credit cards or other payment methods for payment, which could cause our customer base to decline significantly.</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large portion of our customers authorize us to bill their credit card accounts or bill them via other payment methods, such as PayPal or other direct debit methods, through our third-party payment processing partners for our paid subscription plans. If customers pay for their subscription plans with stolen credit cards or fraudulent bank accounts, we could incur substantial third-party vendor costs for which we may not be reimbursed. Further,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provide us with payment billing information online, and we do not review the physical credit cards used in these transactions or do additional verification beyond what we collect online, which increases our risk of exposure to fraudulent activity. We also incur charges and fees associated with those charges, which we refer to as chargebacks, from the credit card companies or banks or third-party payment processors for claims that the customer did not authorize the transaction for subscription plans, something that we have experienced in the past. If the number of claims of unauthorized transactions becomes excessive, we could be assessed substantial fines for excess chargebacks, and we could lose the right to accept credit cards for payment or leverage a certain type of payment system via our third-party payment processing partner. In addition, credit card issuers or other payment methods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or facilitate other methods of payment for our paid subscription plans. Substantial losses due to fraud or our inability to accept credit card or other electronic payments would cause our customer base to significantly decrease and would harm our business.</w:t>
      </w:r>
    </w:p>
    <w:p>
      <w:pPr>
        <w:spacing w:after="0" w:line="13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Legal Matters, including Taxation and Intellectual Property</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the right to use certain of our intellectual property would negatively affect our business.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 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subject to stringent and evolving U.S. and foreign laws, regulations, rules, contractual obligations, industry standards, policies and other obligations related to artificial intelligence,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and other adverse business consequences.</w:t>
      </w:r>
    </w:p>
    <w:p>
      <w:pPr>
        <w:spacing w:after="0" w:line="11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security and the storing, sharing, use, processing, disclosure, and protection of business and personal information, including personal information privacy laws, state data breach notification laws, consumer protection laws (e.g., Section 5 of the Federal Trade Commission Act) and other similar laws (e.g., wiretapping laws). These laws continue to evolve in scope and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differing interpretations, and may contain inconsistencies or pose conflicts with other legal requirements. Preparing for and attempting to comply with these laws and other obligations requires significant resources and, potentially, changes to our technologies, systems, and practices and those of any third parties that process personal information on our behalf.</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(or third parties with whom we work) to comply with our privacy notices and policies, privacy-related obligations to users, customers, or other third parties, or privacy or security-related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(including bans or restrictions on processing personal data, and orders to destroy or not use personal information), litigation, or public statements against us by our users, customers, consumers, regulators, consumer advocacy groups, or others, additional reporting requirements and/or oversight; which would have an adverse effect on our reputation and business. We could also incur significant costs investigating and defending such claims and, if we are found liable, significant damages.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Foreign privacy, data protection, and security laws have become more stringent in recent years, are undergoing a period of rapid change, and increase the costs and complexity of offering our products and services in new and existing geographies. For example, the European Union’s General Data Protection Regulation 2019/679 (“the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information. European privacy, data protection, and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inspection rights, or private litigation related to processing of personal information brought by classes of data subjects or consumer protection organizations authorized at law to represent their interests.</w:t>
      </w:r>
    </w:p>
    <w:p>
      <w:pPr>
        <w:spacing w:after="0" w:line="14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Globally, certain jurisdictions have enacted data residency or data localization laws and have imposed requirements for cross-border transfers of personal information. For example, the cross-border transfer landscape in Europe is complex and other countries outside of Europe have enacted or are considering enacting cross-border data 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security. In addition, Swiss and UK law contain similar data transfer restrictions as the EU GDPR. Although there are currently valid mechanisms available to transfer data from the EEA and the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UK, or elsewhere. Inability to import personal information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States may significantly and negatively impact our business operations, including limiting our ability to collaborate with service providers, contractors, and other companies subject to European and other privacy, data protection, and security laws; or requiring us to increase our data processing capabilities in Europe or elsewhere at significant expense.</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Partially as a result of these developments, individuals are becoming increasingly resistant to the collection, use, and sharing of personal information to deliver targeted advertising or analytics. Individuals are now more aware of options related to consent, “do not track” mechanisms (such as browser signals from the Global Privacy Control), and “ad-blocking” software to prevent the collection of their personal information for targeted advertising and analytics purposes. These developments may also impact our analytics and advertising activities and our ability to analyze how users interact with our services. We may be required to change the way we market our products, and any of these developments or changes could materially impair our ability to reach new or existing customers or otherwise negatively affect our operations.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European Union, a growing number of other global jurisdictions, such as Brazil, Japan, India and Canada, are considering or have passed legislation implementing privacy, data protection, and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EU GDPR.</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Domestic privacy, data protection, security, and consumer protection legislation is also becoming increasingly common in the United States. For example, numerous U.S. states have enacted comprehensive privacy laws that impose certain obligations on covered businesses, including providing specific disclosures in privacy notices and affording residents with certain rights concerning their personal information such as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CCPA requires companies that process information of consumers, business representatives, and employees who are California residents to provide specific disclosures in privacy notices and honor requests of such individuals to exercise certain individual privacy rights. The CCPA provides for fines for intentional violations and allows private litigants affected by certain data breaches to recover significant statutory damages. Similar laws are being considered in other states and at the federal and local levels, and we expect more states to pass similar laws in the future. The enactment of such laws could have potentially conflicting requirements that would make compliance challenging, and increase legal risk and compliance costs for us and the third parties with whom we work.</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the Federal Trade Commission and many state attorneys general continue to enforce federal and state consumer protection laws against companies and individuals for online data collection, use, dissemination, and security and privacy practices that appear to be unfair or deceptive. We also publish privacy policies, marketing materials, white papers, and other statements, such as statements related to compliance with certain certifications or self-regulatory principles, concerning privacy, data protection, and security. If these policies, materials or statements are found to be deficient, lacking in transparency, deceptive, unfair, misleading, or misrepresentative of our practices, we may become subject to investigation, enforcement actions by regulators, or other adverse consequences.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information. For example, some of our data processing practices have been, and may in the future continue to be, subject to challenges or lawsuits under privacy, data protection, and communications laws, including, for example, challenges based on wiretapping laws for sharing consumer information with third parties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methods, including chatbot and session replay providers, or via third-party marketing pixels. Our inability or failure to obtain consent for these practices could result in adverse consequences, including class action litigation and mass arbitration demands.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artificial intelligence, including generative artificial intelligence, in our products and services. The development and use of artificial intelligence present various privacy, data protection, and security risks that may impact our business. Artificial intelligence technology is subject to existing privacy, data protection, and security laws, and may be subject to additional new laws and regulations. For example, several countries, states and localities have proposed or enacted measures related to the use of artificial intelligence technologies in products and services, including the EU’s AI Act. The effects of these regulations are difficult to predict and we expect other jurisdictions to adopt similar laws. Additionally, certain privacy laws extend rights to consumers (such as the right to delete certain personal information) and regulate automated decision making, which may be incompatible with our use of artificial intelligence. These obligations may make it harder for us to conduct our business using artificial intelligence, lead to regulatory fines or penalties, require us to change our business practices, retrain our artificial intelligence, or prevent or limit our use of artificial intelligence. For example, the FTC has required other companies to turn over (or disgorge) valuable insights or trainings generated through the use of artificial intelligence where they allege the company has violated privacy and/or consumer protection laws. If we cannot use artificial intelligence or that use is restricted, our business may be less efficient, or we may be at a competitive disadvantage.</w:t>
      </w:r>
    </w:p>
    <w:p>
      <w:pPr>
        <w:spacing w:after="0" w:line="13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and anti-bribery and similar laws, such as the U.S. Foreign Corrupt Practices Act of 1977, as amended,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34"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export, import, and trade and economic sanction laws and regulations that could impair our ability to compete in international markets and subject us to liability for noncompliance.</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These Trade Controls, which may be enacted at any time, may prohibit or restrict the sale or supply of certain products, including encryption items and other technology, and services to certain governments, persons, entities, countries, and territories, including those that are the target of comprehensive sanctions. We must be ready to evaluate and respond to these Trade Controls and assess their impact on our business, which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difficult to ascertain.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As a result, we submitted voluntary self-disclosures concerning these activities to OFAC and BIS. On June 29, 2020, BIS determined not to pursue a civil monetary penalty against us and issued a warning letter to resolve our voluntary self-disclosure regarding past apparent inadvertent violations of the U.S. Export Administration Regulations. On February 25, 2021, OFAC determined not to pursue a civil monetary penalty against us or take other enforcement action and issued a cautionary letter to resolve our voluntary self-disclosure regarding past apparent inadvertent violations of the Iranian Transactions and Sanctions Regulations, the Syrian Sanctions Regulations, the Cuban Assets Control Regulations, and the Sudanese Sanctions Regulations. While the letters from BIS and OFAC represent final enforcement responses in each case, they do not preclude either BIS or OFAC from taking future enforcement actions under their respective authorities.</w:t>
      </w:r>
    </w:p>
    <w:p>
      <w:pPr>
        <w:spacing w:after="0" w:line="1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customers or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Finally, changes in our platform or future changes in Trade Controls, such as those we have seen issued by the United States and other governments in response to the conflicts between Ukraine and Russia and in the Middle East, could result in our inability to provide our platform to certain customers or decreased use of our platform by existing or potential customers with international operations. For example, on June 12, 2024, OFAC issued a determination imposing new restrictions on the export, reexport, sale, or supply of IT support and cloud-based services for enterprise management software and design and manufacturing software to persons located in Russia, which went into effect on September 12, 2024. We continue to evaluate these Trade Controls sanctions and their potential applicability to our products and services; however, we are unable to quantitatively estimate any impacts to our business at this time. Any decreased use of our platform or mobile application or increased limitations on our ability to export or sell our platform and mobile application would adversely affect our business, results of operations, and financial condition.</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sales, use, value added,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unsuccessful in collecting such taxes due from our customers, we would be held liable for such costs, thereby adversely affecting our results of operations and harming our business.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harmed if we are required to collect sales, value added, or other related taxes for subscriptions to our platform in jurisdictions where we have not historically done so.</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net operating loss carryforwards will be subject to annual limitations. However, it is not expected that the annual limitations will result in the expiration of tax attribute carryforwards prior to utilization. We may experience additional ownership changes in connection with subsequent shifts in our stock ownership (some of which shifts are outside our control). As a result, even if we attain profitability, we may be unable to use a material portion of our NOLs and other tax attributes.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Allocation Strategy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we cannot be sure that additional financing will be available.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spacing w:after="0" w:line="11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November 2022 Senior Secured Credit Facility,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7, 2022, we entered into an agreement with several banks and other financial institutions or entities for which Silicon Valley Bank (“SVB”) acted as issuing lender, administrative agent and collateral agent, under which we may incur loans in an aggregate principal amount not to exceed $150 million, consisting of a term loan facility in an aggregate principal amount equal to $50 million and a revolving loan facility in an aggregate principal amount of up to $100 million, including a $30 million letter of credit sub-facility (collectively and as amended on April 13, 2023, June 18, 2024, and November 18, 2024, the “November 2022 Senior Secured Credit Facility”). 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spacing w:after="0" w:line="13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November 2022 Senior Secured Credit Facility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that require us to maintain a consolidated adjusted quick ratio of 1.25 to 1.00, as well as a minimum cash adjusted EBITDA, each tested on a quarterly basis. The November 2022 Senior Secured Credit Facility contains customary events of default relating to, among other things, payment defaults, breach of covenants, cross acceleration to material indebtedness, bankruptcy-related defaults, judgment defaults, and the occurrence of certain change of control events. Non-compliance with one or more of the covenants and restrictions or the occurrence of an event of default could result in the full or partial principal balance of the November 2022 Senior Secured Credit Facility becoming immediately due and payable and termination of the commitments. Our business may be adversely affected by these restrictions on our ability to operate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in the United States are subject to interpretation by the Financial Accounting Standards Board (“FASB”), the American Institute of Certified Public Accountants, the Securities and Exchange Commission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(the “Exchange Act”), is accumulated and communicated to our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generally accepted accounting principles (“GAAP”), we believe certain non-GAAP measures may be useful in evaluating our operating performance. We present certain non-GAAP financial measures in this 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(“NYSE”) or the Long-Term Stock Exchange (“LTSE”). We are required to provide an annual management report on the effectiveness of our internal control over financial reporting.</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foreign currency exchange rate fluctuations.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have historically transacted in U.S. dollars with the majority of our customers and vendors, we have also transacted in foreign currencies and for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The results of these estimates form the basis for making judgments about the carrying values of assets, liabilities, and equity, and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expenses that are not readily apparent from other sources. Significant assumptions and estimates used in preparing our consolidated financial statements include those related to the useful lives and carrying values of long-lived assets, the fair value of common stock, stock-based compensation expense, the period of benefit for deferred contract acquisition costs, and income taxes.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health epidemics, or geopolitical conflicts may disrupt our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thus could harm our business. In particular, health crises and international conflicts, including between Ukraine and Russia and in the Middle East, including the reactions of governments, markets, and the general public, may result in a number of adverse consequences for our business, operations, and results of operations, both worldwide and in our offices in affected regions, many of which are beyond our control.</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may be volatile and could decline significantly and rapidly.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could continue to be subject to wide fluctuations in response to numerous factors in addition to the ones described in the preceding Risk Factors, many of which are beyond our control, including:</w:t>
      </w:r>
    </w:p>
    <w:p>
      <w:pPr>
        <w:spacing w:after="0" w:line="10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the economy as a whole, and macroeconomic factors such as inflationary pressures;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projections we may provide to the public or our failure to meet these projections;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of subscription plans to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that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of acquisitions, strategic partnerships, joint ventures, or capital-raising activities or commitments, by us or by our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board members, management, or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including those related to privacy, data protection, and security in the United States or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bank failures, war, incidents of terrorism, or responses to these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influenza, and other highly communicable diseases or viruses;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experienced significant volatility in the past year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 will have the ability to influence the outcome of director elections and other matters requiring stockholder approval.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Dustin Moskovitz, our co-founder, President, Chief Executive Officer, Chair, and largest stockholder, beneficially owns a significant percentage of our outstanding Class A common stock and Class B common stock, together representing a majority of the voting power of our capital stock as of January 31, 2025. Mr. Moskovitz could exert substantial influence over matters requiring approval by our stockholders. In March 2025, we announced the anticipated transition of Dustin Moskovitz from the role of Chief Executive Officer to focusing on serving as the Chair of the Board when a new Chief Executive Officer is appointed by the Board.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which is the stock listed on the NYSE and the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w:t>
      </w:r>
    </w:p>
    <w:p>
      <w:pPr>
        <w:spacing w:after="0" w:line="3" w:lineRule="exact"/>
        <w:rPr>
          <w:sz w:val="20"/>
          <w:szCs w:val="20"/>
          <w:color w:val="auto"/>
        </w:rPr>
      </w:pPr>
    </w:p>
    <w:p>
      <w:pPr>
        <w:jc w:val="both"/>
        <w:ind w:firstLine="8"/>
        <w:spacing w:after="0" w:line="253"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our dual class structure may have on the trading price of our Class A common stock.</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The FTSE Russell requires new constituents of its indices to have greater than 5% of the company’s voting rights in the hands of public stockholders. Under such policies, the dual class structure of our common stock may make us ineligible for inclusion in certain indices. As a result, mutual funds, exchange-traded funds, and other investment vehicles that attempt to passively track those indices may not invest in our Class A common stock if we are not included and the trading price of our Class A common stock could be adversely affected. Previously, S&amp;P Dow Jones also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We cannot be sure that this policy, or the policies of other indices, will not change further and make us ineligible for inclusion on indices in the future.</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institutional investors and certain investment funds may also be precluded, reluctant or unwilling to invest in entities with multiple class structures due to a lack of ability to meaningfully influence corporate affairs and policies through voting. Such restrictions, reluctance and unwillingness may make our Class A common stock less attractive to investors and, as a result, the market price of our Class A common stock could be adversely affected.</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certain of our security 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spacing w:after="0" w:line="11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performance may differ from any projections that we disclose or any information that may be attributed to us by third parties.</w:t>
      </w:r>
    </w:p>
    <w:p>
      <w:pPr>
        <w:spacing w:after="0" w:line="10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we may provide guidance via public disclosures regarding our projected business or financial performance. However, any such projections involve risks, assumptions, and uncertainties, and our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implemented or that such program will enhance the long-term value of our share price.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2024, our board of directors authorized a stock repurchase program of up to $150 million of our outstanding Class A common stock. Repurchases are made on the open market, including via pre-set trading plans, in accordance with applicable securities laws. The program does not obligate us to acquire any particular amount of Class A common stock, and the repurchase program may be suspended or discontinued at any time at our discretion. Although the program has been approved, there is no obligation for the Company to repurchase any specific dollar amount of stock.</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existence of our stock repurchase program could affect the price of our stock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spacing w:after="0" w:line="12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may need to increase this staffing in the future,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and, as a result, their application in practice may evolve over time as new guidance is provided by regulatory and governing bodies. This could result in continuing uncertainty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compliance matters and higher costs necessitated by ongoing revisions to disclosure and governance practices. This uncertainty may be exacerbated by the recent change of administration at the federal level, the appointment of a new Chair of the SEC and the ongoing reevaluation of regulatory priorities with respect to public companies, including changing regulatory and enforcement practices at the SEC and the national securities exchanges.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 pay dividends. Accordingly, investors must rely on sales of their Class A common stock as the only way to realize any future gains, if any, on their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stock issuances could result in significant dilution to our stockholders.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For example, on September 7, 2022, we issued and sold 19,273,127 shares of our Class A common stock to our CEO and co-founder,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spacing w:after="0" w:line="13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are provisions in our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12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so that not all members of our board of directors are elected at one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number of directors and to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only be removed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cumulative voting for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a super-majority to amend some provisions in our restated certificate of incorporation and amended and restated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of our stockholders to call special meetings of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actions by written consent, thereby requiring that all stockholder actions be taken at a meeting of our stockholders.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2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may require significant additional costs associated with resolving such action in other jurisdictions, and there can be no assurance that the provisions will be enforced by a court in those other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implement and maintain a formal information security management program designed to identify, assess, and manage material risks from cybersecurity threats to our critical networks, services, and data. Our information security management program includes a dedicated security team led by our Head of Security that is responsible for implementing security controls and monitoring for suspicious activity. Our information security management program also includes a cybersecurity risk management process which aims to identify and assess material risks from cybersecurity threats, including from vulnerabilities within Asana systems and new and emerging threats to Company operations by using automated and manual tools, subscribing to and analyzing reports and services that identify certain cybersecurity threats, conducting scans of certain environments, evaluating our and our industry’s risk profile, evaluating threats reported to us, and conducting audits and threat assessments.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consider our information security management program and the cybersecurity governance structure described below to be part of our overall enterprise risk management program.</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on the nature of the environment, system and/or data, we implement and maintain various technical and organizational measures, processes, standards and/or policies designed to manage and mitigate cybersecurity risks, including, for example, as may be appropriate: employee training, software design review, static code analysis, coordinated vulnerability disclosure and bug bounty program, penetration testing performed by an outside assessment firm, vulnerability scanning and management, endpoint and network security monitoring, access controls, vendor risk management, asset management, and software updates and patching.</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as applicable to our environments, systems, and data. These third-party service providers may include, but are not limited to, cybersecurity consultants, cybersecurity software providers, cybersecurity assessment firms, and forensic investigators.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operate our business, we also use third-party vendors to perform a variety of functions, including but not limited to, developing aspects of our platform, hosting and delivering our platform and related services, supporting the sale and marketing of our products and services, and providing technical and customer support. Depending on the nature of the services provided, the sensitivity of the systems and data at issue, and the identity of the vendor, our vendor management process may involve different measures designed to help identify, assess, and manage cybersecurity risks associated with the vendor, such as conducting risk assessments and re-assessments, reviewing of the vendor’s security program, and imposing contractual cybersecurity-related obligations on the vendor. For example, our security, privacy, and IT teams may review the vendor’s security protocols, data retention policies and privacy policies, privacy practices, and security track record, and advise on implementation best practices.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Item IA. Risk Factors</w:t>
      </w:r>
      <w:r>
        <w:rPr>
          <w:rFonts w:ascii="Times New Roman" w:cs="Times New Roman" w:eastAsia="Times New Roman" w:hAnsi="Times New Roman"/>
          <w:sz w:val="18"/>
          <w:szCs w:val="18"/>
          <w:color w:val="auto"/>
        </w:rPr>
        <w:t>, including “If our information technology systems, or those of third parties with whom we work, or our data are or were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 for additional information about the risks from cybersecurity threats that may materially affect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assisting the Board in overseeing the Company’s risk assessment and risk management processes, including risks related to cybersecurity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privacy. Our Head of Security, who reports to our Head of Engineering and works with other members of management, manages the Company’s cybersecurity program. Our Head of Security holds a master’s degree in computer engineering from the Rochester Institute of Technology and has over 15 years of cybersecurity experience. Our Head of Engineering holds a master’s degree in computer science from the University of Illinois Urbana-Champaign and has nearly two decades of leadership experience at technology companies overseeing key engineering functions. Our Head of Security provides regular updates to the Audit Committee and the Board on cybersecurity risks faced by the Company and the Company’s processes for risk identification, assessment, and management.</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is involved in assessing and managing the Company’s material risks from cybersecurity threats, including by hiring appropriate personnel, considering cybersecurity risk in our enterprise risk management strategy, helping prepare for cybersecurity incidents, and participating in the cybersecurity incident response and remediation process for incidents escalated to it including determining materiality. Our management that is involved in these processes includes our Head of Security, Head of Global Privacy, Head of Engineering, Head of Enterprise Technology &amp; IT, Chief Business Officer, Chief Financial Officer, and General Counsel. Management also escalates, as appropriate, reports relating to cybersecurity incidents or threats to the Audit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San Francisco, California, where we lease approximately 266,000 square feet of office space pursuant to a lease that expires in October 2033. We began occupying this space during fiscal 2022 as our new corporate headquarters.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maintain additional offices in the United States and internationally.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procure additional space in the future if we add employees or expand geographically.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Our Class A Common Stock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the NYSE under the symbol “ASAN” since September 30, 2020. Prior to that date, there was no public trading market for our Class A common stock. Since August 26, 2021, our Class A common stock has also been listed on the LTSE under the symbol “ASAN.”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1, 2025, we had 118 holders of record of our Class A common stock and 13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Security Ownership of Certain Beneficial Owners and Management and Related Stockholder Matters</w:t>
      </w:r>
      <w:r>
        <w:rPr>
          <w:rFonts w:ascii="Times New Roman" w:cs="Times New Roman" w:eastAsia="Times New Roman" w:hAnsi="Times New Roman"/>
          <w:sz w:val="18"/>
          <w:szCs w:val="18"/>
          <w:color w:val="auto"/>
        </w:rPr>
        <w:t xml:space="preserve"> for information regarding securities authorized for issuance.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graph compares (i) the cumulative total stockholder return on our Class A common stock from September 30, 2020 (the date our Class A common stock commenced trading on the NYSE) through January 31, 2025 with (ii) the cumulative total return of the Standard &amp; Poor's (S&amp;P) 500 Index and the Standard &amp; Poor’s Information Technology Index over the same period, assuming the investment of $100 in our Class A common stock and in both of the other indices on September 30, 2020 and the reinvestment of dividends. The graph uses the closing market price on September 30, 2020 of $28.80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805815</wp:posOffset>
            </wp:positionV>
            <wp:extent cx="5263515" cy="32575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6351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stock repurchase activity under our authorized stock repurchase program for the three months ended January 31, 2025 (in thousands, except for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37"/>
        </w:trPr>
        <w:tc>
          <w:tcPr>
            <w:tcW w:w="5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1"/>
                <w:szCs w:val="11"/>
                <w:color w:val="auto"/>
              </w:rPr>
            </w:pPr>
          </w:p>
        </w:tc>
        <w:tc>
          <w:tcPr>
            <w:tcW w:w="14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of</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9"/>
                <w:szCs w:val="9"/>
                <w:b w:val="1"/>
                <w:bCs w:val="1"/>
                <w:color w:val="auto"/>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Programs</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 November 30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 December 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6" w:lineRule="exact"/>
        <w:rPr>
          <w:sz w:val="20"/>
          <w:szCs w:val="20"/>
          <w:color w:val="auto"/>
        </w:rPr>
      </w:pPr>
    </w:p>
    <w:p>
      <w:pPr>
        <w:ind w:left="660" w:hanging="652"/>
        <w:spacing w:after="0" w:line="253"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shares purchased during the quarter ended January 31, 2025 were acquired pursuant to our publicly announced stock repurchase program described in footnote 3 below.</w:t>
      </w: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per share is net of brokerage commissions.</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67"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2024, our board of directors authorized a stock repurchase program of up to $150 million of our outstanding Class A common stock. As of January 31, 2025, $71.6 million remained available for future repurchases under the stock repurchase program. The stock repurchase program may be suspended or discontinued at any time and will expire in June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appearing elsewhere in this Annual Report on Form 10-K. As described in the section titled “Special Note Regarding Forward-Looking Statements,” the following discussion and analysis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above in this report. Our fiscal year ends on January 31.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Asana is an enterprise work management software platform that unifies cross-functional teams so businesses can effectively set and track goals, drive strategic initiatives, and manage work effectively. Over 169,000 paying customers across 200 countries and territories use Asana to connect their work to company goals and orchestrate mission critical workflows like product launches,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 In Asana, everyone understands exactly who is doing what, by when, how and why.</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offer two complementary products within the Asana platform to meet the needs of diverse organizations:</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work management product, available in a tiered, seat-based model: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Asana AI Studio, our dedicated AI product launched in 2024 that augments the core platform with AI capabilities, which operates on a consumption basis.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employ a hybrid go-to-market approach, combining a product-led model, direct sales and channel partners.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significant growth in recent periods. Our revenues were $723.9 million, $652.5 million, and $547.2 million for fiscal 2025, fiscal 2024, and fiscal 2023, respectively, representing growth of 11% and 19% for fiscal 2025 and fiscal 2024, respectively. As of January 31, 2025, we had 1,819 employees, representing a decrease of 1% since January 31, 2024. We had a net loss of $255.5 million, $257.0 million, and $407.8 million for fiscal 2025, fiscal 2024, and fiscal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growth and financial performance are dependent upon many factors, including the key factors described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that use our platform, and specifically on growing the number of customers spending over $5,000 on an annualized basis (“Core customers”), and those spending over $100,000 on an annualized basis. Our operating results and growth opportunity depend, in part, on our ability to attract new customers and expand within those same organizations. We believe we have significant greenfield opportunities among addressable customers worldwide and we will continue to invest in our research and development and our sales and marketing organizations to address this opportunity.</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customers spending over $5,000 and $100,000 as those organizations on a paid subscription plan that had $5,000 or more or $100,000 or more in annualized GAAP revenues in a given quarter, respectively, inclusive of discounts. As customers realize the productivity benefits we provide, our platform often becomes critical to managing their work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spacing w:after="0" w:line="13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we had 24,062 Core customers contributing approximately 72% of revenues for the fiscal year then ended. As of January 31, 2024, we had 21,646 Core customers who contributed approximately 71% of revenue for the fiscal year then ended.</w:t>
      </w:r>
    </w:p>
    <w:p>
      <w:pPr>
        <w:spacing w:after="0" w:line="108" w:lineRule="exact"/>
        <w:rPr>
          <w:sz w:val="20"/>
          <w:szCs w:val="20"/>
          <w:color w:val="auto"/>
        </w:rPr>
      </w:pPr>
    </w:p>
    <w:p>
      <w:pPr>
        <w:ind w:left="340" w:right="1780"/>
        <w:spacing w:after="0" w:line="438" w:lineRule="auto"/>
        <w:rPr>
          <w:sz w:val="20"/>
          <w:szCs w:val="20"/>
          <w:color w:val="auto"/>
        </w:rPr>
      </w:pPr>
      <w:r>
        <w:rPr>
          <w:rFonts w:ascii="Times New Roman" w:cs="Times New Roman" w:eastAsia="Times New Roman" w:hAnsi="Times New Roman"/>
          <w:sz w:val="18"/>
          <w:szCs w:val="18"/>
          <w:color w:val="auto"/>
        </w:rPr>
        <w:t xml:space="preserve">As of January 31, 2025 and 2024, we had 726 and 607 customers spending over $100,000 on an annualized basis, respectively. </w:t>
      </w:r>
      <w:r>
        <w:rPr>
          <w:rFonts w:ascii="Times New Roman" w:cs="Times New Roman" w:eastAsia="Times New Roman" w:hAnsi="Times New Roman"/>
          <w:sz w:val="18"/>
          <w:szCs w:val="18"/>
          <w:b w:val="1"/>
          <w:bCs w:val="1"/>
          <w:i w:val="1"/>
          <w:iCs w:val="1"/>
          <w:color w:val="auto"/>
        </w:rPr>
        <w:t>Dollar-based Net Retention Rate</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derive a portion of our revenue growth from expansion within our existing customer base, where we have an opportunity to expand adoption of Asana across teams, departments, and organizations. We believe that our dollar-based net retention rate demonstrates our opportunity to further expand within our existing customer base, particularly those that generate higher levels of annual revenues.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due to a number of factors, including the expected growth of our revenue base, the level of penetration within our customer base, our ability to retain our customers, and the macroeconomic environment. For example, macroeconomic conditions have affected customers’ renewal decisions, which has impacted our dollar-based net retention rate in recent periods.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2025 and 2024, our dollar-based net retention rate was 96% and over 100%, respectively.</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and 2024, our dollar-based net retention rate for our Core customers was 97% and 105%, respectively. Our dollar-based net retention rate for customers spending over $100,000 on an annualized basis for the same periods was 96% and 115%,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Economic Conditions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macroeconomic events including inflation, fluctuating interest rates, bank failures, supply chain disruptions, fluctuations in currency exchange rates, tariffs and changes in trade agreements, and geopolitical unrest have led to economic uncertainty. These macroeconomic conditions have and are likely to continue to have adverse effects on the rate of global IT spending, including the buying patterns of our customers and prospective customers, and the length of our sales cycles.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primarily generate revenues from subscription fees earned from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 We also generate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consumption-based AI product and professional services which are not material to the consolidated financial statements.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credit card processing fees, and amortization of our capitalized internal-use software costs.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acquire new customers and existing customers increase their use of our cloud-based platform, we expect that our cost of revenues will continue to increase.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including the integration of AI in our products, and as a result, we expect research and development expenses to continue to increase in dollar amount, but to decrease as a percentage of revenues over time.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and expenses for performance marketing, brand marketing, pipeline generation,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period to period depending on the extent and timing of our initiatives.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for our finance, human resources, information technology, and legal organizations. These expenses also include non-personnel costs,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outside legal, accounting, and other professional fees, software subscriptions and expensed computer equipment, certain tax, license, and insurance-related expenses, and allocated overhead costs.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 and Interest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consists of income earned on our marketable securities and investments, in addition to foreign currency transaction gains and losses.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from our credit facilities.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certain foreign jurisdictions in which we conduct business. To date, we have not recorded a material provision for income taxes for any of the periods presented other than for foreign income tax. We have recorded deferred tax assets for which we provide a full valuation allowance, which primarily include net operating loss carryforwards and research and development tax credit carryforwards. We expect to maintain this full valuation allowance for the foreseeable future as it is more likely than not the deferred tax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56,559</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490,653</w:t>
            </w:r>
          </w:p>
        </w:tc>
        <w:tc>
          <w:tcPr>
            <w:tcW w:w="0" w:type="dxa"/>
            <w:vAlign w:val="bottom"/>
          </w:tcPr>
          <w:p>
            <w:pPr>
              <w:spacing w:after="0"/>
              <w:rPr>
                <w:sz w:val="1"/>
                <w:szCs w:val="1"/>
                <w:color w:val="auto"/>
              </w:rPr>
            </w:pPr>
          </w:p>
        </w:tc>
      </w:tr>
      <w:tr>
        <w:trPr>
          <w:trHeight w:val="20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c>
          <w:tcPr>
            <w:tcW w:w="0" w:type="dxa"/>
            <w:vAlign w:val="bottom"/>
          </w:tcPr>
          <w:p>
            <w:pPr>
              <w:spacing w:after="0"/>
              <w:rPr>
                <w:sz w:val="1"/>
                <w:szCs w:val="1"/>
                <w:color w:val="auto"/>
              </w:rPr>
            </w:pPr>
          </w:p>
        </w:tc>
      </w:tr>
      <w:tr>
        <w:trPr>
          <w:trHeight w:val="230"/>
        </w:trPr>
        <w:tc>
          <w:tcPr>
            <w:tcW w:w="57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434,961</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166,309</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898,479</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0" w:type="dxa"/>
            <w:vAlign w:val="bottom"/>
          </w:tcPr>
          <w:p>
            <w:pPr>
              <w:spacing w:after="0"/>
              <w:rPr>
                <w:sz w:val="1"/>
                <w:szCs w:val="1"/>
                <w:color w:val="auto"/>
              </w:rPr>
            </w:pPr>
          </w:p>
        </w:tc>
      </w:tr>
      <w:tr>
        <w:trPr>
          <w:trHeight w:val="223"/>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060" w:type="dxa"/>
            <w:vAlign w:val="bottom"/>
          </w:tcPr>
          <w:p>
            <w:pPr>
              <w:spacing w:after="0"/>
              <w:rPr>
                <w:sz w:val="19"/>
                <w:szCs w:val="19"/>
                <w:color w:val="auto"/>
              </w:rPr>
            </w:pP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(255,536)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include stock-based compensation expense as follows: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100,083</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Total stock-based compensation expense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188,962</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3" w:lineRule="exact"/>
        <w:rPr>
          <w:sz w:val="20"/>
          <w:szCs w:val="20"/>
          <w:color w:val="auto"/>
        </w:rPr>
      </w:pPr>
    </w:p>
    <w:p>
      <w:pPr>
        <w:jc w:val="both"/>
        <w:ind w:firstLine="8"/>
        <w:spacing w:after="0" w:line="260" w:lineRule="auto"/>
        <w:tabs>
          <w:tab w:leader="none" w:pos="64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table above includes $0.8 million and $0.9 million of stock-based compensation expense for the fiscal year ended January 31, 2025 and 2023, respectively, that was incurred as a result of the restructuring. See </w:t>
      </w:r>
      <w:r>
        <w:rPr>
          <w:rFonts w:ascii="Times New Roman" w:cs="Times New Roman" w:eastAsia="Times New Roman" w:hAnsi="Times New Roman"/>
          <w:sz w:val="16"/>
          <w:szCs w:val="16"/>
          <w:i w:val="1"/>
          <w:iCs w:val="1"/>
          <w:color w:val="auto"/>
        </w:rPr>
        <w:t>Note 16. Restructuring</w:t>
      </w:r>
      <w:r>
        <w:rPr>
          <w:rFonts w:ascii="Times New Roman" w:cs="Times New Roman" w:eastAsia="Times New Roman" w:hAnsi="Times New Roman"/>
          <w:sz w:val="16"/>
          <w:szCs w:val="16"/>
          <w:color w:val="auto"/>
        </w:rPr>
        <w:t xml:space="preserve"> to our consolidated financial statements included in </w:t>
      </w:r>
      <w:r>
        <w:rPr>
          <w:rFonts w:ascii="Times New Roman" w:cs="Times New Roman" w:eastAsia="Times New Roman" w:hAnsi="Times New Roman"/>
          <w:sz w:val="16"/>
          <w:szCs w:val="16"/>
          <w:i w:val="1"/>
          <w:iCs w:val="1"/>
          <w:color w:val="auto"/>
        </w:rPr>
        <w:t>Item 8. Financial Statements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Supplementary Data </w:t>
      </w:r>
      <w:r>
        <w:rPr>
          <w:rFonts w:ascii="Times New Roman" w:cs="Times New Roman" w:eastAsia="Times New Roman" w:hAnsi="Times New Roman"/>
          <w:sz w:val="16"/>
          <w:szCs w:val="16"/>
          <w:color w:val="auto"/>
        </w:rPr>
        <w:t>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statements of operations data, for each of the periods presented, as a percentage of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(percent of revenues)</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0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Less than 1%</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Note: Certain figures may not sum due to rounding.</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2025 and 2024</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2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5"/>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723,876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652,504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71,372</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increased $71.4 million, or 11%, during fiscal 2025 compared to fiscal 2024. The increase in revenues was primarily due to the addition of new paying customers and a continued shift in our sales mix toward our higher priced subscription plans, such as Advanced, Enterprise and Enterprise+ plans.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9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77,193</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 of revenues increased $12.7 million, or 20%, during fiscal 2025 compared to fiscal 2024. The increase was primarily due to an increase of $6.6 million in third-party hosting costs as we increased capacity to support customer usage and growth of our customer base, an increase of $4.3 million in infrastructure and application performance monitoring costs, an increase of $2.4 million in amortization of capitalized software development costs, an increase of $0.6 million in partner delivered services, partially offset by a decrease of $0.9 million in allocated overhead costs and a decrease of $0.8 million in personnel-related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gross margin decreased during fiscal 2025 compared to fiscal 2024 primarily due to increased third-party hosting costs and infrastructure and application performance monitoring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341,467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3"/>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January 31, 2025, we realized $4.2 million in credits related to property taxes for our corporate headquarters. The property tax credit is included in allocated overhead costs for each of the operating expense categories below.</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$16.8 million, or 5%, during fiscal 2025 compared to fiscal 2024. The increase was primarily due to an increase of $22.8 million in personnel-related expenses, partially offset by a decrease of $2.4 million in allocated overhead costs, an increase of $2.0 million in capitalized internal-use software, a decrease of $1.3 million in cloud computing and related costs, and a decrease of $0.7 million in professional fees.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$28.0 million, or 7%, during fiscal 2025 compared to fiscal 2024. The increase was primarily due to an increase of $27.3 million in personnel-related costs driven by higher headcount.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$10.7 million, or 8%, during fiscal 2025 compared to fiscal 2024. The increase was primarily due to an increase of $4.4 million in personnel-related costs, an increase of $4.3 million in professional fees, and an increase of $1.7 million in impairment charges related to subleased office space.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3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360" w:type="dxa"/>
            <w:vAlign w:val="bottom"/>
            <w:tcBorders>
              <w:top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84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19,647</w:t>
            </w:r>
          </w:p>
        </w:tc>
        <w:tc>
          <w:tcPr>
            <w:tcW w:w="90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20,624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(3,683)</w:t>
            </w:r>
          </w:p>
        </w:tc>
        <w:tc>
          <w:tcPr>
            <w:tcW w:w="90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 net decreased $1.0 million during fiscal 2025 compared to fiscal 2024 due primarily to a decrease in interest income from our investments in marketable securities. Interest expense decreased $0.3 million during fiscal 2025 compared to fiscal 2024 primarily due to a decrease in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2024 and 2023</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 comparison of our results of operations for the fiscal years ended January 31, 2024 and 2023, see </w:t>
      </w:r>
      <w:r>
        <w:rPr>
          <w:rFonts w:ascii="Times New Roman" w:cs="Times New Roman" w:eastAsia="Times New Roman" w:hAnsi="Times New Roman"/>
          <w:sz w:val="18"/>
          <w:szCs w:val="18"/>
          <w:i w:val="1"/>
          <w:iCs w:val="1"/>
          <w:color w:val="auto"/>
        </w:rPr>
        <w:t>Part II— Item 7.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our Annual Report on Form 10-K for the fiscal year ended January 31, 2024,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(207,280)</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(207,222)</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(167,213)</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(159,550)</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 and Non-GAAP Net Loss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non-GAAP loss from operations as loss from operations plus stock-based compensation expense and the related employer payroll tax associated with RSUs, impairment of long-lived assets, and restructuring costs. The amount of employer payroll tax-related items on employee stock transactions is dependent on our stock price and other factors that are beyond our control and that do not correlate to the operation of the business. The restructuring costs are related to the reduction of our global workforce, which resulted in expenses related to severance, benefits, and other related items.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the costs associated with restructuring are distinguishable from ongoing operating costs and are not reflective of underlying trends in our business.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non-GAAP net loss as net loss plus stock-based compensation expense and the related employer payroll tax associated with RSUs, impairment of long-lived assets, and restructuring costs.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Adjusted Free Cash Flow</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free cash flow as net cash from operating activities less cash used for purchases of property and equipment and capitalized internal-use software costs, plus non-recurring capital expenditures from the purchases of property and equipment associated with the build-out of our corporate headquarters in San Francisco. We define adjusted free cash flow as free cash flow plus restructuring costs paid. We believe that free cash flow and adjusted free cash flow are useful indicators of liquidity that provide information to management and investors, even if negative, about the amount of cash used in our operations other than that used for investments in property and equipment and capitalized internal-use software costs, adjusted for expenditures which are distinguishable from our ongoing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measures to evaluate their performance. In addition, free cash flow and adjusted free cash flow do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26" w:lineRule="exact"/>
        <w:rPr>
          <w:sz w:val="20"/>
          <w:szCs w:val="20"/>
          <w:color w:val="auto"/>
        </w:rPr>
      </w:pPr>
    </w:p>
    <w:p>
      <w:pPr>
        <w:ind w:left="340" w:right="1260"/>
        <w:spacing w:after="0" w:line="458" w:lineRule="auto"/>
        <w:rPr>
          <w:sz w:val="20"/>
          <w:szCs w:val="20"/>
          <w:color w:val="auto"/>
        </w:rPr>
      </w:pPr>
      <w:r>
        <w:rPr>
          <w:rFonts w:ascii="Times New Roman" w:cs="Times New Roman" w:eastAsia="Times New Roman" w:hAnsi="Times New Roman"/>
          <w:sz w:val="18"/>
          <w:szCs w:val="18"/>
          <w:color w:val="auto"/>
        </w:rPr>
        <w:t xml:space="preserve">The following tables reconcile the most directly comparable GAAP financial measure to each of these non-GAAP financial measures. </w:t>
      </w:r>
      <w:r>
        <w:rPr>
          <w:rFonts w:ascii="Times New Roman" w:cs="Times New Roman" w:eastAsia="Times New Roman" w:hAnsi="Times New Roman"/>
          <w:sz w:val="18"/>
          <w:szCs w:val="18"/>
          <w:i w:val="1"/>
          <w:iCs w:val="1"/>
          <w:color w:val="auto"/>
        </w:rPr>
        <w:t>Non-GAAP Loss From Operations</w:t>
      </w: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(266,735)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191,286</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restructuring costs (benefit)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(207,280)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i w:val="1"/>
                <w:iCs w:val="1"/>
                <w:color w:val="auto"/>
              </w:rPr>
              <w:t>Non-GAAP Net Loss</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(255,536)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and related employer payroll tax associated with</w:t>
            </w: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191,286</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restructuring costs (benefit)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(207,222)</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6" w:lineRule="exact"/>
        <w:rPr>
          <w:sz w:val="20"/>
          <w:szCs w:val="20"/>
          <w:color w:val="auto"/>
        </w:rPr>
      </w:pPr>
    </w:p>
    <w:p>
      <w:pPr>
        <w:jc w:val="both"/>
        <w:ind w:firstLine="8"/>
        <w:spacing w:after="0" w:line="258" w:lineRule="auto"/>
        <w:tabs>
          <w:tab w:leader="none" w:pos="64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Restructuring costs for the fiscal years ended January 31, 2025 and 2023 were composed of severance and related charges of $3.7 million and $8.4 million, respectively, and stock-based compensation expense of $0.8 million and $0.9 million, respectively. See </w:t>
      </w:r>
      <w:r>
        <w:rPr>
          <w:rFonts w:ascii="Times New Roman" w:cs="Times New Roman" w:eastAsia="Times New Roman" w:hAnsi="Times New Roman"/>
          <w:sz w:val="16"/>
          <w:szCs w:val="16"/>
          <w:i w:val="1"/>
          <w:iCs w:val="1"/>
          <w:color w:val="auto"/>
        </w:rPr>
        <w:t>Note 16. Restructuring</w:t>
      </w:r>
      <w:r>
        <w:rPr>
          <w:rFonts w:ascii="Times New Roman" w:cs="Times New Roman" w:eastAsia="Times New Roman" w:hAnsi="Times New Roman"/>
          <w:sz w:val="16"/>
          <w:szCs w:val="16"/>
          <w:color w:val="auto"/>
        </w:rPr>
        <w:t xml:space="preserve"> to our consolidated financial statements included in </w:t>
      </w:r>
      <w:r>
        <w:rPr>
          <w:rFonts w:ascii="Times New Roman" w:cs="Times New Roman" w:eastAsia="Times New Roman" w:hAnsi="Times New Roman"/>
          <w:sz w:val="16"/>
          <w:szCs w:val="16"/>
          <w:i w:val="1"/>
          <w:iCs w:val="1"/>
          <w:color w:val="auto"/>
        </w:rPr>
        <w:t>Item 8. Financial Statements and Supplementary Data</w:t>
      </w:r>
      <w:r>
        <w:rPr>
          <w:rFonts w:ascii="Times New Roman" w:cs="Times New Roman" w:eastAsia="Times New Roman" w:hAnsi="Times New Roman"/>
          <w:sz w:val="16"/>
          <w:szCs w:val="16"/>
          <w:color w:val="auto"/>
        </w:rPr>
        <w:t xml:space="preserve"> in this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00" w:type="dxa"/>
            <w:vAlign w:val="bottom"/>
            <w:tcBorders>
              <w:bottom w:val="single" w:sz="8" w:color="auto"/>
            </w:tcBorders>
          </w:tcPr>
          <w:p>
            <w:pPr>
              <w:jc w:val="right"/>
              <w:ind w:right="89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(58,093)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381,391</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(160,058)</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for build-out of corporate headquarters</w:t>
            </w:r>
          </w:p>
        </w:tc>
        <w:tc>
          <w:tcPr>
            <w:tcW w:w="1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(167,213)</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 paid</w:t>
            </w: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(159,550)</w:t>
            </w:r>
          </w:p>
        </w:tc>
      </w:tr>
      <w:tr>
        <w:trPr>
          <w:trHeight w:val="21"/>
        </w:trPr>
        <w:tc>
          <w:tcPr>
            <w:tcW w:w="5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cash generated from the sale of subscriptions to our platform, and financing activities including the private placement transaction with our CEO. We have generated losses from our operations as reflected in our accumulated deficit of $1,828.5 million as of January 31, 2025, positive cash flows from operating activities for fiscal 2025, and negative cash flows from operating activities for fiscal 2024 and fiscal 2023.</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31, 2025, our principal sources of liquidity were cash, cash equivalents, and marketable securities of $466.9 million.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four-year credit agreement with SVB, which provided for a senior secured credit facilities in the aggregate principal amount of up to $150.0 million, consisting of a term loan facility in the aggregate principal amount of $50.0 million and a revolving loan facility in an aggregate principal amount of up to $100.0 million, including a $30.0 million letter of credit sub-facility (as amended on April 13, 2023, June 18, 2024, and November 18, 2024, the “November 2022 Senior Secured Credit Facility”). The November 2022 Senior Secured Credit Facility refinanced our prior credit agreement with SVB (the “April 2020 Senior Secured Term Loan”) and terminates on November 7, 2026.</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Borrowings under the November 2022 Senior Secured Credit Facility may be designated as ABR Loans or SOFR Loans, subject to certain terms and conditions under the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Times New Roman" w:cs="Times New Roman" w:eastAsia="Times New Roman" w:hAnsi="Times New Roman"/>
          <w:sz w:val="18"/>
          <w:szCs w:val="18"/>
          <w:i w:val="1"/>
          <w:iCs w:val="1"/>
          <w:color w:val="auto"/>
        </w:rPr>
        <w:t xml:space="preserve">Note 6. Debt </w:t>
      </w:r>
      <w:r>
        <w:rPr>
          <w:rFonts w:ascii="Times New Roman" w:cs="Times New Roman" w:eastAsia="Times New Roman" w:hAnsi="Times New Roman"/>
          <w:sz w:val="18"/>
          <w:szCs w:val="18"/>
          <w:color w:val="auto"/>
        </w:rPr>
        <w:t>for further details.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under the November 2022 Senior Secured Credit Facility there was $50.0 million drawn and $44.4 million was outstanding under the term loan, no amounts outstanding under the revolving credit facility and an aggregate $21.6 million in letters of credit issued under the credit sub-facility. Our total available borrowing capacity under the revolving credit facility was $78.4 million as of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2022, we issued and sold 19,273,127 shares of our Class A common stock to our CEO in a private placement transaction at a purchase price of $18.16 per share, based on the closing trading price of our Class A common stock on September 2, 2022, for aggregate proceeds of approximately $350 million. Refer to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xml:space="preserve"> for details.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2024, our board of directors authorized a stock repurchase program of up to $150 million of our outstanding Class A common stock. Repurchases are made on the open market, including via pre-set trading plans, in accordance with applicable securities laws. The program is funded using our working capital and will expire in June 2025. The program does not obligate us to acquire any particular amount of Class A common stock, and the repurchase program may be suspended or discontinued at any time at our discretion. During the year ended January 31, 2025, we repurchased 6.2 million shares of our outstanding Class A common stock for an aggregate purchase price of $78.4 million. All shares of Class A common stock repurchased were retired. As of January 31, 2025, $71.6 million remained available for future repurchases under the stock repurchase program. See </w:t>
      </w:r>
      <w:r>
        <w:rPr>
          <w:rFonts w:ascii="Times New Roman" w:cs="Times New Roman" w:eastAsia="Times New Roman" w:hAnsi="Times New Roman"/>
          <w:sz w:val="18"/>
          <w:szCs w:val="18"/>
          <w:i w:val="1"/>
          <w:iCs w:val="1"/>
          <w:color w:val="auto"/>
        </w:rPr>
        <w:t>Note 10.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to our consolidated financial statements included in</w:t>
      </w:r>
      <w:r>
        <w:rPr>
          <w:rFonts w:ascii="Times New Roman" w:cs="Times New Roman" w:eastAsia="Times New Roman" w:hAnsi="Times New Roman"/>
          <w:sz w:val="18"/>
          <w:szCs w:val="18"/>
          <w:i w:val="1"/>
          <w:iCs w:val="1"/>
          <w:color w:val="auto"/>
        </w:rPr>
        <w:t xml:space="preserve"> Part II, Item 8 </w:t>
      </w:r>
      <w:r>
        <w:rPr>
          <w:rFonts w:ascii="Times New Roman" w:cs="Times New Roman" w:eastAsia="Times New Roman" w:hAnsi="Times New Roman"/>
          <w:sz w:val="18"/>
          <w:szCs w:val="18"/>
          <w:color w:val="auto"/>
        </w:rPr>
        <w:t>of this Annual Report on Form 10-K for more information regarding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substantial source of our cash provided by operating activities is our customer billings for subscription to our platform. Deferred revenue consists of the unearned portion of billed fees for our subscriptions, which is included on our consolidated balance sheets as a liability and is recorded as revenues over the term of the subscription agreement. As of January 31, 2025 and January 31, 2024, we had $302.8 million and $271.2 million, respectively, of deferred revenue of which $300.8 million and $265.3 million, respectively, were recorded as a current liability. This deferred revenue will be recognized as revenues when all of the revenue recognition criteria are met.</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assess our liquidity primarily through our cash on hand as well as the projected timing of billings under contract with our paying customers and related collection cycles. We believe our current cash, cash equivalents, marketable securities, and amounts available under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dollar-based-net-retention rate, the timing and extent of spending to support our research and development efforts, particularly for the introduction of new and enhanced products and features, including the integration of AI in our products,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(160,058)</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(289,135)</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16,777</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381,391</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prior years, we generated negative cash flows from operating activities and supplemented working capital requirements through net proceeds from the sale of equity and equity-linked securities.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of $14.9 million for fiscal 2025 reflects our net loss of $255.5 million, adjusted by non-cash items such as stock-based compensation expense of $211.3 million, amortization of deferred contract acquisition costs of $25.9 million, non-cash lease expense of $18.0 million, depreciation and amortization of $17.5 million, impairment of long-lived assets of $6.8 million and provision for expected credit losses of $3.2 million, partially offset by net accretion of discount on marketable securities of $5.5 million and net cash outflows of $6.8 million from changes in our operating assets and liabilities. The net cash outflows from changes in operating assets and liabilities primarily consisted of a $20.4 million increase in prepaid expenses and other current assets related to an increase in deferred contract acquisition costs, a $20.0 million decrease in operating lease liabilities, a $4.7 million increase in accounts receivable, and a $4.4 million increase in other assets. These amounts were partially offset by a $31.6 million increase in deferred revenue resulting from increased billings for subscriptions, a $6.6 million increase in accrued expenses and other liabilities primarily from increases in accrued taxes and accrued payroll liabilities, and a $4.4 million increase in accounts payable.</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$17.9 million for fiscal 2024 reflects our net loss of $257.0 million, adjusted by non-cash items such as stock-based compensation expense of $202.4 million, amortization of deferred contract acquisition cost of $22.0 million, non-cash lease expense of $18.1 million, depreciation and amortization of $14.3 million, impairment of long-lived assets of $5.0 million, and provision for expected credit losses of $3.1 million, partially offset by net accretion of discount on marketable securities of $3.4 million and net cash outflows of $22.6 million from changes in our operating assets and liabilities. The net cash outflows from changes in operating assets and liabilities primarily consisted of a $25.6 million increase in prepaid expenses and other current assets related to an increase in deferred contract acquisition costs, a $18.9 million decrease in operating lease liabilities, a $9.5 million increase in accounts receivable due to higher customer billings, a $5.2 million decrease in accrued expenses and other liabilities primarily from decreases in accrued payroll liabilities, a $0.6 million decrease in accounts payable, and a $0.5 million increase in other assets. These amounts were partially offset by a $37.6 million increase deferred revenue resulting from increased billings for subscriptions.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$6.1 million for fiscal 2025 consisted of $234.4 million in purchases of marketable securities, $6.7 million in capitalized internal-use software costs, and $5.6 million in purchases of property and equipment, offset by $240.6 million in maturities of marketable securities.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$289.1 million for fiscal 2024 consisted of $319.1 million in purchases of marketable securities, $7.7 million in purchases of property and equipment, and $5.4 million in capitalized internal-use software costs, partially offset $43.1 million in maturities of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$58.1 million for fiscal 2025 consisted of $78.4 million in repurchases of common stock and $2.5 million in repayment of term loan, partially offset by $13.7 million in proceeds from employee stock purchase plan and $9.1 million in proceeds from exercise of stock options.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$16.8 million for fiscal 2024 consisted of $15.1 million in proceeds from our employee stock purchase plan and $4.8 million in proceeds from the exercise of stock options, partially offset by $3.1 million for the repayment of our April 2020 Senior Secured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January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3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196"/>
        </w:trPr>
        <w:tc>
          <w:tcPr>
            <w:tcW w:w="3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9"/>
        </w:trPr>
        <w:tc>
          <w:tcPr>
            <w:tcW w:w="3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w:t>
            </w: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129,559</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left="340" w:right="20" w:hanging="332"/>
        <w:spacing w:after="0" w:line="253"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future non-cancelable minimum rental payments under operating leases for our offices. For further information regarding operating lease commitments, refer to </w:t>
      </w:r>
      <w:r>
        <w:rPr>
          <w:rFonts w:ascii="Times New Roman" w:cs="Times New Roman" w:eastAsia="Times New Roman" w:hAnsi="Times New Roman"/>
          <w:sz w:val="16"/>
          <w:szCs w:val="16"/>
          <w:i w:val="1"/>
          <w:iCs w:val="1"/>
          <w:color w:val="auto"/>
        </w:rPr>
        <w:t>Note 8. Leases</w:t>
      </w:r>
      <w:r>
        <w:rPr>
          <w:rFonts w:ascii="Times New Roman" w:cs="Times New Roman" w:eastAsia="Times New Roman" w:hAnsi="Times New Roman"/>
          <w:sz w:val="16"/>
          <w:szCs w:val="16"/>
          <w:color w:val="auto"/>
        </w:rPr>
        <w:t>.</w:t>
      </w:r>
    </w:p>
    <w:p>
      <w:pPr>
        <w:ind w:left="340" w:hanging="332"/>
        <w:spacing w:after="0" w:line="275"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Consists of a 60-month contract with Amazon Web Services for hosting-related services and other non-cancellable purchase commitments with various parties primarily for software-based services. Refer to </w:t>
      </w:r>
      <w:r>
        <w:rPr>
          <w:rFonts w:ascii="Times New Roman" w:cs="Times New Roman" w:eastAsia="Times New Roman" w:hAnsi="Times New Roman"/>
          <w:sz w:val="16"/>
          <w:szCs w:val="16"/>
          <w:i w:val="1"/>
          <w:iCs w:val="1"/>
          <w:color w:val="auto"/>
        </w:rPr>
        <w:t>Note 7. Commitments and Contingencies</w:t>
      </w:r>
      <w:r>
        <w:rPr>
          <w:rFonts w:ascii="Times New Roman" w:cs="Times New Roman" w:eastAsia="Times New Roman" w:hAnsi="Times New Roman"/>
          <w:sz w:val="16"/>
          <w:szCs w:val="16"/>
          <w:color w:val="auto"/>
        </w:rPr>
        <w:t xml:space="preserve"> for further details on related commitments.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new lease agreement for office space in San Francisco, which commenced in May 2020 and expires in October 2033. As part of the agreement, we were required to issue a $17.0 million letter of credit upon access to the office space, which occurred in the year ended January 31, 2021. Future minimum lease payments related to this lease as of January 31, 2025 were $281.6 million. Our CEO acts as a personal guarantor to the lease for the full rent payments over the entire term of the lease should we default on our obligations.</w:t>
      </w:r>
    </w:p>
    <w:p>
      <w:pPr>
        <w:spacing w:after="0" w:line="12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on our commitments and contingencies, refer to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in the consolidated financial statements contained within this Annual Report on Form 10-K.</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November 2022, we entered into the November 2022 Senior Secured Credit Facility with SVB, as discussed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above.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While our significant accounting policies are more fully described in </w:t>
      </w:r>
      <w:r>
        <w:rPr>
          <w:rFonts w:ascii="Times New Roman" w:cs="Times New Roman" w:eastAsia="Times New Roman" w:hAnsi="Times New Roman"/>
          <w:sz w:val="18"/>
          <w:szCs w:val="18"/>
          <w:i w:val="1"/>
          <w:iCs w:val="1"/>
          <w:color w:val="auto"/>
        </w:rPr>
        <w:t>Note 2. 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of this Annual Report on Form 10-K, we believe that the accounting estimates described below have the most significant impact.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We elected to apply the practical expedient to recognize commissions paid for incremental sales to existing customers as an expense if the amortization period of the asset would have been one year or less.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Software development costs consist of certain payroll and stock-based compensation costs incurred to develop functionality for our cloud-based platform and internally built software platforms, as well as certain upgrades and enhancements that are expected to result in enhanced functionality.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Costs incurred in the preliminary stages of development are expensed as incurred. Once software has reached the development stage, internal and external costs, if direct and incremental, are capitalized until the software is substantially complete and ready for its intended use. Capitalization ceases upon completion of all substantial testing. Costs incurred for the maintenance and minor upgrade and enhancement of Company’s software platform without adding additional functionality are expensed as incurred. There is judgment involved in estimating the stage of development as well as estimating time allocated to a particular project.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Capitalized software development costs are recorded as part of property and equipment and amortized on a straight-line basis over the technology’s estimated useful life, which is generally three years. 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expense related to our 2020 Employee Stock Purchase Plan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We account for modifications to employee contributions as they occur.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stock-based compensation expense ratably over the requisite service period, which is generally the vesting period of the respective award. We account for forfeitures as they occur. We recognize stock-based compensation expense related to ESPP on a straight-line basis over the term of each ESPP offering period, which is generally two years.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assumptions are based on the following for each of the years presented:</w:t>
      </w:r>
    </w:p>
    <w:p>
      <w:pPr>
        <w:spacing w:after="0" w:line="169" w:lineRule="exact"/>
        <w:rPr>
          <w:sz w:val="20"/>
          <w:szCs w:val="20"/>
          <w:color w:val="auto"/>
        </w:rPr>
      </w:pPr>
    </w:p>
    <w:p>
      <w:pPr>
        <w:jc w:val="both"/>
        <w:ind w:left="66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Expected volatility is a measure of the amount by which the stock price is expected to fluctuate. The Company utilized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historical volatility of a group of comparable publicly traded companies over a period equal to the expected term prior to sufficient historical volatility of our stock being available, and uses the historical volatility of our common stock to estimate expected volatility over the expected term for new awards.</w:t>
      </w:r>
    </w:p>
    <w:p>
      <w:pPr>
        <w:spacing w:after="0" w:line="125"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Expected term represents the period that our stock-based awards are expected to be outstanding. The expected term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determined based on the vesting terms, exercise terms, and contractual lives of the awards. The expected term of the ESPP represents the period of time that purchase rights are expected to be outstanding.</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rate—</w:t>
      </w:r>
      <w:r>
        <w:rPr>
          <w:rFonts w:ascii="Times New Roman" w:cs="Times New Roman" w:eastAsia="Times New Roman" w:hAnsi="Times New Roman"/>
          <w:sz w:val="18"/>
          <w:szCs w:val="18"/>
          <w:color w:val="auto"/>
        </w:rPr>
        <w:t>We use the U.S. Treasury yield for our risk-free interest rate that corresponds with the expected term.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We utilize a dividend yield of zero, as we do not currently issue dividends, nor do we expect to do so in the future.</w:t>
      </w:r>
    </w:p>
    <w:p>
      <w:pPr>
        <w:spacing w:after="0" w:line="17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Prior to our direct listing, we estimated the fair value of common stock. The fair value of common stock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of ESPP purchases is based on the stock price on the first date of the respective offering period.</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determine if an arrangement is a lease at inception by determining if the contract conveys the right to control the use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we consider only payments that are fixed and determinable at the time of commencement. As our leases do not provide an implicit rate, we use the incremental borrowing rate based on the information available at commencement date in determining the present value of lease payments. The incremental borrowing rate is a hypothetical rate based on our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we will exercise such options. The lease agreements may contain variable costs such as common area maintenance, insurance, real estate taxes or other costs. Variable lease costs are expensed as incurred on the consolidated statements of operations. Our lease agreements generally do not contain any residual value guarantees, restrictions, or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We have elected to combine lease and non-lease components as a single lease component for all classes of underlying assets. We have also elected to keep leases with an initial term of 12 months or less off the balance sheet and recognize the associated lease payments in the consolidated statements of operations on a straight-line basis over the lease term.</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operating lease liabilities, current, and operating lease liabilities, noncurrent on the consolidated balance sheets.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currently subleases certain of its unoccupied facilities to third parties. Any impairment to the associated right-of-use assets, leasehold improvements, or other assets as a result of a sublease is recognized in the period the sublease is executed and recorded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included elsewhere in this Annual Report on Form 10-K for more information regarding recent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certain market risks in the ordinary course of our business.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cash equivalents, and marketable securities primarily consist of cash on hand and highly liquid investments in money market funds, U.S. government securities, corporate bonds, agency bonds, and commercial paper. As of January 31, 2025 and January 31, 2024, we had cash and cash equivalents of $184.7 million and $236.7 million, respectively, and marketable securities of $282.2 million and $282.8 million, respectively. We do not enter into investments for trading or speculative purposes. Our investments are exposed to market risk due to fluctuations in interest rates, which may affect our interest income and the fair value of our investments. As of January 31, 2025, a hypothetical increase in interest rates for our investments by 100 basis points would not have a material impact on our consolidated financial statements.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borrowings under the revolving credit facility bear interest at a variable rate tied to the adjusted term SOFR, the prime rate, or the federal funds effective rate. As of January 31, 2025, we had $44.4 million outstanding under the credit facility. We do not have any other long-term debt or financial liabilities with floating interest rates that would subject us to interest rate fluctuations. As of January 31, 2025, a hypothetical increase of 100 basis points in interest rates for our revolving credit facility would not have a material impact on our consolidated financial statements.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majority of our subscription agreements are denominated in U.S. dollars, with the remainder generated in Euros, British Pounds, Australian Dollars, Japanese Yen, Mexican Pesos, Brazilian Reais, Canadian Dollars, and South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Swiss Franc, and Polish Zloty. Our results of operations and cash flows are, therefore, subject to fluctuations in foreign currency exchange rates that are unrelated to our operating performance.</w:t>
      </w:r>
    </w:p>
    <w:p>
      <w:pPr>
        <w:spacing w:after="0" w:line="1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year ended January 31, 2025, 25% of our sales were denominated in currencies other than U.S. dollars. Our expenses, by contrast, are primarily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Times New Roman" w:cs="Times New Roman" w:eastAsia="Times New Roman" w:hAnsi="Times New Roman"/>
          <w:sz w:val="18"/>
          <w:szCs w:val="18"/>
          <w:i w:val="1"/>
          <w:iCs w:val="1"/>
          <w:color w:val="auto"/>
        </w:rPr>
        <w:t>Note 12. Interest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Income (Expense), Net</w:t>
      </w:r>
      <w:r>
        <w:rPr>
          <w:rFonts w:ascii="Times New Roman" w:cs="Times New Roman" w:eastAsia="Times New Roman" w:hAnsi="Times New Roman"/>
          <w:sz w:val="18"/>
          <w:szCs w:val="18"/>
          <w:color w:val="auto"/>
        </w:rPr>
        <w:t>. A hypothetical 10% change in foreign currency rates would not have resulted in material gains or losses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January 31, 2025 and 2024.</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73</w:t>
            </w:r>
          </w:p>
        </w:tc>
        <w:tc>
          <w:tcPr>
            <w:tcW w:w="60" w:type="dxa"/>
            <w:vAlign w:val="bottom"/>
          </w:tcPr>
          <w:p>
            <w:pPr>
              <w:spacing w:after="0"/>
              <w:rPr>
                <w:sz w:val="19"/>
                <w:szCs w:val="19"/>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gridSpan w:val="5"/>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960" w:type="dxa"/>
            <w:vAlign w:val="bottom"/>
            <w:gridSpan w:val="5"/>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60" w:type="dxa"/>
            <w:vAlign w:val="bottom"/>
          </w:tcPr>
          <w:p>
            <w:pPr>
              <w:spacing w:after="0"/>
              <w:rPr>
                <w:sz w:val="18"/>
                <w:szCs w:val="18"/>
                <w:color w:val="auto"/>
              </w:rPr>
            </w:pPr>
          </w:p>
        </w:tc>
      </w:tr>
      <w:tr>
        <w:trPr>
          <w:trHeight w:val="20"/>
        </w:trPr>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77</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w:t>
            </w:r>
          </w:p>
        </w:tc>
        <w:tc>
          <w:tcPr>
            <w:tcW w:w="7240" w:type="dxa"/>
            <w:vAlign w:val="bottom"/>
            <w:gridSpan w:val="2"/>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gridSpan w:val="2"/>
          </w:tcPr>
          <w:p>
            <w:pPr>
              <w:spacing w:after="0"/>
              <w:rPr>
                <w:sz w:val="18"/>
                <w:szCs w:val="18"/>
                <w:color w:val="auto"/>
              </w:rPr>
            </w:pPr>
          </w:p>
        </w:tc>
        <w:tc>
          <w:tcPr>
            <w:tcW w:w="7240" w:type="dxa"/>
            <w:vAlign w:val="bottom"/>
            <w:gridSpan w:val="2"/>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60" w:type="dxa"/>
            <w:vAlign w:val="bottom"/>
          </w:tcPr>
          <w:p>
            <w:pPr>
              <w:spacing w:after="0"/>
              <w:rPr>
                <w:sz w:val="18"/>
                <w:szCs w:val="18"/>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620" w:type="dxa"/>
            <w:vAlign w:val="bottom"/>
            <w:gridSpan w:val="3"/>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60" w:type="dxa"/>
            <w:vAlign w:val="bottom"/>
          </w:tcPr>
          <w:p>
            <w:pPr>
              <w:spacing w:after="0"/>
              <w:rPr>
                <w:sz w:val="18"/>
                <w:szCs w:val="18"/>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2" w:name="page73"/>
    <w:bookmarkEnd w:id="72"/>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Asana, Inc.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Asana, Inc. and its subsidiaries (the "Company") as of January 31, 2025 and 2024, and the related consolidated statements of operations, of comprehensive loss, of stockholders’ equity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derives its revenues from subscription fees earned from customers accessing the platform. The Company accounts for revenue contracts with customers by applying the requirements of ASC 606, Revenue from Contracts with Customers. 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For the year ended January 31, 2025, the Company’s revenue was $723.9 million.</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is a critical audit matter are a high degree of audit effort in performing audit procedures and evaluating audit evidence related to the Company’s revenue recognition.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initiation, billing and recording of new and recurring subscriptions and the related subscription revenue. These procedures also included, among others, (i) testing revenue transactions on a sample basis by tracing revenue transactions to source documents, including customer contracts, orders, invoices, and cash receipts, where applicable; (ii) testing management’s reconciliation of invoices to cash received; and (iii) recalculating the deferred revenue balance.</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282,156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282,801</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88,327</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51,925</w:t>
            </w:r>
          </w:p>
        </w:tc>
      </w:tr>
      <w:tr>
        <w:trPr>
          <w:trHeight w:val="223"/>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96,543</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181,731</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r>
      <w:tr>
        <w:trPr>
          <w:trHeight w:val="223"/>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891,415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961,960</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75,821</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265,306</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367,213</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663,892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635,564</w:t>
            </w: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7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$0.00001 par value; Class A common stock - 1,000,000 shares authorized as of</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4"/>
        </w:trPr>
        <w:tc>
          <w:tcPr>
            <w:tcW w:w="75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31, 2025 and January 31, 2024; 147,476 and 139,239 shares issued and outstanding as of</w:t>
            </w: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7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January 31, 2025 and January 31, 2024, respectively; Class B common stock - 500,000 shares</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75"/>
        </w:trPr>
        <w:tc>
          <w:tcPr>
            <w:tcW w:w="7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authorized as of January 31, 2025 and January 31, 2024; 85,412 and 85,489 shares issued and</w:t>
            </w: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31, 2025 and January 31, 2024, respectively</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1,821,216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(1,828,476)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(1,494,586)</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326,396</w:t>
            </w:r>
          </w:p>
        </w:tc>
      </w:tr>
      <w:tr>
        <w:trPr>
          <w:trHeight w:val="223"/>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891,415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961,960</w:t>
            </w:r>
          </w:p>
        </w:tc>
      </w:tr>
      <w:tr>
        <w:trPr>
          <w:trHeight w:val="20"/>
        </w:trPr>
        <w:tc>
          <w:tcPr>
            <w:tcW w:w="7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56,559</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490,653</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297,209</w:t>
            </w: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434,961</w:t>
            </w: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166,309</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898,479</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(266,735)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(407,826)</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(250,771)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(402,893)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(255,536)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229,472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200,034</w:t>
            </w:r>
          </w:p>
        </w:tc>
      </w:tr>
      <w:tr>
        <w:trPr>
          <w:trHeight w:val="20"/>
        </w:trPr>
        <w:tc>
          <w:tcPr>
            <w:tcW w:w="5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(255,536)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gains (losses) on marketable securities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(408,015)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506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22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restart"/>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5"/>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1,034,252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(829,788)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203,840</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share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17,116</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private placement—related party, net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347,289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189,898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marketable securities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(407,768)</w:t>
            </w:r>
          </w:p>
        </w:tc>
        <w:tc>
          <w:tcPr>
            <w:tcW w:w="0" w:type="dxa"/>
            <w:vAlign w:val="bottom"/>
          </w:tcPr>
          <w:p>
            <w:pPr>
              <w:spacing w:after="0"/>
              <w:rPr>
                <w:sz w:val="1"/>
                <w:szCs w:val="1"/>
                <w:color w:val="auto"/>
              </w:rPr>
            </w:pP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2023</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214,293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1,595,001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(1,237,556)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356,574</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78" w:name="page79"/>
    <w:bookmarkEnd w:id="78"/>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24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jc w:val="center"/>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(1,237,556)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356,574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share 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marketable securities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(257,030)</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224,728</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1,821,216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(1,494,586)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326,396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the exercise of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and retirement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(78,354)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upon the vesting and settlement of restricted</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share purchase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215,871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losses on marketable securities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(255,536)</w:t>
            </w:r>
          </w:p>
        </w:tc>
        <w:tc>
          <w:tcPr>
            <w:tcW w:w="0" w:type="dxa"/>
            <w:vAlign w:val="bottom"/>
          </w:tcPr>
          <w:p>
            <w:pPr>
              <w:spacing w:after="0"/>
              <w:rPr>
                <w:sz w:val="1"/>
                <w:szCs w:val="1"/>
                <w:color w:val="auto"/>
              </w:rPr>
            </w:pPr>
          </w:p>
        </w:tc>
      </w:tr>
      <w:tr>
        <w:trPr>
          <w:trHeight w:val="235"/>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31, 2025</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(1,828,476)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(407,768)</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188,962</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(accretion) amortization of (discount) premium on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15,595</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revolving credit facility and term loan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(25,179)</w:t>
            </w: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25,539</w:t>
            </w: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59,375</w:t>
            </w:r>
          </w:p>
        </w:tc>
      </w:tr>
      <w:tr>
        <w:trPr>
          <w:trHeight w:val="229"/>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(13,829)</w:t>
            </w:r>
          </w:p>
        </w:tc>
      </w:tr>
      <w:tr>
        <w:trPr>
          <w:trHeight w:val="22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(160,058)</w:t>
            </w:r>
          </w:p>
        </w:tc>
      </w:tr>
      <w:tr>
        <w:trPr>
          <w:trHeight w:val="21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(72,216)</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143,865</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23"/>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64,492</w:t>
            </w: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term loan, net of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49,555</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(38,333)</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private placement—related party, net of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347,289</w:t>
            </w:r>
          </w:p>
        </w:tc>
      </w:tr>
      <w:tr>
        <w:trPr>
          <w:trHeight w:val="22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30"/>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r>
      <w:tr>
        <w:trPr>
          <w:trHeight w:val="230"/>
        </w:trPr>
        <w:tc>
          <w:tcPr>
            <w:tcW w:w="6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381,391</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286,160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ind w:left="508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240,403</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consolidated statements</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184,864</w:t>
            </w:r>
          </w:p>
        </w:tc>
        <w:tc>
          <w:tcPr>
            <w:tcW w:w="440" w:type="dxa"/>
            <w:vAlign w:val="bottom"/>
            <w:gridSpan w:val="2"/>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of cash flows</w:t>
            </w: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information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early exercised stock options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capitalized for software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Asana, Inc. (“Asana” or the “Company”) was incorporated in the state of Delaware on December 16, 2008. Asana is a leading work management software platform with an enterprise focus that helps organizations orchestrate work, from daily tasks to cross-functional strategic initiatives. The Company is headquartered in San Francisco, California.</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Basis of Presentation and Summary of 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For example, references to fiscal 2025, 2024, and 2023 refer to the fiscal year ended January 31, 2025, January 31, 2024, and January 31, 2023,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common stock for periods prior to the direct listing, stock-based compensation expense, the period of benefit for deferred contract acquisition costs, income taxes, and the valuation of right-of-use assets. Actual results could differ from those estimates.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macroeconomic events including inflation, fluctuating interest rates, bank failures, supply chain disruptions, fluctuations in currency exchange rates, tariffs and changes in trade agreements, and global armed conflicts, including between Ukraine and Russia and in the Middle East, have led to economic uncertainty. These macroeconomic conditions have and are likely to continue to have adverse effects on the rate of global information technology (“IT”) spending, including the buying patterns of the Company’s customers and prospective customers.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conditions caused by the aforementioned macroeconomic events have affected and could continue to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the aforementioned macroeconomic events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primarily derives its revenues from subscription fees earned from customers accessing the Company’s products via its platform. The Company’s policy is to exclude sales and other indirect taxes when measuring the transaction price of its subscription agreements. The Company accounts for revenue contracts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customers by applying the requirements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includes the following steps:</w:t>
      </w:r>
    </w:p>
    <w:p>
      <w:pPr>
        <w:spacing w:after="0" w:line="17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revenues when, or as, the Company satisfies a performance obligation.</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non-refundable in the event of cancellations.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Advertising expenses are charged to sales and marketing expense in the consolidated statements of operations as incurred. Advertising expenses were $75.0 million, $79.4 million, and $118.1 million for the years ended January 31, 2025, 2024, and 2023, respectively.</w:t>
      </w:r>
    </w:p>
    <w:p>
      <w:pPr>
        <w:spacing w:after="0" w:line="67"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-43815</wp:posOffset>
            </wp:positionV>
            <wp:extent cx="6413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stock-based compensation expense for all stock-based awards, including stock options, purchase rights issued under the 2020 Employee Stock Purchase Plan (“ESPP”), and restricted stock units (“RSUs”), made to employees, non-employees, and directors based on estimated fair values recognized over the requisite service period. The fair value of stock options granted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Company utilized the average historical volatility of a group of comparable publicly traded companies over a period equal to the expected term when sufficient historical volatility of its common stock was not available and uses the historical volatility of its common stock to estimate expected volatility over the expected term for new awards.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Company’s common stock on the date of grant.</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recognized as expense over the requisite service period, which is generally the vesting period of the respective award. The Company uses the straight-line method for expense attribution and accounts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equity as a component of accumulated other comprehensive loss. Adjustments that arise from foreign currency exchange rate changes on transactions denominated in a currency other than the functional currency are included in interest income and other income (expense), net on the consolidated statements of operations and were not material for the years ended January 31, 2025, 2024, and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manages its operations and allocates resources as a single operating and reportable segment. The Company primarily generates revenues from subscriptions from paying customers accessing its cloud-based platform.</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decision-maker is its Chief Executive Officer (“CEO”), who reviews financial information regularly provided on a consolidated basis for purposes of making operating decisions, assessing financial performance, and allocating resources.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CEO assesses performance and decides how to allocate resources based on consolidated net income or loss that is reported on the Company’s consolidated statements of operations. The CEO uses consolidated net income or loss for purposes of evaluating return on assets and determining investment opportunities related to the Company's platform, product development, or sales and marketing. The CEO reviews consolidated expense information for each period based on the classifications presented on the Company's consolidated statements of operations, including cost of revenues, research and development, sales and marketing, general and administrative, interest income and other income (expense), net, interest expense, and provision for income taxes. For information regarding the Company’s depreciation and amortization expense see </w:t>
      </w:r>
      <w:r>
        <w:rPr>
          <w:rFonts w:ascii="Times New Roman" w:cs="Times New Roman" w:eastAsia="Times New Roman" w:hAnsi="Times New Roman"/>
          <w:sz w:val="18"/>
          <w:szCs w:val="18"/>
          <w:i w:val="1"/>
          <w:iCs w:val="1"/>
          <w:color w:val="auto"/>
        </w:rPr>
        <w:t>Note 5. Balance Sheet Components</w:t>
      </w:r>
      <w:r>
        <w:rPr>
          <w:rFonts w:ascii="Times New Roman" w:cs="Times New Roman" w:eastAsia="Times New Roman" w:hAnsi="Times New Roman"/>
          <w:sz w:val="18"/>
          <w:szCs w:val="18"/>
          <w:color w:val="auto"/>
        </w:rPr>
        <w:t xml:space="preserve">, for information regarding interest income, see </w:t>
      </w:r>
      <w:r>
        <w:rPr>
          <w:rFonts w:ascii="Times New Roman" w:cs="Times New Roman" w:eastAsia="Times New Roman" w:hAnsi="Times New Roman"/>
          <w:sz w:val="18"/>
          <w:szCs w:val="18"/>
          <w:i w:val="1"/>
          <w:iCs w:val="1"/>
          <w:color w:val="auto"/>
        </w:rPr>
        <w:t>Note 12. Interest Income and Other Income (Expense)</w:t>
      </w:r>
      <w:r>
        <w:rPr>
          <w:rFonts w:ascii="Times New Roman" w:cs="Times New Roman" w:eastAsia="Times New Roman" w:hAnsi="Times New Roman"/>
          <w:sz w:val="18"/>
          <w:szCs w:val="18"/>
          <w:color w:val="auto"/>
        </w:rPr>
        <w:t xml:space="preserve">, Net and for information regarding the Company’s revenues and long-lived assets by geographic area, see </w:t>
      </w:r>
      <w:r>
        <w:rPr>
          <w:rFonts w:ascii="Times New Roman" w:cs="Times New Roman" w:eastAsia="Times New Roman" w:hAnsi="Times New Roman"/>
          <w:sz w:val="18"/>
          <w:szCs w:val="18"/>
          <w:i w:val="1"/>
          <w:iCs w:val="1"/>
          <w:color w:val="auto"/>
        </w:rPr>
        <w:t>Note 14. Geographic Information</w:t>
      </w:r>
      <w:r>
        <w:rPr>
          <w:rFonts w:ascii="Times New Roman" w:cs="Times New Roman" w:eastAsia="Times New Roman" w:hAnsi="Times New Roman"/>
          <w:sz w:val="18"/>
          <w:szCs w:val="18"/>
          <w:color w:val="auto"/>
        </w:rPr>
        <w:t xml:space="preserve"> in these consolidated financial statements.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at the date of purchase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stated at cost, which approximates fair value.</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as reported in the Company’s consolidated statements of cash flows includes the aggregate amounts of cash and cash equivalents as shown on the consolidated balance sheets.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holds restricted cash for the future payment of voluntary disability insurance claims. The Company had $0.1 million of restricted cash as of January 31, 2025 and no restricted cash as of January 31, 2024.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Investments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are primarily comprised of U.S. government securities, commercial paper, corporate bonds, and U.S. agency bonds with an original contractual maturity or a remaining maturity at the time of purchase of greater than three months and no more than 37 months. The Company classifies its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securities with stated maturities beyond twelve months, within current assets in the consolidated balance sheets.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reported in accumulated other comprehensive loss as a separate component of stockholders’ equity until realized. Unrealized gains and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any marketable securities that management intends to sell or is more likely than not that management will be required to sell prior to their anticipated recovery are recorded in interest income and other income (expense), net. Interest receivable on these securities is presented in prepaid expenses and other current assets on the consolidated balance sheets. Realized gains and losses, other-than-temporary impairments, and the recognition of expected credit losses, if any, on available-for-sale securities are recognized upon sale and are included in interest income and other income (expense), net in the consolidated statements of operations. The cost of securities sold is based on the specific identification method. Marketable securities are reviewed periodically to identify possible other-than-temporary impairments or expected credit losses. No impairment or credit loss has been recorded on the Company’s marketable securities during the years ended January 31, 2025, 2024, or 2023.</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realizable value, net of allowance for expected credit losses. The allowance for expected credit losses is based on the Company’s assessment of the collectability of its accounts receivable, which considers the Company’s historical write-offs of uncollectible accounts, an analysis of the aging of outstanding accounts receivable, specific customers with known adverse financial conditions, and considers other relevant factors, including contractual terms and current and future economic conditions. The Company also considers current market conditions and current and future economic conditions in reviewing the adequacy of the allowance. The Company reassesses the adequacy of the allowance for credit losses each reporting period.</w:t>
      </w:r>
    </w:p>
    <w:p>
      <w:pPr>
        <w:spacing w:after="0" w:line="133" w:lineRule="exact"/>
        <w:rPr>
          <w:sz w:val="20"/>
          <w:szCs w:val="20"/>
          <w:color w:val="auto"/>
        </w:rPr>
      </w:pPr>
    </w:p>
    <w:p>
      <w:pPr>
        <w:ind w:left="340" w:right="1280"/>
        <w:spacing w:after="0" w:line="438" w:lineRule="auto"/>
        <w:rPr>
          <w:sz w:val="20"/>
          <w:szCs w:val="20"/>
          <w:color w:val="auto"/>
        </w:rPr>
      </w:pPr>
      <w:r>
        <w:rPr>
          <w:rFonts w:ascii="Times New Roman" w:cs="Times New Roman" w:eastAsia="Times New Roman" w:hAnsi="Times New Roman"/>
          <w:sz w:val="18"/>
          <w:szCs w:val="18"/>
          <w:color w:val="auto"/>
        </w:rPr>
        <w:t xml:space="preserve">The Company’s allowance for expected credit losses was $1.6 million and $2.3 million as of January 31, 2025 and 2024, respectively. </w:t>
      </w:r>
      <w:r>
        <w:rPr>
          <w:rFonts w:ascii="Times New Roman" w:cs="Times New Roman" w:eastAsia="Times New Roman" w:hAnsi="Times New Roman"/>
          <w:sz w:val="18"/>
          <w:szCs w:val="18"/>
          <w:b w:val="1"/>
          <w:bCs w:val="1"/>
          <w:i w:val="1"/>
          <w:iCs w:val="1"/>
          <w:color w:val="auto"/>
        </w:rPr>
        <w:t>Concentration of Credit Risk</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cash equivalents, and marketable securities. The Company deposits its cash and cash equivalents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grants credit to customers in the normal course of business. For the years ended January 31, 2025, 2024, and 2023, there were no individual customers that accounted for 10% or more of the Company’s revenues. The Company had no customers that accounted for 10% or more of accounts receivable at January 31, 2025 and 2024.</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w:t>
      </w:r>
    </w:p>
    <w:p>
      <w:pPr>
        <w:spacing w:after="0" w:line="126"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tab/>
        <w:t>Observable inputs comprised of quoted prices for identical assets or liabilities in active markets.</w:t>
      </w:r>
    </w:p>
    <w:p>
      <w:pPr>
        <w:spacing w:after="0" w:line="171"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the quoted prices in active markets that are observable either directly or indirectly.</w:t>
      </w:r>
    </w:p>
    <w:p>
      <w:pPr>
        <w:spacing w:after="0" w:line="171" w:lineRule="exact"/>
        <w:rPr>
          <w:sz w:val="20"/>
          <w:szCs w:val="20"/>
          <w:color w:val="auto"/>
        </w:rPr>
      </w:pPr>
    </w:p>
    <w:p>
      <w:pPr>
        <w:ind w:left="3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tab/>
        <w:t>Unobservable inputs in which there is little or no market data and that are significant to the fair value of the assets or liabilities.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a financial instrument’s classification within the three-tier fair value hierarchy is based on the lowest level of input that is significant to the fair value measurement.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certain financial instruments, including accounts receivable, accounts payable, and accrued liabilities approximates their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by determining if the contract conveys the right to control the use of an identified asset for a period of time in exchange for consideration and other facts and circumstances. Right-of-use (“ROU”) assets and operating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elects to combine lease and non-lease components as a single lease component for all classes of underlying assets. The Company elects to not record leases with an initial term of 12 months or less on the balance sheet and the associated lease payments are recognized in the consolidated statements of operations on a straight-line basis over the lease term.</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ROU assets, operating lease liabilities, current, and operating lease liabilities, noncurrent on the consolidated balance sheets.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its property and equipment at cost. Depreciation is computed on the straight-line method over the estimated useful lives of two to five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gridSpan w:val="2"/>
          </w:tcPr>
          <w:p>
            <w:pPr>
              <w:ind w:left="248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5540" w:type="dxa"/>
            <w:vAlign w:val="bottom"/>
          </w:tcPr>
          <w:p>
            <w:pPr>
              <w:jc w:val="right"/>
              <w:ind w:right="2334"/>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23"/>
        </w:trPr>
        <w:tc>
          <w:tcPr>
            <w:tcW w:w="5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Desktop and other computer equipment</w:t>
            </w:r>
          </w:p>
        </w:tc>
        <w:tc>
          <w:tcPr>
            <w:tcW w:w="100" w:type="dxa"/>
            <w:vAlign w:val="bottom"/>
            <w:shd w:val="clear" w:color="auto" w:fill="CCEEFF"/>
          </w:tcPr>
          <w:p>
            <w:pPr>
              <w:spacing w:after="0"/>
              <w:rPr>
                <w:sz w:val="19"/>
                <w:szCs w:val="19"/>
                <w:color w:val="auto"/>
              </w:rPr>
            </w:pP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estimated useful life</w:t>
            </w:r>
          </w:p>
        </w:tc>
      </w:tr>
      <w:tr>
        <w:trPr>
          <w:trHeight w:val="234"/>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 The capitalized internal-use software costs are presented within property and equipment, net on the consolidated balance sheets and amortization of internal-use software costs are included in cost of revenues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cash flows expected to be generated by the asset group. If such assets are considered to be impaired, the impairment recognized is measured by the amount by which the carrying amount of the assets exceeds the fair value of the assets. Assets to be disposed of are reported at the lower of the carrying amount or fair value less costs to sell. The Company recorded an impairment charge of $6.8 million and $5.0 million during the years ended January 31, 2025 and 2024, respectively, related to the ROU assets and underlying property and equipment associated with its subleased office spaces, which is further described in </w:t>
      </w:r>
      <w:r>
        <w:rPr>
          <w:rFonts w:ascii="Times New Roman" w:cs="Times New Roman" w:eastAsia="Times New Roman" w:hAnsi="Times New Roman"/>
          <w:sz w:val="18"/>
          <w:szCs w:val="18"/>
          <w:i w:val="1"/>
          <w:iCs w:val="1"/>
          <w:color w:val="auto"/>
        </w:rPr>
        <w:t>Note 8. Leases</w:t>
      </w:r>
      <w:r>
        <w:rPr>
          <w:rFonts w:ascii="Times New Roman" w:cs="Times New Roman" w:eastAsia="Times New Roman" w:hAnsi="Times New Roman"/>
          <w:sz w:val="18"/>
          <w:szCs w:val="18"/>
          <w:color w:val="auto"/>
        </w:rPr>
        <w:t xml:space="preserve"> to the consolidated financial statements. The Company recorded no impairment charge during the year ended January 31, 2023.</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performs a comprehensive review of potential uncertain tax positions in each jurisdiction in which the Company operates. The Company accounts for uncertain tax positions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prescribes a recognition threshold and measurement attribute for the financial statement recognition and measurement of a tax provision that an entity takes or expects to take in a tax return.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Company’s early exercised stock options are considered to be participating securities because all holders are entitled to receive a non-cumulative dividend on a pari passu basis in the event that a dividend is paid on the common stock.</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Diluted earnings per share attributable to common stockholders adjusts basic earnings per share for the potentially dilutive impact of stock options, ESPP, and RSUs. As the Company has reported losses for all periods presented, all potentially dilutive securities are anti-dilutive, and accordingly, basic net loss per share equaled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2023-07, “Segment Reporting (Topic 280): Improvements to Reportable Segment Disclosures.” The amendments improve reportable segment disclosure requirements, primarily through enhanced disclosures about significant segment expenses. The Company adopted the guidance effective for its fiscal year 2025 Annual Report on Form 10-K and has made the required disclosures.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disaggregated information about a reporting entity’s effective tax rate reconciliation as well as information on income taxes paid. The guidance is effective for the Company’s fiscal years beginning February 1, 2025, with early adoption permitted. The Company is currently evaluating the impact of adoption of the standard on its consolidated financial statements.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and in January 2025, the FASB issued ASU 2025-01, “Income Statement - Reporting Comprehensive Income - Expense Disaggregation Disclosures (Subtopic 220-40): Clarifying the Effective Date”, which requires that public entities disclose, on an annual and interim basis, disaggregated information about specific expense categories (including employee compensation, depreciation, and amortization) presented on the face of the income statement. As clarified by ASU 2025-01, the guidance is effective for the Company’s fiscal years beginning February 1, 2027 and interim reporting periods within annual reporting periods beginning February 1, 2028. The Company is currently evaluating the impact of adoption of the standard on its consolidated financial statements and related disclosures.</w:t>
      </w:r>
    </w:p>
    <w:p>
      <w:pPr>
        <w:spacing w:after="0" w:line="1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Revenue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$266.4 million, $227.5 million, and $170.1 million of revenues during the years ended January 31, 2025, 2024, and 2023, respectively, that were included in the deferred revenue balance at the beginning of the respective period.</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that will be recognized within the next twelve months is recorded as current deferred revenue, and the remaining portion is recorded as noncurrent. As of January 31, 2025, the Company’s remaining performance obligations from contracts with customers was $430.8 million, of which the Company expects to recognize approximately 81% as revenues over the next 12 months and the remainder thereafter.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center"/>
              <w:ind w:left="956"/>
              <w:spacing w:after="0"/>
              <w:rPr>
                <w:sz w:val="20"/>
                <w:szCs w:val="20"/>
                <w:color w:val="auto"/>
              </w:rPr>
            </w:pPr>
            <w:r>
              <w:rPr>
                <w:rFonts w:ascii="Times New Roman" w:cs="Times New Roman" w:eastAsia="Times New Roman" w:hAnsi="Times New Roman"/>
                <w:sz w:val="18"/>
                <w:szCs w:val="18"/>
                <w:color w:val="auto"/>
              </w:rPr>
              <w:t>36,583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6"/>
              </w:rPr>
              <w:t>22,771</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1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center"/>
              <w:ind w:left="956"/>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center"/>
              <w:ind w:left="634"/>
              <w:spacing w:after="0"/>
              <w:rPr>
                <w:sz w:val="20"/>
                <w:szCs w:val="20"/>
                <w:color w:val="auto"/>
              </w:rPr>
            </w:pPr>
            <w:r>
              <w:rPr>
                <w:rFonts w:ascii="Times New Roman" w:cs="Times New Roman" w:eastAsia="Times New Roman" w:hAnsi="Times New Roman"/>
                <w:sz w:val="18"/>
                <w:szCs w:val="18"/>
                <w:color w:val="auto"/>
                <w:w w:val="96"/>
              </w:rPr>
              <w:t>28,910</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center"/>
              <w:ind w:left="916"/>
              <w:spacing w:after="0"/>
              <w:rPr>
                <w:sz w:val="20"/>
                <w:szCs w:val="20"/>
                <w:color w:val="auto"/>
              </w:rPr>
            </w:pPr>
            <w:r>
              <w:rPr>
                <w:rFonts w:ascii="Times New Roman" w:cs="Times New Roman" w:eastAsia="Times New Roman" w:hAnsi="Times New Roman"/>
                <w:sz w:val="18"/>
                <w:szCs w:val="18"/>
                <w:color w:val="auto"/>
              </w:rPr>
              <w:t>(21,972)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rPr>
              <w:t>(15,098)</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8"/>
                <w:szCs w:val="18"/>
                <w:color w:val="auto"/>
              </w:rPr>
              <w:t>39,381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6"/>
              </w:rPr>
              <w:t>36,583</w:t>
            </w:r>
          </w:p>
        </w:tc>
      </w:tr>
      <w:tr>
        <w:trPr>
          <w:trHeight w:val="20"/>
        </w:trPr>
        <w:tc>
          <w:tcPr>
            <w:tcW w:w="5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summarizes the outstanding balances of deferred contract acquisition costs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17,787</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contract acquisition costs, current is presented within prepaid expenses and other current assets in the consolidated balance sheets. Deferred contract acquisition costs, noncurrent is presented within other assets in the consolidated balance sheets.</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assets measured at fair value, the respective fair value and classification by level of input within the fair value hierarchy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88,251</w:t>
            </w:r>
          </w:p>
        </w:tc>
      </w:tr>
      <w:tr>
        <w:trPr>
          <w:trHeight w:val="22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88,251</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106,009</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126,990</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282,156</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243,417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126,990</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370,407</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3"/>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94,552</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72,608</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r>
      <w:tr>
        <w:trPr>
          <w:trHeight w:val="223"/>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282,801</w:t>
            </w:r>
          </w:p>
        </w:tc>
      </w:tr>
      <w:tr>
        <w:trPr>
          <w:trHeight w:val="223"/>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125,464</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377,353</w:t>
            </w:r>
          </w:p>
        </w:tc>
      </w:tr>
      <w:tr>
        <w:trPr>
          <w:trHeight w:val="21"/>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financial assets or liabilities into or out of Level 3 during the years ended January 31, 2025 and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marketable securities on the consolidated balance sheets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155,166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106,009</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281,484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w:t>
            </w:r>
          </w:p>
        </w:tc>
        <w:tc>
          <w:tcPr>
            <w:tcW w:w="0" w:type="dxa"/>
            <w:vAlign w:val="bottom"/>
          </w:tcPr>
          <w:p>
            <w:pPr>
              <w:spacing w:after="0"/>
              <w:rPr>
                <w:sz w:val="1"/>
                <w:szCs w:val="1"/>
                <w:color w:val="auto"/>
              </w:rPr>
            </w:pPr>
          </w:p>
        </w:tc>
      </w:tr>
      <w:tr>
        <w:trPr>
          <w:trHeight w:val="26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the Company’s marketable securities as of January 31, 2025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70"/>
        </w:trPr>
        <w:tc>
          <w:tcPr>
            <w:tcW w:w="76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131,279</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131,497</w:t>
            </w:r>
          </w:p>
        </w:tc>
      </w:tr>
      <w:tr>
        <w:trPr>
          <w:trHeight w:val="270"/>
        </w:trPr>
        <w:tc>
          <w:tcPr>
            <w:tcW w:w="7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2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150,205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150,659</w:t>
            </w:r>
          </w:p>
        </w:tc>
      </w:tr>
      <w:tr>
        <w:trPr>
          <w:trHeight w:val="28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281,484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periodically evaluates its investments for expected credit losses. The Company had certain available-for-sale investment securities in a gross unrealized loss position, substantially all of which had been in such position for less than 12 months. The unrealized losses on the available-for-sale securities were primarily due to unfavorable changes in interest rates subsequent to the initial purchase of these securities.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January 31, 2025 or January 31, 2024 to represent credit losses.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April 2020 and November 2022, the Company entered into credit agreements (the “April 2020 Senior Secured Term Loan” and “November 2022 Senior Secured Credit Facility” as defined in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with Silicon Valley Bank (“SVB”). The credit facilities are carried at amortized cost, which approximated their fair values as of January 31, 2025 and January 31, 2024. If the credit facilities were measured at fair value in the financial statements, they would be classified as Level 2 in the fair value hierarchy. The April 2020 Senior Secured Term Loan was repaid in full and terminated in November 2022. On March 27, 2023, First Citizens BancShares, Inc. announced that</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entered into an agreement to purchase assets and liabilities of SVB, inclusive of the November 2022 Senior Secured Credit Facility.</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Balance Sheet Components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Desktop and other computer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property and equipment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96,543</w:t>
            </w:r>
          </w:p>
        </w:tc>
      </w:tr>
      <w:tr>
        <w:trPr>
          <w:trHeight w:val="21"/>
        </w:trPr>
        <w:tc>
          <w:tcPr>
            <w:tcW w:w="7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years ended January 31, 2025, 2024, and 2023 was $17.5 million, $14.3 million, and $12.7 million, respectively.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the carrying value of capitalized internal-use software costs for the periods presented below are as follows (in thousands):</w:t>
      </w:r>
    </w:p>
    <w:p>
      <w:pPr>
        <w:spacing w:after="0" w:line="205"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33655</wp:posOffset>
            </wp:positionV>
            <wp:extent cx="11315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31, 2025</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84" w:hanging="1284"/>
        <w:spacing w:after="0"/>
        <w:tabs>
          <w:tab w:leader="none" w:pos="12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4,035</w:t>
      </w:r>
    </w:p>
    <w:p>
      <w:pPr>
        <w:spacing w:after="0" w:line="27" w:lineRule="exact"/>
        <w:rPr>
          <w:rFonts w:ascii="Times New Roman" w:cs="Times New Roman" w:eastAsia="Times New Roman" w:hAnsi="Times New Roman"/>
          <w:sz w:val="18"/>
          <w:szCs w:val="18"/>
          <w:color w:val="auto"/>
        </w:rPr>
      </w:pPr>
    </w:p>
    <w:p>
      <w:pPr>
        <w:ind w:left="12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9,056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(2,570)</w:t>
      </w:r>
    </w:p>
    <w:p>
      <w:pPr>
        <w:spacing w:after="0" w:line="31" w:lineRule="exact"/>
        <w:rPr>
          <w:sz w:val="20"/>
          <w:szCs w:val="20"/>
          <w:color w:val="auto"/>
        </w:rPr>
      </w:pPr>
    </w:p>
    <w:p>
      <w:pPr>
        <w:ind w:left="1204" w:hanging="1204"/>
        <w:spacing w:after="0"/>
        <w:tabs>
          <w:tab w:leader="none" w:pos="12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10,521</w:t>
      </w:r>
    </w:p>
    <w:p>
      <w:pPr>
        <w:spacing w:after="0" w:line="27" w:lineRule="exact"/>
        <w:rPr>
          <w:rFonts w:ascii="Times New Roman" w:cs="Times New Roman" w:eastAsia="Times New Roman" w:hAnsi="Times New Roman"/>
          <w:sz w:val="18"/>
          <w:szCs w:val="18"/>
          <w:color w:val="auto"/>
        </w:rPr>
      </w:pPr>
    </w:p>
    <w:p>
      <w:pPr>
        <w:ind w:left="12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11,052</w:t>
      </w:r>
    </w:p>
    <w:p>
      <w:pPr>
        <w:spacing w:after="0" w:line="22" w:lineRule="exact"/>
        <w:rPr>
          <w:rFonts w:ascii="Times New Roman" w:cs="Times New Roman" w:eastAsia="Times New Roman" w:hAnsi="Times New Roman"/>
          <w:sz w:val="18"/>
          <w:szCs w:val="18"/>
          <w:color w:val="auto"/>
        </w:rPr>
      </w:pPr>
    </w:p>
    <w:p>
      <w:pPr>
        <w:ind w:left="12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315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11" w:lineRule="exact"/>
        <w:rPr>
          <w:sz w:val="20"/>
          <w:szCs w:val="20"/>
          <w:color w:val="auto"/>
        </w:rPr>
      </w:pPr>
    </w:p>
    <w:p>
      <w:pPr>
        <w:ind w:left="1204" w:hanging="1204"/>
        <w:spacing w:after="0"/>
        <w:tabs>
          <w:tab w:leader="none" w:pos="12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315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15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56" w:space="720"/>
            <w:col w:w="1764"/>
          </w:cols>
          <w:pgMar w:left="320" w:top="225" w:right="339" w:bottom="1440" w:gutter="0" w:footer="0" w:header="0"/>
          <w:type w:val="continuous"/>
        </w:sectPr>
      </w:pP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21,594</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value-added taxes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for fringe benefits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advertising expenses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consulting expenses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22,817</w:t>
            </w: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the lender. The April 2020 Senior Secured Term Loan was repaid in full and terminated in November 2022.</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an agreement for a four-year credit facility (as amended on April 13, 2023, June 18, 2024, and November 18, 2024, the “November 2022 Senior Secured Credit Facility”) with SVB, which refinanced the April 2020 Senior Secured Term Loan. The November 2022 Senior Secured Credit Facility provides for senior secured credit facilities in the aggregate principal amount of $150.0 million, including a senior secured term loan facility in an aggregate principal amount of $50.0 million and a revolving loan facility in an aggregate principal amount of up to $100.0 million, including a $30.0 million letter of credit sub-facility, maturing on November 7, 2026. On March 27, 2023, First Citizens BancShares, Inc. announced that it entered into an agreement to purchase assets and liabilities of SVB, inclusive of the November 2022 Senior Secured Credit Facility.</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Borrowings under the November 2022 Senior Secured Credit Facility may be designated as ABR Loans or SOFR Loans, subject to certain terms and conditions under the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November 2022 Senior Secured Credit Facility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including a consolidated adjusted quick ratio of 1.25 to 1.00, as well as a minimum cash adjusted EBITDA, each tested on a quarterly basis.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November 2022 Senior Secured Credit Facility,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$21.6 million of letters of credit outstanding under the revolving credit facility as of January 31, 2025, and the Company’s total available borrowing capacity under the revolving credit facility was $78.4 million as of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$50.0 million was drawn and $44.4 million was outstanding under the November 2022 Senior Secured Credit Facility. As of January 31, 2025, the Company was in compliance with all financial covenants.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conjunction with the close of the November 2022 Senior Secured Credit Facility, the Company paid upfront issuance fees of $0.4 million. The upfront fees are amortized over the remaining term of the agreement. As of January 31, 2025, the Company had $0.1 million remaining of upfront issuance fees allocated to the revolving credit facility presented in the Company’s consolidated balance sheet within other assets.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carrying amounts of the November 2022 Senior Secured Credit Facility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loan issuance costs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carrying amount</w:t>
            </w:r>
          </w:p>
        </w:tc>
        <w:tc>
          <w:tcPr>
            <w:tcW w:w="112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w:t>
            </w:r>
          </w:p>
        </w:tc>
      </w:tr>
      <w:tr>
        <w:trPr>
          <w:trHeight w:val="20"/>
        </w:trPr>
        <w:tc>
          <w:tcPr>
            <w:tcW w:w="7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7"/>
        </w:trPr>
        <w:tc>
          <w:tcPr>
            <w:tcW w:w="7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current</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112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39,291</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r>
    </w:tbl>
    <w:p>
      <w:pPr>
        <w:spacing w:after="0" w:line="2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carrying amount of the current portion of the term loan is presented within accrued expenses and other current liabilities in the consolidated balance sheets.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January 31, 2025 is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5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Expected Principal</w:t>
            </w:r>
          </w:p>
        </w:tc>
        <w:tc>
          <w:tcPr>
            <w:tcW w:w="0" w:type="dxa"/>
            <w:vAlign w:val="bottom"/>
          </w:tcPr>
          <w:p>
            <w:pPr>
              <w:spacing w:after="0"/>
              <w:rPr>
                <w:sz w:val="1"/>
                <w:szCs w:val="1"/>
                <w:color w:val="auto"/>
              </w:rPr>
            </w:pPr>
          </w:p>
        </w:tc>
      </w:tr>
      <w:tr>
        <w:trPr>
          <w:trHeight w:val="195"/>
        </w:trPr>
        <w:tc>
          <w:tcPr>
            <w:tcW w:w="9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39,375</w:t>
            </w:r>
          </w:p>
        </w:tc>
        <w:tc>
          <w:tcPr>
            <w:tcW w:w="0" w:type="dxa"/>
            <w:vAlign w:val="bottom"/>
          </w:tcPr>
          <w:p>
            <w:pPr>
              <w:spacing w:after="0"/>
              <w:rPr>
                <w:sz w:val="1"/>
                <w:szCs w:val="1"/>
                <w:color w:val="auto"/>
              </w:rPr>
            </w:pP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future principal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Company had several letters of credit outstanding related to its operating leases totaling $21.6 million and $21.4 million, respectively. The letters of credit expire at various dates between 2025 and 2034.</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November 2024, the Company entered into a 60-month contract with Amazon Web Services (“AWS”) for hosting-related services, which replaced the Company’s prior agreement with AWS and terminated the remaining commitments under the prior agreement. Pursuant to the terms of the November 2024 contract with AWS, the Company is required to spend $255.0 million over the term of the contract between December 2024 to November 2029. The commitment may be offset by up to $4.2 million in credits, of which $3.7 million are subject to the Company meeting certain conditions of the agreement. As of January 31, 2025, the Company had purchase commitments remaining of $249.5 million under this contract, which are not reflected on the Company’s consolidated balance sheet as of January 31, 2025. Future commitments under this contract as of January 31, 2025,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20" w:type="dxa"/>
            <w:vAlign w:val="bottom"/>
          </w:tcPr>
          <w:p>
            <w:pPr>
              <w:spacing w:after="0"/>
              <w:rPr>
                <w:sz w:val="16"/>
                <w:szCs w:val="16"/>
                <w:color w:val="auto"/>
              </w:rPr>
            </w:pPr>
          </w:p>
        </w:tc>
        <w:tc>
          <w:tcPr>
            <w:tcW w:w="16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Purchase Commitments</w:t>
            </w:r>
          </w:p>
        </w:tc>
      </w:tr>
      <w:tr>
        <w:trPr>
          <w:trHeight w:val="23"/>
        </w:trPr>
        <w:tc>
          <w:tcPr>
            <w:tcW w:w="9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36,481</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w:t>
            </w: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remaining purchase commitments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249,481</w:t>
            </w:r>
          </w:p>
        </w:tc>
      </w:tr>
      <w:tr>
        <w:trPr>
          <w:trHeight w:val="21"/>
        </w:trPr>
        <w:tc>
          <w:tcPr>
            <w:tcW w:w="9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31, 2025, the Company had purchase commitments remaining of $22.2 million with various parties primarily for software-based services which are not reflected on the Company’s consolidated balance sheets.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years ended January 31, 2025, 2024, and 2023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claims and other legal matters arising in the ordinary course of business. As of January 31, 2025 and 2024, the Company believes that none of its current legal proceedings would have a material adverse effect on its financial position, results of operations, or cash flows.</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real estate facilities under non-cancelable operating leases with various expiration dates through fiscal 2034. The Company has no lease agreements that are classified as finance leases.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 (in thousands)</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40,897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36,542</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 (in thousands)</w:t>
            </w:r>
          </w:p>
        </w:tc>
        <w:tc>
          <w:tcPr>
            <w:tcW w:w="112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2,946</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 (in thousands)</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2,269</w:t>
            </w:r>
          </w:p>
        </w:tc>
      </w:tr>
      <w:tr>
        <w:trPr>
          <w:trHeight w:val="223"/>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costs</w:t>
            </w:r>
          </w:p>
        </w:tc>
        <w:tc>
          <w:tcPr>
            <w:tcW w:w="112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41,032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47,048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41,757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5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4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34,816</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17,809</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reductions related to operating lease impairments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minimum lease payments (net of tenant improvement receivables) under non-cancelable operating leases with initial lease terms in excess of one year included in the Company’s total operating lease liabilities as of January 31, 2025,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c>
          <w:tcPr>
            <w:tcW w:w="0" w:type="dxa"/>
            <w:vAlign w:val="bottom"/>
          </w:tcPr>
          <w:p>
            <w:pPr>
              <w:spacing w:after="0"/>
              <w:rPr>
                <w:sz w:val="1"/>
                <w:szCs w:val="1"/>
                <w:color w:val="auto"/>
              </w:rPr>
            </w:pPr>
          </w:p>
        </w:tc>
      </w:tr>
      <w:tr>
        <w:trPr>
          <w:trHeight w:val="196"/>
        </w:trPr>
        <w:tc>
          <w:tcPr>
            <w:tcW w:w="94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41,716</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39,787</w:t>
            </w:r>
          </w:p>
        </w:tc>
        <w:tc>
          <w:tcPr>
            <w:tcW w:w="0" w:type="dxa"/>
            <w:vAlign w:val="bottom"/>
          </w:tcPr>
          <w:p>
            <w:pPr>
              <w:spacing w:after="0"/>
              <w:rPr>
                <w:sz w:val="1"/>
                <w:szCs w:val="1"/>
                <w:color w:val="auto"/>
              </w:rPr>
            </w:pP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36,784</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162,729</w:t>
            </w:r>
          </w:p>
        </w:tc>
        <w:tc>
          <w:tcPr>
            <w:tcW w:w="0" w:type="dxa"/>
            <w:vAlign w:val="bottom"/>
          </w:tcPr>
          <w:p>
            <w:pPr>
              <w:spacing w:after="0"/>
              <w:rPr>
                <w:sz w:val="1"/>
                <w:szCs w:val="1"/>
                <w:color w:val="auto"/>
              </w:rPr>
            </w:pP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322,395</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0" w:type="dxa"/>
            <w:vAlign w:val="bottom"/>
          </w:tcPr>
          <w:p>
            <w:pPr>
              <w:spacing w:after="0"/>
              <w:rPr>
                <w:sz w:val="1"/>
                <w:szCs w:val="1"/>
                <w:color w:val="auto"/>
              </w:rPr>
            </w:pPr>
          </w:p>
        </w:tc>
      </w:tr>
      <w:tr>
        <w:trPr>
          <w:trHeight w:val="223"/>
        </w:trPr>
        <w:tc>
          <w:tcPr>
            <w:tcW w:w="9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223,799</w:t>
            </w: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January 31, 2025 and 2024, the Company executed subleases for a portion of its corporate office space in San Francisco, California. The Company evaluated the associated asset group for impairment, which included the ROU assets and underlying property and equipment for the lease. The Company compared the expected future undiscounted cash flows to the carrying value and determined the respective asset group was not recoverable. The Company calculated the fair value based on the present value of the estimated cash flows from the subleases for the remaining lease terms and compared the estimated fair value to its carrying value, which resulted in a $6.8 million and $5.0 million, respectively, consolidated impairment charge. The fair value of the operating lease ROU assets and associated property and equipment was estimated as of the sublease execution date using Level 3 inputs based on an income approach by converting future sublease cash inflows and outflows to a single present value. Estimated cash flows were discounted at a rate commensurate with the inherent risks associated with the asset group to arrive at an estimate of fair value. The impairment charge was included in general and administrative expenses in the consolidated statements of operations.</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subleases entered into during the years ended January 31, 2025 and 2024 have a lease term of four and five years, respectively, and have been classified as operating leases by the Company. Sublease income was $1.8 million and $0.8 million for the year ended January 31, 2025 and 2024, respectively. There was no sublease income for the year ended January 31, 2023. The Company recognizes sublease income as a reduction of lease expense in the Company’s consolidated statements of operations.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has commitments of $2.3 million for an operating lease that has not yet commenced, and therefore is not included in the ROU asset or operating lease liabilities. The foregoing operating lease will commence in the fourth quarter of fiscal 2026, with a lease term of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amounts in the table above do not include sublease income payments of $10.0 million. As of January 31, 2025, the future total minimum sublease payments to be received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120" w:type="dxa"/>
            <w:vAlign w:val="bottom"/>
          </w:tcPr>
          <w:p>
            <w:pPr>
              <w:spacing w:after="0"/>
              <w:rPr>
                <w:sz w:val="13"/>
                <w:szCs w:val="13"/>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Sublease Payments to be</w:t>
            </w:r>
          </w:p>
        </w:tc>
        <w:tc>
          <w:tcPr>
            <w:tcW w:w="0" w:type="dxa"/>
            <w:vAlign w:val="bottom"/>
          </w:tcPr>
          <w:p>
            <w:pPr>
              <w:spacing w:after="0"/>
              <w:rPr>
                <w:sz w:val="1"/>
                <w:szCs w:val="1"/>
                <w:color w:val="auto"/>
              </w:rPr>
            </w:pPr>
          </w:p>
        </w:tc>
      </w:tr>
      <w:tr>
        <w:trPr>
          <w:trHeight w:val="195"/>
        </w:trPr>
        <w:tc>
          <w:tcPr>
            <w:tcW w:w="9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0" w:type="dxa"/>
            <w:vAlign w:val="bottom"/>
          </w:tcPr>
          <w:p>
            <w:pPr>
              <w:spacing w:after="0"/>
              <w:rPr>
                <w:sz w:val="1"/>
                <w:szCs w:val="1"/>
                <w:color w:val="auto"/>
              </w:rPr>
            </w:pPr>
          </w:p>
        </w:tc>
      </w:tr>
      <w:tr>
        <w:trPr>
          <w:trHeight w:val="22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9"/>
        </w:trPr>
        <w:tc>
          <w:tcPr>
            <w:tcW w:w="9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0" w:type="dxa"/>
            <w:vAlign w:val="bottom"/>
          </w:tcPr>
          <w:p>
            <w:pPr>
              <w:spacing w:after="0"/>
              <w:rPr>
                <w:sz w:val="1"/>
                <w:szCs w:val="1"/>
                <w:color w:val="auto"/>
              </w:rPr>
            </w:pP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sublease income to be received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Net Loss Per Share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the Company’s net income and losses.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(255,536)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(257,030)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(407,768)</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 basic and</w:t>
            </w:r>
          </w:p>
        </w:tc>
        <w:tc>
          <w:tcPr>
            <w:tcW w:w="10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229,472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220,406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200,034</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1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r>
      <w:tr>
        <w:trPr>
          <w:trHeight w:val="230"/>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r>
      <w:tr>
        <w:trPr>
          <w:trHeight w:val="229"/>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Early exercised stock options</w:t>
            </w:r>
          </w:p>
        </w:tc>
        <w:tc>
          <w:tcPr>
            <w:tcW w:w="1860" w:type="dxa"/>
            <w:vAlign w:val="bottom"/>
            <w:gridSpan w:val="3"/>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2020 Employee Stock Purchase Plan</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Prior to the Company’s direct listing, which was completed on September 30, 2020, all 73,577,455 outstanding shares of redeemable convertible preferred stock were converted into an equivalent number of shares of Class B common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There were 147,476,415 shares of Class A common stock and 85,411,680 shares of Class B common stock issued and outstanding as of January 31, 2025. There were 139,238,565 shares of Class A common stock and 85,489,359 shares of Class B common stock issued and outstanding as of January 31, 2024.</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changes in the number of shares of common stock outstanding for the years ended January 31, 2025 and 2024, were related to changes in Class A common stock, other than conversions of Class B common stock into an equivalent number of shares of Class A common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Placement—Related Party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 approximately $350 million. The Company incurred issuance costs related to the private placement of $2.7 million. The Company recorded the proceeds (net of issuance costs) of $347.3 million as additional paid-in capital within the consolidated statements of stockholders’ equity for the year ended January 31, 2023.</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reserved for issuance under the 2020 Plan increased by 9,414,923 shares of Class A common stock on February 1, 2022, by 10,714,637 shares of Class A common stock on February 1, 2023, and by 11,236,396 shares of Class A common stock on February 1, 2024, all pursuant to the evergreen provisions of the 2020 Plan.</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outstanding awards under the 2009 Plan, and new issuances under the 2012 Plan terminated upon completion of the direct listing. Awards outstanding under the 2012 Plan continue to be outstanding and are governed by the provisions of the 2012 Plan. The 2020 Plan provides for the grant of incentive stock options (“ISOs”), within the meaning of Section 422 of the Code, nonstatutory stock options (“NSOs”), stock appreciation rights, restricted stock awards (“RSUs”), performance-based stock awards, and other forms of equity compensation.</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ISOs may be granted only to Company employees (including officers and directors who are also employees). NSOs may be granted to Company employees and consultants. Options under the 2020 Plan may be granted for periods of up to 10 years. The exercise price of ISOs and NSOs shall not be less than 100% of the estimated fair value of the shares on the date of grant as determined by the Company’s board of directors. Options granted generally vest over four years and vest at a rate of 25% upon the first anniversary of the vesting commencement date and 1/48 per month thereafter.</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outstanding RSU awards issued pursuant to the 2012 Plan and 2020 Plan. RSUs granted generally vest on a predefined rate over a period of four years contingent upon continuous service.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purchased under the 2012 Plan are subject to certain restrictions and repurchase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is set forth below (in thousands, except years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vMerge w:val="restart"/>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gridSpan w:val="2"/>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040" w:type="dxa"/>
            <w:vAlign w:val="bottom"/>
            <w:gridSpan w:val="4"/>
          </w:tcPr>
          <w:p>
            <w:pPr>
              <w:jc w:val="center"/>
              <w:ind w:left="32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left="168"/>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32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31, 2024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4"/>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forfeited</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31, 2025</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January 31, 2025</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105,589</w:t>
            </w: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5,921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January 31, 2025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108,457</w:t>
            </w:r>
          </w:p>
        </w:tc>
        <w:tc>
          <w:tcPr>
            <w:tcW w:w="0" w:type="dxa"/>
            <w:vAlign w:val="bottom"/>
          </w:tcPr>
          <w:p>
            <w:pPr>
              <w:spacing w:after="0"/>
              <w:rPr>
                <w:sz w:val="1"/>
                <w:szCs w:val="1"/>
                <w:color w:val="auto"/>
              </w:rPr>
            </w:pPr>
          </w:p>
        </w:tc>
      </w:tr>
      <w:tr>
        <w:trPr>
          <w:trHeight w:val="473"/>
        </w:trPr>
        <w:tc>
          <w:tcPr>
            <w:tcW w:w="76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periods presented were as follows: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780" w:type="dxa"/>
            <w:vAlign w:val="bottom"/>
            <w:tcBorders>
              <w:top w:val="single" w:sz="8" w:color="auto"/>
              <w:bottom w:val="single" w:sz="8" w:color="auto"/>
            </w:tcBorders>
            <w:gridSpan w:val="3"/>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options exercised (in thousands)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52,687</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No shares were subject to repurchase as of January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RSU activity is set forth below (in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5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17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80" w:type="dxa"/>
            <w:vAlign w:val="bottom"/>
          </w:tcPr>
          <w:p>
            <w:pPr>
              <w:spacing w:after="0"/>
              <w:rPr>
                <w:sz w:val="17"/>
                <w:szCs w:val="17"/>
                <w:color w:val="auto"/>
              </w:rPr>
            </w:pPr>
          </w:p>
        </w:tc>
        <w:tc>
          <w:tcPr>
            <w:tcW w:w="15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January 31,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cancelled/forfeited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January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RSUs vested, not yet released at January 31, 2025</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0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years ended January 31, 2025, 2024, and 2023 was $16.23, $20.01, and $20.31, respectively. The total grant date fair value of RSUs vested during the years ended January 31, 2025, 2024, and 2023 was $205.3 million, $189.8 million, and $172.3 million,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stock-based awards to employees and non-employees in the Company’s consolidated statements of operations for the periods below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100,083</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58,504</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28,717</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188,962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stock-based compensation expense related to awards granted to non-employees for the years ended January 31, 2025, 2024, and 2023 were not material.</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awards not yet recognized under all equity compensation plans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jc w:val="right"/>
              <w:ind w:right="1044"/>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Expected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5"/>
        </w:trPr>
        <w:tc>
          <w:tcPr>
            <w:tcW w:w="7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361,608</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361,780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jc w:val="right"/>
              <w:ind w:right="1044"/>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0" w:type="dxa"/>
            <w:vAlign w:val="bottom"/>
          </w:tcPr>
          <w:p>
            <w:pPr>
              <w:spacing w:after="0"/>
              <w:rPr>
                <w:sz w:val="1"/>
                <w:szCs w:val="1"/>
                <w:color w:val="auto"/>
              </w:rPr>
            </w:pPr>
          </w:p>
        </w:tc>
      </w:tr>
      <w:tr>
        <w:trPr>
          <w:trHeight w:val="23"/>
        </w:trPr>
        <w:tc>
          <w:tcPr>
            <w:tcW w:w="7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100" w:type="dxa"/>
            <w:vAlign w:val="bottom"/>
          </w:tcPr>
          <w:p>
            <w:pPr>
              <w:spacing w:after="0"/>
              <w:rPr>
                <w:sz w:val="11"/>
                <w:szCs w:val="11"/>
                <w:color w:val="auto"/>
              </w:rPr>
            </w:pPr>
          </w:p>
        </w:tc>
        <w:tc>
          <w:tcPr>
            <w:tcW w:w="17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Expected</w:t>
            </w:r>
          </w:p>
        </w:tc>
        <w:tc>
          <w:tcPr>
            <w:tcW w:w="0" w:type="dxa"/>
            <w:vAlign w:val="bottom"/>
          </w:tcPr>
          <w:p>
            <w:pPr>
              <w:spacing w:after="0"/>
              <w:rPr>
                <w:sz w:val="1"/>
                <w:szCs w:val="1"/>
                <w:color w:val="auto"/>
              </w:rPr>
            </w:pPr>
          </w:p>
        </w:tc>
      </w:tr>
      <w:tr>
        <w:trPr>
          <w:trHeight w:val="146"/>
        </w:trPr>
        <w:tc>
          <w:tcPr>
            <w:tcW w:w="7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right"/>
              <w:ind w:right="244"/>
              <w:spacing w:after="0" w:line="146"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8"/>
        </w:trPr>
        <w:tc>
          <w:tcPr>
            <w:tcW w:w="7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358,188</w:t>
            </w:r>
          </w:p>
        </w:tc>
        <w:tc>
          <w:tcPr>
            <w:tcW w:w="1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358,473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board of directors adopted and approved the 2020 Employee Stock Purchase Plan which became effective on the effective date of the Company's registration statement on Form S-1 filed with the SEC in connection with the direct listing. The ESPP initially reserved and authorized the issuance of up to a total of 2,000,000 shares of Class A common stock to participating employees. The number of shares reserved under the ESPP was automatically increased on February 1, 2021 to 3,614,801 shares of Class A common stock, to 5,497,785 on February 1, 2022, to 7,640,712 on February 1, 2023, and to 9,887,991 on February 1, 2024, all pursuant to the evergreen provisions of the ESPP.</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any limitations contained therein, the ESPP allows eligible participants to contribute, through payroll deductions, up to 15% of their eligible compensation to purchase shares of the Company’s Class A common stock at a purchase price equal to 85% of the fair market value of the Class A common stock on either the first day of the offering period or the purchase date, whichever fair market value is lower. The ESPP generally provides for consecutive 24-month offering periods, each consisting of four separate consecutive purchase periods of approximately six months in length. The ESPP also includes a two year look back in purchase price, including a reset feature. The reset feature is triggered if the price on the date of purchase is less than the price on the first day of the offering period.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January 31, 2025, 2024, and 2023 the Company recognized $12.5 million, $11.4 million, and $12.8 million respectively, of stock-based compensation expense related to the ESPP. The Company withheld $6.6 million and $7.2 million as of January 31, 2025 and 2024, respectively, in contributions from employees. As of January 31, 2025, total unrecognized compensation cost related to the ESPP was $9.0 million, which will be amortized over a weighted-average vesting term of 1.09 years.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ESPP during the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78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- 4.5%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- 5.5%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- 4.0%</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0.5 - 2.0 years</w:t>
            </w:r>
          </w:p>
        </w:tc>
        <w:tc>
          <w:tcPr>
            <w:tcW w:w="1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0.5 - 2.0 years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0.5 - 2.0 years</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 - 65.0%</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- 60.3%</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- 64.1%</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2024, the Company’s board of directors authorized a stock repurchase program of up to $150.0 million of its outstanding Class A common stock. Under the program, which is designed to return value to the Company’s stockholders and reduce share count over time, the Company may repurchase shares in the open market, through privately negotiated transactions, by entering into structured repurchase agreements with third parties, by making block purchases, and/or pursuant to Rule 10b5-1 trading plans. The timing, manner, price, and amount of any repurchases under the program will be determined by the Company in its discretion. The program does not obligate the Company to acquire any particular amount of Class A common stock, and the repurchase program may be suspended or discontinued at any time at the Company’s discretion. The stock repurchase program will be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Company’s working capital and is expected to continue through June 30, 2025, unless extended or shortened by the board of directors.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under the Company’s stock repurchase program (in thousands,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23"/>
        </w:trPr>
        <w:tc>
          <w:tcPr>
            <w:tcW w:w="9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94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price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78,354</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January 31, 2024 and 2023, the Company did not have a stock repurchase program.</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$71.6 million remained available for future stock repurchases under the stock repurchase program. All shares of Class A common stock subsequently repurchased were retired. Upon retirement, the par value of the common stock repurchased was deducted from common stock and any excess of repurchase price over par value was recorded entirely to accumulated deficit in the consolidated balance sheets.</w:t>
      </w:r>
    </w:p>
    <w:p>
      <w:pPr>
        <w:spacing w:after="0" w:line="1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During the fiscal year ended January 31, 2025, the Company began matching participant’s contributions up to a certain maximum amount. The matching contribution expense for the year ended January 31, 2025 was not material and there were no matching contribution expense for the years ended January 31, 2024 and 2023. Additionally, the Company engages in required pension plans of respective countries in which operations exist.</w:t>
      </w:r>
    </w:p>
    <w:p>
      <w:pPr>
        <w:spacing w:after="0" w:line="1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Interest Income and Other Income (Expense),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and other income (expense), net consist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foreign currency transactions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interest income and other income (expense), net</w:t>
            </w: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w:t>
            </w:r>
          </w:p>
        </w:tc>
      </w:tr>
      <w:tr>
        <w:trPr>
          <w:trHeight w:val="21"/>
        </w:trPr>
        <w:tc>
          <w:tcPr>
            <w:tcW w:w="5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non-operating expense consists primarily of realized foreign currency gains and losses on transactions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23"/>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5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18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(261,057)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(413,505)</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w:t>
            </w: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(250,771)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(402,893)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reconciliation between the statutory federal income tax and the Company’s effective tax rates as a percentage of loss before income taxes were as follows:</w:t>
      </w:r>
    </w:p>
    <w:p>
      <w:pPr>
        <w:spacing w:after="0" w:line="14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rate</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96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taxation of foreign income and payments</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major components of deferred tax assets (liabilities)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284,870</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285,152</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96,548</w:t>
            </w: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r>
      <w:tr>
        <w:trPr>
          <w:trHeight w:val="230"/>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R&amp;D expense capitalization under Sec. 174</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125,080</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585,724</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(601,313)</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(532,423)</w:t>
            </w:r>
          </w:p>
        </w:tc>
      </w:tr>
      <w:tr>
        <w:trPr>
          <w:trHeight w:val="223"/>
        </w:trPr>
        <w:tc>
          <w:tcPr>
            <w:tcW w:w="7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w:t>
            </w:r>
          </w:p>
        </w:tc>
      </w:tr>
      <w:tr>
        <w:trPr>
          <w:trHeight w:val="20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w:t>
            </w: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(43,320)</w:t>
            </w:r>
          </w:p>
        </w:tc>
      </w:tr>
      <w:tr>
        <w:trPr>
          <w:trHeight w:val="22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3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23"/>
        </w:trPr>
        <w:tc>
          <w:tcPr>
            <w:tcW w:w="7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(54,612)</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presented in the accompanying consolidated balance sheet within other assets and other liabilities. The valuation allowance increased by $68.9 million, $61.9 million, and $113.6 million during the years ended January 31, 2025, 2024, and 2023, respectively. The increase in the valuation allowance during the years ended January 31, 2025, 2024, and 2023 were primarily driven by research and development expense capitalization under Sec. 174, loss carryforwards, and tax credits generated in the United States. As of January 31, 2025, 2024, and 2023, the Company believes it is not more likely than not that the deferred tax assets will be fully realizable and continues to maintain a full valuation allowance against its net deferred tax assets.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had federal and state net operating loss carryforwards of $1,145.5 million and $723.6 million, respectively. The federal and state net operating losses, if not used, will begin to expire in 2029. Federal net operating losses generated after January 31, 2018 will carry forward indefinitely.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2025, the Company has federal and California research and development tax credit carryforwards of $109.7 million and $69.7 million, respectively. The federal research and development tax credits, if not used, will begin to expire in 2030, while the state tax credit carryforwards may be carried forward indefinitely.</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Tax Reform Act of 1986 limits the use of net operating loss and tax credit carryforwards in certain situations where changes occur in the stock ownership of a company. Under Section 382 of the Internal Revenue Code of 1986, as amended, the Company’s ability to utilize net operating loss carryforwards or other tax attributes in any taxable year may be limited if the Company has experienced an “ownership change.” Generally, a Section 382 “ownership change” occurs if one or more stockholders or groups of stockholders who owns at least 5% of a corporation’s stock increases its ownership by more than 50 percentage points over its lowest ownership percentage within a specified testing period. Similar rules may apply under state tax laws. The Company has completed a Section 382 study of transactions in its stock through January 31, 2020. The study concluded that the Company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Tax Cuts and Jobs Act of 2017 (“TCJA”), research and development costs are no longer fully deductible and are required to be capitalized and amortized for U.S. tax purposes effective January 1, 2022. This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law change did not result in any U.S. federal tax liability due to the use of existing U.S. federal net operating loss carryforwards. It did result in incremental state tax liability and expense due to limitations on the use of existing state net operating loss carryforwards. The TCJA also included a tax on global intangible low-taxed income (“GILTI”) earned by foreign subsidiaries. We elected to account for the income tax effects of GILTI as a period cost in the year the tax is incurred. Finally, the TCJA included the Base Erosion and Anti-Abuse Tax (“BEAT”). The Company expects to make certain elections to be excluded from the definition of applicable taxpayer under BEAT, and the impact is reflected in the ETR as a part of “U.S. taxation of foreign income and payments.”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Pillar Two Global Anti-Base Erosion rules issued by the Organization for Economic Co-operation and Development (“OECD”), a global policy forum, introduced a global minimum tax of 15%. Nearly all OECD member jurisdictions have agreed in principle to adopt the OECD’s Pillar Two provisions, though implementation timelines vary. Numerous jurisdictions, including some jurisdictions where the Company operates, have enacted these rules, with many taking effect as of January 1, 2024. The Company is not currently subject to these rules but is continuing to evaluate the Pillar Two Framework and its potential impact on future periods.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Foreign withholding taxes have not been provided for the cumulative undistributed earnings of the Company’s foreign subsidiaries as of January 31, 2025 due to the Company’s intention to permanently reinvest such earnings.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liability related to uncertain tax positions is recorded in the financial statements due to the fact the liabilities have been netted against deferred attribute carryovers.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gross unrecognized tax benefits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 current period tax positions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 prior period tax positions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 prior period tax positions</w:t>
            </w:r>
          </w:p>
        </w:tc>
        <w:tc>
          <w:tcPr>
            <w:tcW w:w="1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48"/>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no accrued interest and penalties related to unrecognized tax benefits as of January 31, 2025 or January 31, 2024. As of January 31, 2025, there are no unrecognized tax benefits that, if recognized, would affect the Company’s effective tax rate. The Company does not expect that its uncertain tax positions will materially change in the next 12 months.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files federal and state tax returns in the United States and in various foreign jurisdictions. The Company’s tax years since inception are open to examination by federal and state taxing authorities, and the tax years 2019 and forward remain open in various foreign jurisdictions.</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Geographic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and long-lived assets, including operating lease ROU assets, by geographic area for the periods presented below (in thousands):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330,238</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254,470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216,974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547,212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by geography are based on the shipping address of the customer.</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271,844</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278,274</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2020, the Company began leasing certain office facilities from a company affiliated with Board members of the Company. Rent payments made under these leases totaled $1.7 million and $1.6 million for the years ended January 31, 2025 and 2024, respectively. The Company has entered into various agreements with the same company and has recognized revenue of $0.9 million and $0.9 million for the years ended January 31, 2025 and 2024, respectively.</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an advertising agreement with a company affiliated with a Board member of the Company. Payments under this agreement totaled $0.6 million and $1.1 million for the years ended January 31, 2025 and 2024, respectively.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an advertising agreement with a company affiliated with a Board member of the Company. Payments under this agreement totaled $1.7 million and $2.0 million for the years ended January 31, 2025 and 2024, respectively.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2022, the Company issued and sold 19,273,127 shares of its Class A common stock to the Company’s CEO in a private placement transaction at a purchase price of $18.16 per share, based on the closing trading price of the Company’s Class A common stock on September 2, 2022, for aggregate gross proceeds of approximately $350 million. See </w:t>
      </w:r>
      <w:r>
        <w:rPr>
          <w:rFonts w:ascii="Times New Roman" w:cs="Times New Roman" w:eastAsia="Times New Roman" w:hAnsi="Times New Roman"/>
          <w:sz w:val="18"/>
          <w:szCs w:val="18"/>
          <w:i w:val="1"/>
          <w:iCs w:val="1"/>
          <w:color w:val="auto"/>
        </w:rPr>
        <w:t>Note 10. Stockholders’ Equity</w:t>
      </w:r>
      <w:r>
        <w:rPr>
          <w:rFonts w:ascii="Times New Roman" w:cs="Times New Roman" w:eastAsia="Times New Roman" w:hAnsi="Times New Roman"/>
          <w:sz w:val="18"/>
          <w:szCs w:val="18"/>
          <w:color w:val="auto"/>
        </w:rPr>
        <w:t xml:space="preserve"> for further details.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16.</w:t>
        <w:tab/>
        <w:t>Restructuring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2025, the Company approved a restructuring plan (the “2025 Restructuring Plan”) intended to improve operational efficiencies and operating costs and better align the Company’s workforce with its business needs, top strategic priorities, and key growth opportunities. The 2025 Restructuring Plan involved a reduction of the Company’s workforce by approximately 5% globally.</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it will incur total charges of approximately $7.0 to $7.5 million related to the 2025 Restructuring Plan, which is expected to be substantially complete by the first quarter of fiscal 2026. The Company recorded restructuring charges of $4.5 million as of January 31, 2025, of which $3.7 million is reflected within accrued expenses and other current liabilities and expects the liabilities to be substantially paid during the first fiscal quarter ending April 30, 2025.</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restructuring costs related to the 2025 Restructuring Plan are recognized in the consolidated statement of operations for the year ended January 31, 2025,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 Related</w:t>
            </w: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 Compensation</w:t>
            </w:r>
          </w:p>
        </w:tc>
        <w:tc>
          <w:tcPr>
            <w:tcW w:w="420" w:type="dxa"/>
            <w:vAlign w:val="bottom"/>
          </w:tcPr>
          <w:p>
            <w:pPr>
              <w:spacing w:after="0"/>
              <w:rPr>
                <w:sz w:val="13"/>
                <w:szCs w:val="13"/>
                <w:color w:val="auto"/>
              </w:rPr>
            </w:pPr>
          </w:p>
        </w:tc>
        <w:tc>
          <w:tcPr>
            <w:tcW w:w="1360" w:type="dxa"/>
            <w:vAlign w:val="bottom"/>
            <w:vMerge w:val="restart"/>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40" w:type="dxa"/>
            <w:vAlign w:val="bottom"/>
          </w:tcPr>
          <w:p>
            <w:pPr>
              <w:spacing w:after="0"/>
              <w:rPr>
                <w:sz w:val="17"/>
                <w:szCs w:val="17"/>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 (Benefit)</w:t>
            </w:r>
          </w:p>
        </w:tc>
        <w:tc>
          <w:tcPr>
            <w:tcW w:w="4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15, 2022, the Company announced plans (the “2022 Restructuring Plan”) to reduce its global headcount by approximately 9%, intended to improve operational efficiencies and operating costs and better align the Company’s workforce with its business needs, top strategic priorities, and key growth opportunities.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2022 Restructuring Plan resulted in $9.3 million of restructuring costs for the year ended January 31, 2023, including costs related to severance benefits as well as non-cash expenditures related to the accelerated vesting of share-based awards. The headcount reductions, including cash payments, were substantially completed by the end of fiscal 2023. The company had a restructuring liability of $0.9 million as of January 31, 2023 within accrued expenses and other current liabilities which was fully paid during the fiscal year ended January 31, 2024.</w:t>
      </w:r>
    </w:p>
    <w:p>
      <w:pPr>
        <w:spacing w:after="0" w:line="12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restructuring costs related to the 2022 Restructuring Plan are recognized in the consolidated statement of operations for the year ended January 31, 2023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Severance and Related</w:t>
            </w: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Stock-Based Compensation</w:t>
            </w:r>
          </w:p>
        </w:tc>
        <w:tc>
          <w:tcPr>
            <w:tcW w:w="420" w:type="dxa"/>
            <w:vAlign w:val="bottom"/>
          </w:tcPr>
          <w:p>
            <w:pPr>
              <w:spacing w:after="0"/>
              <w:rPr>
                <w:sz w:val="13"/>
                <w:szCs w:val="13"/>
                <w:color w:val="auto"/>
              </w:rPr>
            </w:pPr>
          </w:p>
        </w:tc>
        <w:tc>
          <w:tcPr>
            <w:tcW w:w="136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4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 (Benefit)</w:t>
            </w: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6" w:name="page107"/>
    <w:bookmarkEnd w:id="10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January 31, 2025.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concluded that, as of January 31, 2025, our disclosure controls and procedures were effective to provide reasonable assurance that information we are required to disclose in reports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Because of its inherent limitations, internal control over financial reporting may not prevent or detect misstatements. Based on that assessment, management has concluded that our internal control over financial reporting was effective as of January 31, 2025 to provide reasonable assurance regarding the reliability of financial reporting and the preparation of financial statements for external purposes in accordance with GAAP.</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effectiveness of our internal control over financial reporting as of January 31, 2025 has been audited by PricewaterhouseCoopers LLP, an independent registered accounting firm, as stated in their report which appears in </w:t>
      </w:r>
      <w:r>
        <w:rPr>
          <w:rFonts w:ascii="Times New Roman" w:cs="Times New Roman" w:eastAsia="Times New Roman" w:hAnsi="Times New Roman"/>
          <w:sz w:val="18"/>
          <w:szCs w:val="18"/>
          <w:i w:val="1"/>
          <w:iCs w:val="1"/>
          <w:color w:val="auto"/>
        </w:rPr>
        <w:t>Part II—Item 8. 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January 31, 2025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investors.asana.com.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transactions of our securities by our directors, officers and employees. A copy of our insider trading policy is filed as Exhibit 19.1 to this Annual Report on Form 10-K.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information as set forth under the captions “Board of Directors and Corporate Governance” and “Executive Officers” in the definitive Proxy Statement for our 2025 Annual Meeting of Stockholders, which will be filed with the SEC no later than 120 days after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as set forth under the captions “Executive Compensation” and “Non-Employee Director Compensation” in the definitive Proxy Statement for our 2025 Annual Meeting of Stockholders, which will be filed with the SEC no later than 120 days after January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as set forth under the caption “Security Ownership of Certain Beneficial Owners and Management and Related Stockholder Matters” in the definitive Proxy Statement for our 2025 Annual Meeting of Stockholders, which will be filed with the SEC no later than 120 days after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as set forth under the captions “Certain Relationships and Related Person Transactions” and “Board of Directors and Corporate Governance” in the definitive Proxy Statement for our 2025 Annual Meeting of Stockholders, which will be filed with the SEC no later than 120 days after January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as set forth under the caption “Proposal No. 2: Ratification of Appointment of Independent Registered Public Accounting Firm” in the definitive Proxy Statement for our 2025 Annual Meeting of Stockholders, which will be filed with the SEC no later than 120 days after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6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listed in the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Part II—Item 8.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Annual Report on Form 10-K.</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herein.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100" w:type="dxa"/>
            <w:vAlign w:val="bottom"/>
            <w:gridSpan w:val="1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8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16"/>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3"/>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2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3120" w:type="dxa"/>
            <w:vAlign w:val="bottom"/>
            <w:tcBorders>
              <w:bottom w:val="single" w:sz="8" w:color="0000FF"/>
            </w:tcBorders>
            <w:gridSpan w:val="10"/>
          </w:tcPr>
          <w:p>
            <w:pPr>
              <w:spacing w:after="0" w:line="155"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Restated Certificate of Incorporation of the Registrant</w:t>
              </w:r>
            </w:hyperlink>
          </w:p>
        </w:tc>
        <w:tc>
          <w:tcPr>
            <w:tcW w:w="1720" w:type="dxa"/>
            <w:vAlign w:val="bottom"/>
            <w:gridSpan w:val="11"/>
          </w:tcPr>
          <w:p>
            <w:pPr>
              <w:spacing w:after="0"/>
              <w:rPr>
                <w:sz w:val="13"/>
                <w:szCs w:val="13"/>
                <w:color w:val="auto"/>
              </w:rPr>
            </w:pPr>
          </w:p>
        </w:tc>
        <w:tc>
          <w:tcPr>
            <w:tcW w:w="8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16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4840" w:type="dxa"/>
            <w:vAlign w:val="bottom"/>
            <w:gridSpan w:val="21"/>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Amended and Restated Bylaws of the Registrant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12, 2023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4840" w:type="dxa"/>
            <w:vAlign w:val="bottom"/>
            <w:gridSpan w:val="2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Investors’ Rights Agreement, dated as of November 15,</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tcBorders>
              <w:top w:val="single" w:sz="8" w:color="0000FF"/>
            </w:tcBorders>
            <w:gridSpan w:val="16"/>
          </w:tcPr>
          <w:p>
            <w:pPr>
              <w:spacing w:after="0" w:line="142"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2018 by and among the Registrant and certain investors of the Registrant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8"/>
                <w:szCs w:val="18"/>
                <w:color w:val="auto"/>
              </w:rPr>
            </w:pPr>
          </w:p>
        </w:tc>
        <w:tc>
          <w:tcPr>
            <w:tcW w:w="28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Omnibus Amendment to Financing Agreements</w:t>
              </w:r>
            </w:hyperlink>
          </w:p>
        </w:tc>
        <w:tc>
          <w:tcPr>
            <w:tcW w:w="1400" w:type="dxa"/>
            <w:vAlign w:val="bottom"/>
            <w:tcBorders>
              <w:top w:val="single" w:sz="8" w:color="0000FF"/>
            </w:tcBorders>
            <w:gridSpan w:val="5"/>
          </w:tcPr>
          <w:p>
            <w:pPr>
              <w:spacing w:after="0"/>
              <w:rPr>
                <w:sz w:val="18"/>
                <w:szCs w:val="18"/>
                <w:color w:val="auto"/>
              </w:rPr>
            </w:pPr>
          </w:p>
        </w:tc>
        <w:tc>
          <w:tcPr>
            <w:tcW w:w="640" w:type="dxa"/>
            <w:vAlign w:val="bottom"/>
            <w:gridSpan w:val="7"/>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S-1/A</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9,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Description of Securities</w:t>
              </w:r>
            </w:hyperlink>
          </w:p>
        </w:tc>
        <w:tc>
          <w:tcPr>
            <w:tcW w:w="3400" w:type="dxa"/>
            <w:vAlign w:val="bottom"/>
            <w:gridSpan w:val="18"/>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24, 2022</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4840" w:type="dxa"/>
            <w:vAlign w:val="bottom"/>
            <w:gridSpan w:val="21"/>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Indemnification Agreement entered into between the Registrant and each</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720" w:type="dxa"/>
            <w:vAlign w:val="bottom"/>
            <w:tcBorders>
              <w:top w:val="single" w:sz="8" w:color="0000FF"/>
            </w:tcBorders>
            <w:gridSpan w:val="19"/>
          </w:tcPr>
          <w:p>
            <w:pPr>
              <w:spacing w:after="0" w:line="142"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of its directors and executive officers</w:t>
              </w:r>
            </w:hyperlink>
          </w:p>
        </w:tc>
        <w:tc>
          <w:tcPr>
            <w:tcW w:w="120" w:type="dxa"/>
            <w:vAlign w:val="bottom"/>
            <w:gridSpan w:val="2"/>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2009</w:t>
              </w:r>
            </w:hyperlink>
          </w:p>
        </w:tc>
        <w:tc>
          <w:tcPr>
            <w:tcW w:w="3480" w:type="dxa"/>
            <w:vAlign w:val="bottom"/>
            <w:tcBorders>
              <w:bottom w:val="single" w:sz="8" w:color="0000FF"/>
            </w:tcBorders>
            <w:gridSpan w:val="11"/>
          </w:tcPr>
          <w:p>
            <w:pPr>
              <w:ind w:left="20"/>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Stock Plan, as amended, and forms of agreement thereunder</w:t>
              </w:r>
            </w:hyperlink>
          </w:p>
        </w:tc>
        <w:tc>
          <w:tcPr>
            <w:tcW w:w="1040" w:type="dxa"/>
            <w:vAlign w:val="bottom"/>
            <w:gridSpan w:val="9"/>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442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Amended and Restated 2012 Stock Plan, and forms of agreement thereunder</w:t>
              </w:r>
            </w:hyperlink>
          </w:p>
        </w:tc>
        <w:tc>
          <w:tcPr>
            <w:tcW w:w="420" w:type="dxa"/>
            <w:vAlign w:val="bottom"/>
            <w:gridSpan w:val="6"/>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320" w:type="dxa"/>
            <w:vAlign w:val="bottom"/>
            <w:tcBorders>
              <w:bottom w:val="single" w:sz="8" w:color="0000FF"/>
            </w:tcBorders>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2020</w:t>
              </w:r>
            </w:hyperlink>
          </w:p>
        </w:tc>
        <w:tc>
          <w:tcPr>
            <w:tcW w:w="3360" w:type="dxa"/>
            <w:vAlign w:val="bottom"/>
            <w:tcBorders>
              <w:bottom w:val="single" w:sz="8" w:color="0000FF"/>
            </w:tcBorders>
            <w:gridSpan w:val="10"/>
          </w:tcPr>
          <w:p>
            <w:pPr>
              <w:ind w:left="20"/>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Equity Incentive Plan, and forms of agreement thereunder</w:t>
              </w:r>
            </w:hyperlink>
          </w:p>
        </w:tc>
        <w:tc>
          <w:tcPr>
            <w:tcW w:w="1160" w:type="dxa"/>
            <w:vAlign w:val="bottom"/>
            <w:gridSpan w:val="10"/>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320" w:type="dxa"/>
            <w:vAlign w:val="bottom"/>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2020</w:t>
              </w:r>
            </w:hyperlink>
          </w:p>
        </w:tc>
        <w:tc>
          <w:tcPr>
            <w:tcW w:w="4520" w:type="dxa"/>
            <w:vAlign w:val="bottom"/>
            <w:gridSpan w:val="20"/>
          </w:tcPr>
          <w:p>
            <w:pPr>
              <w:ind w:left="20"/>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(No Holding Period) (Hybrid)</w:t>
              </w:r>
            </w:hyperlink>
          </w:p>
        </w:tc>
        <w:tc>
          <w:tcPr>
            <w:tcW w:w="2900" w:type="dxa"/>
            <w:vAlign w:val="bottom"/>
            <w:tcBorders>
              <w:top w:val="single" w:sz="8" w:color="0000FF"/>
            </w:tcBorders>
            <w:gridSpan w:val="13"/>
          </w:tcPr>
          <w:p>
            <w:pPr>
              <w:spacing w:after="0"/>
              <w:rPr>
                <w:sz w:val="12"/>
                <w:szCs w:val="12"/>
                <w:color w:val="auto"/>
              </w:rPr>
            </w:pPr>
          </w:p>
        </w:tc>
        <w:tc>
          <w:tcPr>
            <w:tcW w:w="20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8"/>
                <w:szCs w:val="18"/>
                <w:color w:val="auto"/>
              </w:rPr>
            </w:pPr>
          </w:p>
        </w:tc>
        <w:tc>
          <w:tcPr>
            <w:tcW w:w="320" w:type="dxa"/>
            <w:vAlign w:val="bottom"/>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2020</w:t>
              </w:r>
            </w:hyperlink>
          </w:p>
        </w:tc>
        <w:tc>
          <w:tcPr>
            <w:tcW w:w="4520" w:type="dxa"/>
            <w:vAlign w:val="bottom"/>
            <w:gridSpan w:val="20"/>
          </w:tcPr>
          <w:p>
            <w:pPr>
              <w:ind w:left="20"/>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40" w:type="dxa"/>
            <w:vAlign w:val="bottom"/>
            <w:tcBorders>
              <w:top w:val="single" w:sz="8" w:color="0000FF"/>
            </w:tcBorders>
            <w:gridSpan w:val="18"/>
          </w:tcPr>
          <w:p>
            <w:pPr>
              <w:spacing w:after="0" w:line="142"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(One- or Two-Year Holding Period) (Hybrid)</w:t>
              </w:r>
            </w:hyperlink>
          </w:p>
        </w:tc>
        <w:tc>
          <w:tcPr>
            <w:tcW w:w="20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8"/>
                <w:szCs w:val="18"/>
                <w:color w:val="auto"/>
              </w:rPr>
            </w:pPr>
          </w:p>
        </w:tc>
        <w:tc>
          <w:tcPr>
            <w:tcW w:w="320" w:type="dxa"/>
            <w:vAlign w:val="bottom"/>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2020</w:t>
              </w:r>
            </w:hyperlink>
          </w:p>
        </w:tc>
        <w:tc>
          <w:tcPr>
            <w:tcW w:w="4520" w:type="dxa"/>
            <w:vAlign w:val="bottom"/>
            <w:gridSpan w:val="20"/>
          </w:tcPr>
          <w:p>
            <w:pPr>
              <w:ind w:left="20"/>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(No Holding Period) (Hybrid)</w:t>
              </w:r>
            </w:hyperlink>
          </w:p>
        </w:tc>
        <w:tc>
          <w:tcPr>
            <w:tcW w:w="2900" w:type="dxa"/>
            <w:vAlign w:val="bottom"/>
            <w:tcBorders>
              <w:top w:val="single" w:sz="8" w:color="0000FF"/>
            </w:tcBorders>
            <w:gridSpan w:val="13"/>
          </w:tcPr>
          <w:p>
            <w:pPr>
              <w:spacing w:after="0"/>
              <w:rPr>
                <w:sz w:val="12"/>
                <w:szCs w:val="12"/>
                <w:color w:val="auto"/>
              </w:rPr>
            </w:pPr>
          </w:p>
        </w:tc>
        <w:tc>
          <w:tcPr>
            <w:tcW w:w="20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8"/>
                <w:szCs w:val="18"/>
                <w:color w:val="auto"/>
              </w:rPr>
            </w:pPr>
          </w:p>
        </w:tc>
        <w:tc>
          <w:tcPr>
            <w:tcW w:w="320" w:type="dxa"/>
            <w:vAlign w:val="bottom"/>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2020</w:t>
              </w:r>
            </w:hyperlink>
          </w:p>
        </w:tc>
        <w:tc>
          <w:tcPr>
            <w:tcW w:w="4520" w:type="dxa"/>
            <w:vAlign w:val="bottom"/>
            <w:gridSpan w:val="20"/>
          </w:tcPr>
          <w:p>
            <w:pPr>
              <w:ind w:left="20"/>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Equity Incentive Plan - Form of RSU Grant Notice and Award Agreement</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 2022</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40" w:type="dxa"/>
            <w:vAlign w:val="bottom"/>
            <w:tcBorders>
              <w:top w:val="single" w:sz="8" w:color="0000FF"/>
            </w:tcBorders>
            <w:gridSpan w:val="18"/>
          </w:tcPr>
          <w:p>
            <w:pPr>
              <w:spacing w:after="0" w:line="142"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(One- or Two-Year Holding Period) (Hybrid)</w:t>
              </w:r>
            </w:hyperlink>
          </w:p>
        </w:tc>
        <w:tc>
          <w:tcPr>
            <w:tcW w:w="20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0000FF"/>
              </w:rPr>
              <w:t>2020</w:t>
            </w:r>
          </w:p>
        </w:tc>
        <w:tc>
          <w:tcPr>
            <w:tcW w:w="4520" w:type="dxa"/>
            <w:vAlign w:val="bottom"/>
            <w:gridSpan w:val="20"/>
          </w:tcPr>
          <w:p>
            <w:pPr>
              <w:ind w:left="20"/>
              <w:spacing w:after="0"/>
              <w:rPr>
                <w:sz w:val="20"/>
                <w:szCs w:val="20"/>
                <w:color w:val="auto"/>
              </w:rPr>
            </w:pPr>
            <w:r>
              <w:rPr>
                <w:rFonts w:ascii="Times New Roman" w:cs="Times New Roman" w:eastAsia="Times New Roman" w:hAnsi="Times New Roman"/>
                <w:sz w:val="14"/>
                <w:szCs w:val="14"/>
                <w:color w:val="0000FF"/>
              </w:rPr>
              <w:t>Equity Incentive Plan - Form of RSU Grant Notice and Award Agreement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4"/>
                <w:szCs w:val="14"/>
                <w:color w:val="0000FF"/>
              </w:rPr>
              <w:t>(New Hire - No Proration)</w:t>
            </w:r>
          </w:p>
        </w:tc>
        <w:tc>
          <w:tcPr>
            <w:tcW w:w="3080" w:type="dxa"/>
            <w:vAlign w:val="bottom"/>
            <w:tcBorders>
              <w:top w:val="single" w:sz="8" w:color="0000FF"/>
            </w:tcBorders>
            <w:gridSpan w:val="13"/>
          </w:tcPr>
          <w:p>
            <w:pPr>
              <w:spacing w:after="0"/>
              <w:rPr>
                <w:sz w:val="12"/>
                <w:szCs w:val="12"/>
                <w:color w:val="auto"/>
              </w:rPr>
            </w:pPr>
          </w:p>
        </w:tc>
        <w:tc>
          <w:tcPr>
            <w:tcW w:w="220" w:type="dxa"/>
            <w:vAlign w:val="bottom"/>
            <w:gridSpan w:val="4"/>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4"/>
                <w:szCs w:val="14"/>
                <w:color w:val="0000FF"/>
              </w:rPr>
              <w:t>2020</w:t>
            </w:r>
          </w:p>
        </w:tc>
        <w:tc>
          <w:tcPr>
            <w:tcW w:w="4520" w:type="dxa"/>
            <w:vAlign w:val="bottom"/>
            <w:gridSpan w:val="20"/>
          </w:tcPr>
          <w:p>
            <w:pPr>
              <w:ind w:left="20"/>
              <w:spacing w:after="0"/>
              <w:rPr>
                <w:sz w:val="20"/>
                <w:szCs w:val="20"/>
                <w:color w:val="auto"/>
              </w:rPr>
            </w:pPr>
            <w:r>
              <w:rPr>
                <w:rFonts w:ascii="Times New Roman" w:cs="Times New Roman" w:eastAsia="Times New Roman" w:hAnsi="Times New Roman"/>
                <w:sz w:val="14"/>
                <w:szCs w:val="14"/>
                <w:color w:val="0000FF"/>
              </w:rPr>
              <w:t>Equity Incentive Plan - Form of RSU Grant Notice and Award Agreement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4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4"/>
                <w:szCs w:val="14"/>
                <w:color w:val="0000FF"/>
              </w:rPr>
              <w:t>(New Hire - Proration)</w:t>
            </w:r>
          </w:p>
        </w:tc>
        <w:tc>
          <w:tcPr>
            <w:tcW w:w="20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8"/>
                <w:szCs w:val="18"/>
                <w:color w:val="auto"/>
              </w:rPr>
            </w:pPr>
          </w:p>
        </w:tc>
        <w:tc>
          <w:tcPr>
            <w:tcW w:w="320" w:type="dxa"/>
            <w:vAlign w:val="bottom"/>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2020</w:t>
              </w:r>
            </w:hyperlink>
          </w:p>
        </w:tc>
        <w:tc>
          <w:tcPr>
            <w:tcW w:w="4520" w:type="dxa"/>
            <w:vAlign w:val="bottom"/>
            <w:gridSpan w:val="20"/>
          </w:tcPr>
          <w:p>
            <w:pPr>
              <w:ind w:left="20"/>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Employee Stock Purchase Plan</w:t>
              </w:r>
            </w:hyperlink>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333-248303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24, 2020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7"/>
                <w:szCs w:val="17"/>
                <w:color w:val="auto"/>
              </w:rPr>
            </w:pPr>
          </w:p>
        </w:tc>
        <w:tc>
          <w:tcPr>
            <w:tcW w:w="4840" w:type="dxa"/>
            <w:vAlign w:val="bottom"/>
            <w:gridSpan w:val="21"/>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Amended and Restated Non-Employee Director Compensation Policy</w:t>
              </w:r>
            </w:hyperlink>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 2023</w:t>
            </w:r>
          </w:p>
        </w:tc>
        <w:tc>
          <w:tcPr>
            <w:tcW w:w="0" w:type="dxa"/>
            <w:vAlign w:val="bottom"/>
          </w:tcPr>
          <w:p>
            <w:pPr>
              <w:spacing w:after="0"/>
              <w:rPr>
                <w:sz w:val="1"/>
                <w:szCs w:val="1"/>
                <w:color w:val="auto"/>
              </w:rPr>
            </w:pPr>
          </w:p>
        </w:tc>
      </w:tr>
      <w:tr>
        <w:trPr>
          <w:trHeight w:val="19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Pr>
          <w:p>
            <w:pPr>
              <w:spacing w:after="0"/>
              <w:rPr>
                <w:sz w:val="17"/>
                <w:szCs w:val="17"/>
                <w:color w:val="auto"/>
              </w:rPr>
            </w:pPr>
          </w:p>
        </w:tc>
        <w:tc>
          <w:tcPr>
            <w:tcW w:w="4040" w:type="dxa"/>
            <w:vAlign w:val="bottom"/>
            <w:tcBorders>
              <w:top w:val="single" w:sz="8" w:color="0000FF"/>
            </w:tcBorders>
            <w:gridSpan w:val="13"/>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Directors Deferred Compensation Plan</w:t>
              </w:r>
            </w:hyperlink>
          </w:p>
        </w:tc>
        <w:tc>
          <w:tcPr>
            <w:tcW w:w="800" w:type="dxa"/>
            <w:vAlign w:val="bottom"/>
            <w:gridSpan w:val="8"/>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001-39495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30, 2021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Asana France SAS Equity Sub-Plan and Form of RSU Grant Notice and Award</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March 30, 2021</w:t>
            </w:r>
          </w:p>
        </w:tc>
      </w:tr>
      <w:tr>
        <w:trPr>
          <w:trHeight w:val="142"/>
        </w:trPr>
        <w:tc>
          <w:tcPr>
            <w:tcW w:w="1280" w:type="dxa"/>
            <w:vAlign w:val="bottom"/>
          </w:tcPr>
          <w:p>
            <w:pPr>
              <w:spacing w:after="0"/>
              <w:rPr>
                <w:sz w:val="12"/>
                <w:szCs w:val="12"/>
                <w:color w:val="auto"/>
              </w:rPr>
            </w:pPr>
          </w:p>
        </w:tc>
        <w:tc>
          <w:tcPr>
            <w:tcW w:w="4600" w:type="dxa"/>
            <w:vAlign w:val="bottom"/>
            <w:tcBorders>
              <w:top w:val="single" w:sz="8" w:color="0000FF"/>
            </w:tcBorders>
            <w:gridSpan w:val="29"/>
          </w:tcPr>
          <w:p>
            <w:pPr>
              <w:spacing w:after="0" w:line="142"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Agreement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Executive Severance and Change in Control Benefit Plan</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20"/>
        </w:trPr>
        <w:tc>
          <w:tcPr>
            <w:tcW w:w="12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Offer Letter between Dustin Moskovitz and the Registrant, dated August 20,</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142"/>
        </w:trPr>
        <w:tc>
          <w:tcPr>
            <w:tcW w:w="128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4"/>
                <w:szCs w:val="14"/>
                <w:color w:val="0000FF"/>
                <w:w w:val="99"/>
              </w:rPr>
            </w:pPr>
            <w:hyperlink r:id="rId160">
              <w:r>
                <w:rPr>
                  <w:rFonts w:ascii="Times New Roman" w:cs="Times New Roman" w:eastAsia="Times New Roman" w:hAnsi="Times New Roman"/>
                  <w:sz w:val="14"/>
                  <w:szCs w:val="14"/>
                  <w:color w:val="0000FF"/>
                  <w:w w:val="99"/>
                </w:rPr>
                <w:t>2020</w:t>
              </w:r>
            </w:hyperlink>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0"/>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454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Offer Letter between Eleanor Lacey and the Registrant, dated August 21, 2020</w:t>
              </w:r>
            </w:hyperlink>
          </w:p>
        </w:tc>
        <w:tc>
          <w:tcPr>
            <w:tcW w:w="360" w:type="dxa"/>
            <w:vAlign w:val="bottom"/>
            <w:gridSpan w:val="11"/>
          </w:tcPr>
          <w:p>
            <w:pPr>
              <w:spacing w:after="0"/>
              <w:rPr>
                <w:sz w:val="18"/>
                <w:szCs w:val="18"/>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4700" w:type="dxa"/>
            <w:vAlign w:val="bottom"/>
            <w:tcBorders>
              <w:bottom w:val="single" w:sz="8" w:color="0000FF"/>
            </w:tcBorders>
            <w:gridSpan w:val="34"/>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Offer Letter between Anne Raimondi and the Registrant, dated August 27, 2021</w:t>
              </w:r>
            </w:hyperlink>
          </w:p>
        </w:tc>
        <w:tc>
          <w:tcPr>
            <w:tcW w:w="200" w:type="dxa"/>
            <w:vAlign w:val="bottom"/>
            <w:gridSpan w:val="3"/>
          </w:tcPr>
          <w:p>
            <w:pPr>
              <w:spacing w:after="0"/>
              <w:rPr>
                <w:sz w:val="17"/>
                <w:szCs w:val="17"/>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1, 2021</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464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Offer </w:t>
            </w:r>
            <w:hyperlink r:id="rId163">
              <w:r>
                <w:rPr>
                  <w:rFonts w:ascii="Times New Roman" w:cs="Times New Roman" w:eastAsia="Times New Roman" w:hAnsi="Times New Roman"/>
                  <w:sz w:val="14"/>
                  <w:szCs w:val="14"/>
                  <w:color w:val="0000FF"/>
                </w:rPr>
                <w:t xml:space="preserve">Letter between Sonalee </w:t>
              </w:r>
            </w:hyperlink>
            <w:r>
              <w:rPr>
                <w:rFonts w:ascii="Times New Roman" w:cs="Times New Roman" w:eastAsia="Times New Roman" w:hAnsi="Times New Roman"/>
                <w:sz w:val="14"/>
                <w:szCs w:val="14"/>
                <w:color w:val="0000FF"/>
              </w:rPr>
              <w:t xml:space="preserve">Parekh </w:t>
            </w:r>
            <w:hyperlink r:id="rId163">
              <w:r>
                <w:rPr>
                  <w:rFonts w:ascii="Times New Roman" w:cs="Times New Roman" w:eastAsia="Times New Roman" w:hAnsi="Times New Roman"/>
                  <w:sz w:val="14"/>
                  <w:szCs w:val="14"/>
                  <w:color w:val="0000FF"/>
                </w:rPr>
                <w:t>and the Registrant, dated August 24, 2024</w:t>
              </w:r>
            </w:hyperlink>
          </w:p>
        </w:tc>
        <w:tc>
          <w:tcPr>
            <w:tcW w:w="260" w:type="dxa"/>
            <w:vAlign w:val="bottom"/>
            <w:gridSpan w:val="6"/>
          </w:tcPr>
          <w:p>
            <w:pPr>
              <w:spacing w:after="0"/>
              <w:rPr>
                <w:sz w:val="17"/>
                <w:szCs w:val="17"/>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4, 2024</w:t>
            </w: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10.20</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Lease between Swig 631 Folsom, LLC, SIC Holdings, LLC and the Registrant,</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S-1</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333-248303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August 24, 2020</w:t>
            </w:r>
          </w:p>
        </w:tc>
      </w:tr>
      <w:tr>
        <w:trPr>
          <w:trHeight w:val="142"/>
        </w:trPr>
        <w:tc>
          <w:tcPr>
            <w:tcW w:w="1280" w:type="dxa"/>
            <w:vAlign w:val="bottom"/>
          </w:tcPr>
          <w:p>
            <w:pPr>
              <w:spacing w:after="0"/>
              <w:rPr>
                <w:sz w:val="12"/>
                <w:szCs w:val="12"/>
                <w:color w:val="auto"/>
              </w:rPr>
            </w:pPr>
          </w:p>
        </w:tc>
        <w:tc>
          <w:tcPr>
            <w:tcW w:w="4580" w:type="dxa"/>
            <w:vAlign w:val="bottom"/>
            <w:tcBorders>
              <w:top w:val="single" w:sz="8" w:color="0000FF"/>
            </w:tcBorders>
            <w:gridSpan w:val="28"/>
          </w:tcPr>
          <w:p>
            <w:pPr>
              <w:spacing w:after="0" w:line="142"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dated as of February 22,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10.21</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Commencement Date Memoranda to Lease between Swig 631 Folsom, LLC, SIC</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3, 2021</w:t>
            </w:r>
          </w:p>
        </w:tc>
      </w:tr>
      <w:tr>
        <w:trPr>
          <w:trHeight w:val="142"/>
        </w:trPr>
        <w:tc>
          <w:tcPr>
            <w:tcW w:w="12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Holdings, LLC and the Registrant, dated as of May 17, 2021</w:t>
              </w:r>
            </w:hyperlink>
          </w:p>
        </w:tc>
        <w:tc>
          <w:tcPr>
            <w:tcW w:w="122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10.22</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Voting Agreement dated as of August 13, 2021, by and between Good Ventures</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3, 2021</w:t>
            </w:r>
          </w:p>
        </w:tc>
      </w:tr>
      <w:tr>
        <w:trPr>
          <w:trHeight w:val="142"/>
        </w:trPr>
        <w:tc>
          <w:tcPr>
            <w:tcW w:w="128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13"/>
          </w:tcPr>
          <w:p>
            <w:pPr>
              <w:spacing w:after="0" w:line="142"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Foundation and Dustin Moskovitz</w:t>
              </w:r>
            </w:hyperlink>
          </w:p>
        </w:tc>
        <w:tc>
          <w:tcPr>
            <w:tcW w:w="26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10.23</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Share Purchase Agreement, dated September 6, 2022, by and among Asana, Inc.</w:t>
              </w:r>
            </w:hyperlink>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7, 2022</w:t>
            </w:r>
          </w:p>
        </w:tc>
      </w:tr>
      <w:tr>
        <w:trPr>
          <w:trHeight w:val="142"/>
        </w:trPr>
        <w:tc>
          <w:tcPr>
            <w:tcW w:w="128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and the purchaser named therein</w:t>
              </w:r>
            </w:hyperlink>
          </w:p>
        </w:tc>
        <w:tc>
          <w:tcPr>
            <w:tcW w:w="28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10.24</w:t>
            </w:r>
          </w:p>
        </w:tc>
        <w:tc>
          <w:tcPr>
            <w:tcW w:w="458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Credit Agreement, dated as of November 7, 2022, by and among the Company,</w:t>
              </w:r>
            </w:hyperlink>
          </w:p>
        </w:tc>
        <w:tc>
          <w:tcPr>
            <w:tcW w:w="320" w:type="dxa"/>
            <w:vAlign w:val="bottom"/>
            <w:gridSpan w:val="9"/>
          </w:tcPr>
          <w:p>
            <w:pPr>
              <w:spacing w:after="0"/>
              <w:rPr>
                <w:sz w:val="18"/>
                <w:szCs w:val="18"/>
                <w:color w:val="auto"/>
              </w:rPr>
            </w:pPr>
          </w:p>
        </w:tc>
        <w:tc>
          <w:tcPr>
            <w:tcW w:w="7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November 10, 2022</w:t>
            </w:r>
          </w:p>
        </w:tc>
      </w:tr>
      <w:tr>
        <w:trPr>
          <w:trHeight w:val="142"/>
        </w:trPr>
        <w:tc>
          <w:tcPr>
            <w:tcW w:w="1280" w:type="dxa"/>
            <w:vAlign w:val="bottom"/>
          </w:tcPr>
          <w:p>
            <w:pPr>
              <w:spacing w:after="0"/>
              <w:rPr>
                <w:sz w:val="12"/>
                <w:szCs w:val="12"/>
                <w:color w:val="auto"/>
              </w:rPr>
            </w:pPr>
          </w:p>
        </w:tc>
        <w:tc>
          <w:tcPr>
            <w:tcW w:w="4720" w:type="dxa"/>
            <w:vAlign w:val="bottom"/>
            <w:tcBorders>
              <w:bottom w:val="single" w:sz="8" w:color="0000FF"/>
            </w:tcBorders>
            <w:gridSpan w:val="35"/>
          </w:tcPr>
          <w:p>
            <w:pPr>
              <w:spacing w:after="0" w:line="142"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Silicon Valley Bank, as issuing lender, the swingline lender, administrative agent</w:t>
              </w:r>
            </w:hyperlink>
          </w:p>
        </w:tc>
        <w:tc>
          <w:tcPr>
            <w:tcW w:w="1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900" w:type="dxa"/>
            <w:vAlign w:val="bottom"/>
            <w:gridSpan w:val="37"/>
          </w:tcPr>
          <w:p>
            <w:pPr>
              <w:spacing w:after="0" w:line="155"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and collateral agent, and each of the lenders identified on the signature pages</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tcBorders>
            <w:gridSpan w:val="23"/>
          </w:tcPr>
          <w:p>
            <w:pPr>
              <w:spacing w:after="0" w:line="142"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10.25</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First Amendment to Credit Agreement, dated April 13, 2023, by and among the</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June 1, 2023</w:t>
            </w: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Company and Silicon Valley Bank, a division of First-Citizens Bank &amp; Trust</w:t>
              </w:r>
            </w:hyperlink>
          </w:p>
        </w:tc>
        <w:tc>
          <w:tcPr>
            <w:tcW w:w="2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900" w:type="dxa"/>
            <w:vAlign w:val="bottom"/>
            <w:gridSpan w:val="37"/>
          </w:tcPr>
          <w:p>
            <w:pPr>
              <w:spacing w:after="0" w:line="155"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Company, as issuing lender, the swingline Lender, administrative agent and</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90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collateral agent</w:t>
              </w:r>
            </w:hyperlink>
          </w:p>
        </w:tc>
        <w:tc>
          <w:tcPr>
            <w:tcW w:w="346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Second Amendment to Credit Agreement, dated June 18, 2024, by and among the</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September 3, 2024</w:t>
            </w:r>
          </w:p>
        </w:tc>
      </w:tr>
      <w:tr>
        <w:trPr>
          <w:trHeight w:val="142"/>
        </w:trPr>
        <w:tc>
          <w:tcPr>
            <w:tcW w:w="1280" w:type="dxa"/>
            <w:vAlign w:val="bottom"/>
          </w:tcPr>
          <w:p>
            <w:pPr>
              <w:spacing w:after="0"/>
              <w:rPr>
                <w:sz w:val="12"/>
                <w:szCs w:val="12"/>
                <w:color w:val="auto"/>
              </w:rPr>
            </w:pPr>
          </w:p>
        </w:tc>
        <w:tc>
          <w:tcPr>
            <w:tcW w:w="4440" w:type="dxa"/>
            <w:vAlign w:val="bottom"/>
            <w:tcBorders>
              <w:top w:val="single" w:sz="8" w:color="0000FF"/>
              <w:bottom w:val="single" w:sz="8" w:color="0000FF"/>
            </w:tcBorders>
            <w:gridSpan w:val="23"/>
          </w:tcPr>
          <w:p>
            <w:pPr>
              <w:spacing w:after="0" w:line="142"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Company and Silicon Valley Bank, a division of First-Citizens Bank &amp; Trust</w:t>
              </w:r>
            </w:hyperlink>
          </w:p>
        </w:tc>
        <w:tc>
          <w:tcPr>
            <w:tcW w:w="300" w:type="dxa"/>
            <w:vAlign w:val="bottom"/>
            <w:tcBorders>
              <w:top w:val="single" w:sz="8" w:color="0000FF"/>
            </w:tcBorders>
            <w:gridSpan w:val="1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37"/>
          </w:tcPr>
          <w:p>
            <w:pPr>
              <w:spacing w:after="0" w:line="155"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Company, as issuing lender, the swingline lender, administrative agent and</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4300" w:type="dxa"/>
            <w:vAlign w:val="bottom"/>
            <w:tcBorders>
              <w:top w:val="single" w:sz="8" w:color="0000FF"/>
            </w:tcBorders>
            <w:gridSpan w:val="17"/>
          </w:tcPr>
          <w:p>
            <w:pPr>
              <w:spacing w:after="0" w:line="142"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collateral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10.27</w:t>
            </w:r>
          </w:p>
        </w:tc>
        <w:tc>
          <w:tcPr>
            <w:tcW w:w="4900" w:type="dxa"/>
            <w:vAlign w:val="bottom"/>
            <w:gridSpan w:val="37"/>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Third Amendment to Credit Agreement, dated November 18, 2024, by and</w:t>
              </w:r>
            </w:hyperlink>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10-Q</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December 5, 2024</w:t>
            </w:r>
          </w:p>
        </w:tc>
      </w:tr>
      <w:tr>
        <w:trPr>
          <w:trHeight w:val="142"/>
        </w:trPr>
        <w:tc>
          <w:tcPr>
            <w:tcW w:w="128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19"/>
          </w:tcPr>
          <w:p>
            <w:pPr>
              <w:spacing w:after="0" w:line="142"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among the Registrant and Silicon Valley Bank, a division of First-Citizens</w:t>
              </w:r>
            </w:hyperlink>
          </w:p>
        </w:tc>
        <w:tc>
          <w:tcPr>
            <w:tcW w:w="340" w:type="dxa"/>
            <w:vAlign w:val="bottom"/>
            <w:tcBorders>
              <w:bottom w:val="single" w:sz="8" w:color="0000FF"/>
            </w:tcBorders>
            <w:gridSpan w:val="14"/>
          </w:tcPr>
          <w:p>
            <w:pPr>
              <w:spacing w:after="0" w:line="142"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Bank</w:t>
              </w:r>
            </w:hyperlink>
          </w:p>
        </w:tc>
        <w:tc>
          <w:tcPr>
            <w:tcW w:w="220" w:type="dxa"/>
            <w:vAlign w:val="bottom"/>
            <w:gridSpan w:val="4"/>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900" w:type="dxa"/>
            <w:vAlign w:val="bottom"/>
            <w:gridSpan w:val="37"/>
          </w:tcPr>
          <w:p>
            <w:pPr>
              <w:spacing w:after="0" w:line="155"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&amp; Trust Company, as the issuing lender, the swingline lender, administrative</w:t>
              </w:r>
            </w:hyperlink>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2"/>
        </w:trPr>
        <w:tc>
          <w:tcPr>
            <w:tcW w:w="1280" w:type="dxa"/>
            <w:vAlign w:val="bottom"/>
          </w:tcPr>
          <w:p>
            <w:pPr>
              <w:spacing w:after="0"/>
              <w:rPr>
                <w:sz w:val="12"/>
                <w:szCs w:val="12"/>
                <w:color w:val="auto"/>
              </w:rPr>
            </w:pPr>
          </w:p>
        </w:tc>
        <w:tc>
          <w:tcPr>
            <w:tcW w:w="152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agent and collateral agent.</w:t>
              </w:r>
            </w:hyperlink>
          </w:p>
        </w:tc>
        <w:tc>
          <w:tcPr>
            <w:tcW w:w="28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40"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30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List of subsidiaries</w:t>
              </w:r>
            </w:hyperlink>
          </w:p>
        </w:tc>
        <w:tc>
          <w:tcPr>
            <w:tcW w:w="3600" w:type="dxa"/>
            <w:vAlign w:val="bottom"/>
            <w:gridSpan w:val="28"/>
          </w:tcPr>
          <w:p>
            <w:pPr>
              <w:spacing w:after="0"/>
              <w:rPr>
                <w:sz w:val="17"/>
                <w:szCs w:val="17"/>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March 14, 2024</w:t>
            </w:r>
          </w:p>
        </w:tc>
      </w:tr>
      <w:tr>
        <w:trPr>
          <w:trHeight w:val="20"/>
        </w:trPr>
        <w:tc>
          <w:tcPr>
            <w:tcW w:w="12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Power of Attorney (included in the signature pages attached to this Annual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32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4"/>
                <w:szCs w:val="14"/>
                <w:color w:val="0000FF"/>
              </w:rPr>
              <w:t>Report on Form 10-K)</w:t>
            </w: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40"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42"/>
        </w:trPr>
        <w:tc>
          <w:tcPr>
            <w:tcW w:w="128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80" w:type="dxa"/>
            <w:vAlign w:val="bottom"/>
            <w:tcBorders>
              <w:bottom w:val="single" w:sz="8" w:color="0000FF"/>
            </w:tcBorders>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40"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700" w:type="dxa"/>
            <w:vAlign w:val="bottom"/>
            <w:tcBorders>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Act of 2002</w:t>
            </w:r>
          </w:p>
        </w:tc>
        <w:tc>
          <w:tcPr>
            <w:tcW w:w="4200" w:type="dxa"/>
            <w:vAlign w:val="bottom"/>
            <w:gridSpan w:val="33"/>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4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4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900" w:type="dxa"/>
            <w:vAlign w:val="bottom"/>
            <w:gridSpan w:val="37"/>
          </w:tcPr>
          <w:p>
            <w:pPr>
              <w:spacing w:after="0" w:line="142" w:lineRule="exact"/>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4"/>
          </w:tcPr>
          <w:p>
            <w:pPr>
              <w:spacing w:after="0" w:line="155" w:lineRule="exact"/>
              <w:rPr>
                <w:sz w:val="20"/>
                <w:szCs w:val="20"/>
                <w:color w:val="auto"/>
              </w:rPr>
            </w:pPr>
            <w:r>
              <w:rPr>
                <w:rFonts w:ascii="Times New Roman" w:cs="Times New Roman" w:eastAsia="Times New Roman" w:hAnsi="Times New Roman"/>
                <w:sz w:val="14"/>
                <w:szCs w:val="14"/>
                <w:color w:val="0000FF"/>
              </w:rPr>
              <w:t>Act of 2002</w:t>
            </w:r>
          </w:p>
        </w:tc>
        <w:tc>
          <w:tcPr>
            <w:tcW w:w="3860" w:type="dxa"/>
            <w:vAlign w:val="bottom"/>
            <w:tcBorders>
              <w:top w:val="single" w:sz="8" w:color="0000FF"/>
            </w:tcBorders>
            <w:gridSpan w:val="23"/>
          </w:tcPr>
          <w:p>
            <w:pPr>
              <w:spacing w:after="0"/>
              <w:rPr>
                <w:sz w:val="13"/>
                <w:szCs w:val="13"/>
                <w:color w:val="auto"/>
              </w:rPr>
            </w:pPr>
          </w:p>
        </w:tc>
        <w:tc>
          <w:tcPr>
            <w:tcW w:w="340" w:type="dxa"/>
            <w:vAlign w:val="bottom"/>
            <w:gridSpan w:val="10"/>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42"/>
        </w:trPr>
        <w:tc>
          <w:tcPr>
            <w:tcW w:w="128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 Sarbanes-</w:t>
            </w:r>
          </w:p>
        </w:tc>
        <w:tc>
          <w:tcPr>
            <w:tcW w:w="240" w:type="dxa"/>
            <w:vAlign w:val="bottom"/>
            <w:tcBorders>
              <w:top w:val="single" w:sz="8" w:color="0000FF"/>
            </w:tcBorders>
            <w:gridSpan w:val="10"/>
          </w:tcPr>
          <w:p>
            <w:pPr>
              <w:spacing w:after="0"/>
              <w:rPr>
                <w:sz w:val="12"/>
                <w:szCs w:val="12"/>
                <w:color w:val="auto"/>
              </w:rPr>
            </w:pPr>
          </w:p>
        </w:tc>
        <w:tc>
          <w:tcPr>
            <w:tcW w:w="240"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5"/>
        </w:trPr>
        <w:tc>
          <w:tcPr>
            <w:tcW w:w="1280" w:type="dxa"/>
            <w:vAlign w:val="bottom"/>
          </w:tcPr>
          <w:p>
            <w:pPr>
              <w:spacing w:after="0"/>
              <w:rPr>
                <w:sz w:val="13"/>
                <w:szCs w:val="13"/>
                <w:color w:val="auto"/>
              </w:rPr>
            </w:pPr>
          </w:p>
        </w:tc>
        <w:tc>
          <w:tcPr>
            <w:tcW w:w="4900" w:type="dxa"/>
            <w:vAlign w:val="bottom"/>
            <w:gridSpan w:val="37"/>
          </w:tcPr>
          <w:p>
            <w:pPr>
              <w:spacing w:after="0" w:line="155" w:lineRule="exact"/>
              <w:rPr>
                <w:sz w:val="20"/>
                <w:szCs w:val="20"/>
                <w:color w:val="auto"/>
              </w:rPr>
            </w:pPr>
            <w:r>
              <w:rPr>
                <w:rFonts w:ascii="Times New Roman" w:cs="Times New Roman" w:eastAsia="Times New Roman" w:hAnsi="Times New Roman"/>
                <w:sz w:val="14"/>
                <w:szCs w:val="14"/>
                <w:color w:val="0000FF"/>
              </w:rPr>
              <w:t>Oxley Act of 2002</w:t>
            </w:r>
          </w:p>
        </w:tc>
        <w:tc>
          <w:tcPr>
            <w:tcW w:w="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110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Clawback Policy</w:t>
              </w:r>
            </w:hyperlink>
          </w:p>
        </w:tc>
        <w:tc>
          <w:tcPr>
            <w:tcW w:w="3800" w:type="dxa"/>
            <w:vAlign w:val="bottom"/>
            <w:gridSpan w:val="29"/>
          </w:tcPr>
          <w:p>
            <w:pPr>
              <w:spacing w:after="0"/>
              <w:rPr>
                <w:sz w:val="17"/>
                <w:szCs w:val="17"/>
                <w:color w:val="auto"/>
              </w:rPr>
            </w:pP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10-K</w:t>
            </w:r>
          </w:p>
        </w:tc>
        <w:tc>
          <w:tcPr>
            <w:tcW w:w="1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001-39495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152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March 14, 2024</w:t>
            </w:r>
          </w:p>
        </w:tc>
      </w:tr>
      <w:tr>
        <w:trPr>
          <w:trHeight w:val="20"/>
        </w:trPr>
        <w:tc>
          <w:tcPr>
            <w:tcW w:w="1280" w:type="dxa"/>
            <w:vAlign w:val="bottom"/>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3920" w:type="dxa"/>
            <w:vAlign w:val="bottom"/>
            <w:gridSpan w:val="3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27"/>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90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40" w:top="1440" w:right="619" w:bottom="1440" w:gutter="0" w:footer="0" w:header="0"/>
        </w:sectPr>
      </w:pPr>
    </w:p>
    <w:bookmarkStart w:id="113" w:name="page114"/>
    <w:bookmarkEnd w:id="113"/>
    <w:p>
      <w:pPr>
        <w:spacing w:after="0" w:line="189"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4"/>
          <w:szCs w:val="14"/>
          <w:color w:val="auto"/>
        </w:rPr>
        <w:t>101.PRE</w:t>
      </w:r>
      <w:r>
        <w:rPr>
          <w:sz w:val="20"/>
          <w:szCs w:val="20"/>
          <w:color w:val="auto"/>
        </w:rPr>
        <w:tab/>
      </w:r>
      <w:r>
        <w:rPr>
          <w:rFonts w:ascii="Times New Roman" w:cs="Times New Roman" w:eastAsia="Times New Roman" w:hAnsi="Times New Roman"/>
          <w:sz w:val="14"/>
          <w:szCs w:val="14"/>
          <w:color w:val="auto"/>
        </w:rPr>
        <w:t>XBRL Taxonomy Extension Presentation Linkbase Document</w:t>
      </w:r>
    </w:p>
    <w:p>
      <w:pPr>
        <w:spacing w:after="0" w:line="55" w:lineRule="exact"/>
        <w:rPr>
          <w:sz w:val="20"/>
          <w:szCs w:val="20"/>
          <w:color w:val="auto"/>
        </w:rPr>
      </w:pPr>
    </w:p>
    <w:p>
      <w:pPr>
        <w:ind w:left="1300" w:right="5340" w:hanging="1274"/>
        <w:spacing w:after="0" w:line="282" w:lineRule="auto"/>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 page from the Registrant’s Annual Report on Form 10-K for the year ended January 31, 2025, has been formatted in Inline XBRL</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71" w:lineRule="exact"/>
        <w:rPr>
          <w:sz w:val="20"/>
          <w:szCs w:val="20"/>
          <w:color w:val="auto"/>
        </w:rPr>
      </w:pPr>
    </w:p>
    <w:p>
      <w:pPr>
        <w:jc w:val="both"/>
        <w:ind w:firstLine="332"/>
        <w:spacing w:after="0" w:line="266" w:lineRule="auto"/>
        <w:tabs>
          <w:tab w:leader="none" w:pos="4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are not deemed filed with the SEC and are not to be incorporated by reference into any filing of the Registrant under the Securities Act of 1933, as amended, or the Exchange Act, whether made before or after the date of this Annual Report on Form 10-K.</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Dustin Moskovitz</w:t>
      </w:r>
    </w:p>
    <w:p>
      <w:pPr>
        <w:spacing w:after="0" w:line="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Dustin Moskovitz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Sonalee Parekh</w:t>
      </w:r>
    </w:p>
    <w:p>
      <w:pPr>
        <w:spacing w:after="0" w:line="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18"/>
          <w:szCs w:val="18"/>
          <w:color w:val="auto"/>
        </w:rPr>
        <w:t>March 18, 2025</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4445</wp:posOffset>
            </wp:positionV>
            <wp:extent cx="3351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Sonalee Parekh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Dustin Moskovitz, Sonalee Parekh, and Eleanor Lacey,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 the capacities and on the dates indicated:</w:t>
      </w:r>
    </w:p>
    <w:p>
      <w:pPr>
        <w:sectPr>
          <w:pgSz w:w="11900" w:h="16838" w:orient="portrait"/>
          <w:cols w:equalWidth="0" w:num="1">
            <w:col w:w="11240"/>
          </w:cols>
          <w:pgMar w:left="320" w:top="1440" w:right="339" w:bottom="1440" w:gutter="0" w:footer="0" w:header="0"/>
        </w:sectPr>
      </w:pP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Dustin Moskovitz</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Sonalee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Sonalee Parekh</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 Krista Anderson-Copperman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517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Krista Anderson-Copperman</w:t>
      </w:r>
    </w:p>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Sydney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Sydney Carey</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Matthew Cohler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Matthew Cohler</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Adam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Adam D’Angelo</w:t>
      </w:r>
    </w:p>
    <w:p>
      <w:pPr>
        <w:spacing w:after="0" w:line="1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Andrew Lindsay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Andrew Lindsay</w:t>
      </w:r>
    </w:p>
    <w:p>
      <w:pPr>
        <w:spacing w:after="0" w:line="1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Lorrie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Lorrie Norrington</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 Justin Rosenstein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517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Justin Rosenstein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0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President, Chief Executive Officer, and Chair</w:t>
      </w:r>
    </w:p>
    <w:p>
      <w:pPr>
        <w:jc w:val="center"/>
        <w:ind w:right="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76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31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18, 2025</w:t>
      </w:r>
    </w:p>
    <w:p>
      <w:pPr>
        <w:spacing w:after="0" w:line="346" w:lineRule="exact"/>
        <w:rPr>
          <w:sz w:val="20"/>
          <w:szCs w:val="20"/>
          <w:color w:val="auto"/>
        </w:rPr>
      </w:pPr>
    </w:p>
    <w:p>
      <w:pPr>
        <w:sectPr>
          <w:pgSz w:w="11900" w:h="16838" w:orient="portrait"/>
          <w:cols w:equalWidth="0" w:num="3">
            <w:col w:w="3940" w:space="720"/>
            <w:col w:w="4040" w:space="720"/>
            <w:col w:w="18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RSU Award Grant Notice</w:t>
      </w:r>
    </w:p>
    <w:p>
      <w:pPr>
        <w:spacing w:after="0" w:line="3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Asana,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to you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the number of restricted stock units specified and on the terms set forth below in consideration of your services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xml:space="preserve">). Your RSU Award is subject to all of the terms and conditions as set forth herein and in the Company’s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Award Agreement including, if you are resident, subject to tax, or work outside the U.S., the general non-US terms and any special terms and conditions for your country, each set out in the attached appendix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-13970</wp:posOffset>
            </wp:positionV>
            <wp:extent cx="5486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-13970</wp:posOffset>
            </wp:positionV>
            <wp:extent cx="5486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-13970</wp:posOffset>
            </wp:positionV>
            <wp:extent cx="5486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296545</wp:posOffset>
            </wp:positionV>
            <wp:extent cx="54864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60" w:firstLine="504"/>
        <w:spacing w:after="0" w:line="271" w:lineRule="auto"/>
        <w:rPr>
          <w:sz w:val="20"/>
          <w:szCs w:val="20"/>
          <w:color w:val="auto"/>
        </w:rPr>
      </w:pPr>
      <w:r>
        <w:rPr>
          <w:rFonts w:ascii="Times New Roman" w:cs="Times New Roman" w:eastAsia="Times New Roman" w:hAnsi="Times New Roman"/>
          <w:sz w:val="22"/>
          <w:szCs w:val="22"/>
          <w:color w:val="auto"/>
        </w:rPr>
        <w:t>Notwithstanding the foregoing, vesting shall terminate upon the Participant’s termination of Continuous Service except as set forth below.</w:t>
      </w:r>
    </w:p>
    <w:p>
      <w:pPr>
        <w:spacing w:after="0" w:line="397" w:lineRule="exact"/>
        <w:rPr>
          <w:sz w:val="20"/>
          <w:szCs w:val="20"/>
          <w:color w:val="auto"/>
        </w:rPr>
      </w:pPr>
    </w:p>
    <w:p>
      <w:pPr>
        <w:jc w:val="both"/>
        <w:ind w:left="2380" w:hanging="2366"/>
        <w:spacing w:after="0" w:line="257" w:lineRule="auto"/>
        <w:tabs>
          <w:tab w:leader="none" w:pos="2360" w:val="left"/>
        </w:tabs>
        <w:rPr>
          <w:sz w:val="20"/>
          <w:szCs w:val="20"/>
          <w:color w:val="auto"/>
        </w:rPr>
      </w:pPr>
      <w:r>
        <w:rPr>
          <w:rFonts w:ascii="Times New Roman" w:cs="Times New Roman" w:eastAsia="Times New Roman" w:hAnsi="Times New Roman"/>
          <w:sz w:val="22"/>
          <w:szCs w:val="22"/>
          <w:b w:val="1"/>
          <w:bCs w:val="1"/>
          <w:color w:val="auto"/>
        </w:rPr>
        <w:t>Vesting Acceleration:</w:t>
      </w:r>
      <w:r>
        <w:rPr>
          <w:sz w:val="20"/>
          <w:szCs w:val="20"/>
          <w:color w:val="auto"/>
        </w:rPr>
        <w:tab/>
      </w:r>
      <w:r>
        <w:rPr>
          <w:rFonts w:ascii="Times New Roman" w:cs="Times New Roman" w:eastAsia="Times New Roman" w:hAnsi="Times New Roman"/>
          <w:sz w:val="22"/>
          <w:szCs w:val="22"/>
          <w:color w:val="auto"/>
        </w:rPr>
        <w:t>If the Participant’s Continuous Service is terminated due to the Participant’s death or Disability, then one hundred percent (100%) of the remaining unvested shares subject to the RSU Award shall immediately vest on the Participant’s termination date.</w:t>
      </w:r>
    </w:p>
    <w:p>
      <w:pPr>
        <w:spacing w:after="0" w:line="65" w:lineRule="exact"/>
        <w:rPr>
          <w:sz w:val="20"/>
          <w:szCs w:val="20"/>
          <w:color w:val="auto"/>
        </w:rPr>
      </w:pPr>
    </w:p>
    <w:p>
      <w:pPr>
        <w:jc w:val="both"/>
        <w:ind w:left="2160" w:hanging="2366"/>
        <w:spacing w:after="0" w:line="284" w:lineRule="auto"/>
        <w:tabs>
          <w:tab w:leader="none" w:pos="2140"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One (1) share of Common Stock will be issued for each restricted stock unit which vests at the time set forth in Section 5 of the Agreement.</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2" w:lineRule="exact"/>
        <w:rPr>
          <w:sz w:val="20"/>
          <w:szCs w:val="20"/>
          <w:color w:val="auto"/>
        </w:rPr>
      </w:pPr>
    </w:p>
    <w:p>
      <w:pPr>
        <w:ind w:left="160"/>
        <w:spacing w:after="0"/>
        <w:tabs>
          <w:tab w:leader="none" w:pos="2320" w:val="left"/>
        </w:tabs>
        <w:rPr>
          <w:sz w:val="20"/>
          <w:szCs w:val="20"/>
          <w:color w:val="auto"/>
        </w:rPr>
      </w:pPr>
      <w:r>
        <w:rPr>
          <w:rFonts w:ascii="Times New Roman" w:cs="Times New Roman" w:eastAsia="Times New Roman" w:hAnsi="Times New Roman"/>
          <w:sz w:val="22"/>
          <w:szCs w:val="22"/>
          <w:b w:val="1"/>
          <w:bCs w:val="1"/>
          <w:color w:val="auto"/>
        </w:rPr>
        <w:t>Acknowledgements:</w:t>
      </w:r>
      <w:r>
        <w:rPr>
          <w:sz w:val="20"/>
          <w:szCs w:val="20"/>
          <w:color w:val="auto"/>
        </w:rPr>
        <w:tab/>
      </w:r>
      <w:r>
        <w:rPr>
          <w:rFonts w:ascii="Times New Roman" w:cs="Times New Roman" w:eastAsia="Times New Roman" w:hAnsi="Times New Roman"/>
          <w:sz w:val="22"/>
          <w:szCs w:val="22"/>
          <w:color w:val="auto"/>
        </w:rPr>
        <w:t>By your signature below or by electronic acceptance or authentication in a form authorized by the</w:t>
      </w:r>
    </w:p>
    <w:p>
      <w:pPr>
        <w:spacing w:after="0" w:line="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Company, you understand and agree that:</w:t>
      </w:r>
    </w:p>
    <w:p>
      <w:pPr>
        <w:sectPr>
          <w:pgSz w:w="11900" w:h="16838" w:orient="portrait"/>
          <w:cols w:equalWidth="0" w:num="1">
            <w:col w:w="11240"/>
          </w:cols>
          <w:pgMar w:left="320" w:top="585"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509" w:hanging="509"/>
        <w:spacing w:after="0" w:line="258" w:lineRule="auto"/>
        <w:tabs>
          <w:tab w:leader="none" w:pos="4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governed by this RSU Award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pacing w:after="0" w:line="65" w:lineRule="exact"/>
        <w:rPr>
          <w:rFonts w:ascii="Times New Roman" w:cs="Times New Roman" w:eastAsia="Times New Roman" w:hAnsi="Times New Roman"/>
          <w:sz w:val="22"/>
          <w:szCs w:val="22"/>
          <w:color w:val="auto"/>
        </w:rPr>
      </w:pPr>
    </w:p>
    <w:p>
      <w:pPr>
        <w:jc w:val="both"/>
        <w:ind w:left="509" w:hanging="509"/>
        <w:spacing w:after="0" w:line="252" w:lineRule="auto"/>
        <w:tabs>
          <w:tab w:leader="none" w:pos="4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RSU Award Agreement and the Prospectus. A copy of the Plan and the Prospectus can be found in the “company documents” section of your E*TRADE account. In the event of any conflict between the provisions in the RSU Award Agreement, or the Prospectus and the terms of the Plan, the terms of the Plan shall control.</w:t>
      </w:r>
    </w:p>
    <w:p>
      <w:pPr>
        <w:spacing w:after="0" w:line="84" w:lineRule="exact"/>
        <w:rPr>
          <w:rFonts w:ascii="Times New Roman" w:cs="Times New Roman" w:eastAsia="Times New Roman" w:hAnsi="Times New Roman"/>
          <w:sz w:val="22"/>
          <w:szCs w:val="22"/>
          <w:color w:val="auto"/>
        </w:rPr>
      </w:pPr>
    </w:p>
    <w:p>
      <w:pPr>
        <w:jc w:val="both"/>
        <w:ind w:left="509" w:hanging="509"/>
        <w:spacing w:after="0" w:line="250" w:lineRule="auto"/>
        <w:tabs>
          <w:tab w:leader="none" w:pos="4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089"/>
          </w:cols>
          <w:pgMar w:left="471" w:top="585"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9"/>
          <w:szCs w:val="19"/>
          <w:b w:val="1"/>
          <w:bCs w:val="1"/>
          <w:color w:val="auto"/>
        </w:rPr>
        <w:t>Exhibit 10.9</w:t>
      </w:r>
    </w:p>
    <w:p>
      <w:pPr>
        <w:sectPr>
          <w:pgSz w:w="11900" w:h="16838" w:orient="portrait"/>
          <w:cols w:equalWidth="0" w:num="1">
            <w:col w:w="11240"/>
          </w:cols>
          <w:pgMar w:left="320" w:top="5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ASANA,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211" w:lineRule="exact"/>
        <w:rPr>
          <w:sz w:val="20"/>
          <w:szCs w:val="20"/>
          <w:color w:val="auto"/>
        </w:rPr>
      </w:pPr>
    </w:p>
    <w:p>
      <w:pPr>
        <w:sectPr>
          <w:pgSz w:w="11900" w:h="16838" w:orient="portrait"/>
          <w:cols w:equalWidth="0" w:num="2">
            <w:col w:w="4160" w:space="720"/>
            <w:col w:w="6360"/>
          </w:cols>
          <w:pgMar w:left="320" w:top="5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2"/>
                <w:szCs w:val="22"/>
                <w:color w:val="auto"/>
              </w:rPr>
            </w:pPr>
          </w:p>
        </w:tc>
        <w:tc>
          <w:tcPr>
            <w:tcW w:w="320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gridSpan w:val="2"/>
          </w:tcPr>
          <w:p>
            <w:pPr>
              <w:spacing w:after="0"/>
              <w:rPr>
                <w:sz w:val="22"/>
                <w:szCs w:val="22"/>
                <w:color w:val="auto"/>
              </w:rPr>
            </w:pPr>
          </w:p>
        </w:tc>
        <w:tc>
          <w:tcPr>
            <w:tcW w:w="13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4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2760" w:type="dxa"/>
            <w:vAlign w:val="bottom"/>
            <w:gridSpan w:val="6"/>
          </w:tcPr>
          <w:p>
            <w:pPr>
              <w:ind w:left="640"/>
              <w:spacing w:after="0"/>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283"/>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Name: Eleanor Lacey</w:t>
            </w:r>
          </w:p>
        </w:tc>
        <w:tc>
          <w:tcPr>
            <w:tcW w:w="2760" w:type="dxa"/>
            <w:vAlign w:val="bottom"/>
            <w:gridSpan w:val="6"/>
            <w:vMerge w:val="restart"/>
          </w:tcPr>
          <w:p>
            <w:pPr>
              <w:ind w:left="640"/>
              <w:spacing w:after="0"/>
              <w:rPr>
                <w:sz w:val="20"/>
                <w:szCs w:val="20"/>
                <w:color w:val="auto"/>
              </w:rPr>
            </w:pPr>
            <w:r>
              <w:rPr>
                <w:rFonts w:ascii="Times New Roman" w:cs="Times New Roman" w:eastAsia="Times New Roman" w:hAnsi="Times New Roman"/>
                <w:sz w:val="22"/>
                <w:szCs w:val="22"/>
                <w:color w:val="auto"/>
              </w:rPr>
              <w:t>Address:</w:t>
            </w: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Title:  General Counsel and Secretary</w:t>
            </w:r>
          </w:p>
        </w:tc>
        <w:tc>
          <w:tcPr>
            <w:tcW w:w="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Attachments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RSU Award Agreement (including the Appendix), 2020 Equity Incentive Plan</w:t>
      </w:r>
    </w:p>
    <w:p>
      <w:pPr>
        <w:sectPr>
          <w:pgSz w:w="11900" w:h="16838" w:orient="portrait"/>
          <w:cols w:equalWidth="0" w:num="1">
            <w:col w:w="11240"/>
          </w:cols>
          <w:pgMar w:left="320" w:top="585" w:right="33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 Award Agreement (RSU Award)</w:t>
      </w:r>
    </w:p>
    <w:p>
      <w:pPr>
        <w:spacing w:after="0" w:line="200" w:lineRule="exact"/>
        <w:rPr>
          <w:sz w:val="20"/>
          <w:szCs w:val="20"/>
          <w:color w:val="auto"/>
        </w:rPr>
      </w:pPr>
    </w:p>
    <w:p>
      <w:pPr>
        <w:spacing w:after="0" w:line="382" w:lineRule="exact"/>
        <w:rPr>
          <w:sz w:val="20"/>
          <w:szCs w:val="20"/>
          <w:color w:val="auto"/>
        </w:rPr>
      </w:pPr>
    </w:p>
    <w:p>
      <w:pPr>
        <w:jc w:val="both"/>
        <w:ind w:left="160" w:firstLine="648"/>
        <w:spacing w:after="0" w:line="251" w:lineRule="auto"/>
        <w:rPr>
          <w:sz w:val="20"/>
          <w:szCs w:val="20"/>
          <w:color w:val="auto"/>
        </w:rPr>
      </w:pPr>
      <w:r>
        <w:rPr>
          <w:rFonts w:ascii="Times New Roman" w:cs="Times New Roman" w:eastAsia="Times New Roman" w:hAnsi="Times New Roman"/>
          <w:sz w:val="22"/>
          <w:szCs w:val="22"/>
          <w:color w:val="auto"/>
        </w:rPr>
        <w:t>As reflected by your RSU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Asana,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your RSU Award as specified in this Award Agreement for your RSU Award including, if you are resident, subject to tax, or engaged outside the U.S., the general non-US terms and any special terms and conditions for your country, each set out in the attached appendix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general terms applicable to your RSU Award are as follows:</w:t>
      </w:r>
    </w:p>
    <w:p>
      <w:pPr>
        <w:spacing w:after="0" w:line="108" w:lineRule="exact"/>
        <w:rPr>
          <w:sz w:val="20"/>
          <w:szCs w:val="20"/>
          <w:color w:val="auto"/>
        </w:rPr>
      </w:pPr>
    </w:p>
    <w:p>
      <w:pPr>
        <w:ind w:left="160" w:firstLine="640"/>
        <w:spacing w:after="0" w:line="287" w:lineRule="auto"/>
        <w:tabs>
          <w:tab w:leader="none" w:pos="1308"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Plan Document. </w:t>
      </w:r>
      <w:r>
        <w:rPr>
          <w:rFonts w:ascii="Times New Roman" w:cs="Times New Roman" w:eastAsia="Times New Roman" w:hAnsi="Times New Roman"/>
          <w:sz w:val="22"/>
          <w:szCs w:val="22"/>
          <w:color w:val="auto"/>
        </w:rPr>
        <w:t>Your RSU Award is subject to all the provisions of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the provisions in:</w:t>
      </w:r>
    </w:p>
    <w:p>
      <w:pPr>
        <w:spacing w:after="0" w:line="33" w:lineRule="exact"/>
        <w:rPr>
          <w:rFonts w:ascii="Times New Roman" w:cs="Times New Roman" w:eastAsia="Times New Roman" w:hAnsi="Times New Roman"/>
          <w:sz w:val="22"/>
          <w:szCs w:val="22"/>
          <w:b w:val="1"/>
          <w:bCs w:val="1"/>
          <w:color w:val="auto"/>
        </w:rPr>
      </w:pPr>
    </w:p>
    <w:p>
      <w:pPr>
        <w:ind w:left="160" w:firstLine="1288"/>
        <w:spacing w:after="0" w:line="271" w:lineRule="auto"/>
        <w:tabs>
          <w:tab w:leader="none" w:pos="1951"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RSU Award;</w:t>
      </w:r>
    </w:p>
    <w:p>
      <w:pPr>
        <w:spacing w:after="0" w:line="49" w:lineRule="exact"/>
        <w:rPr>
          <w:rFonts w:ascii="Times New Roman" w:cs="Times New Roman" w:eastAsia="Times New Roman" w:hAnsi="Times New Roman"/>
          <w:sz w:val="22"/>
          <w:szCs w:val="22"/>
          <w:b w:val="1"/>
          <w:bCs w:val="1"/>
          <w:color w:val="auto"/>
        </w:rPr>
      </w:pPr>
    </w:p>
    <w:p>
      <w:pPr>
        <w:ind w:left="160" w:firstLine="1288"/>
        <w:spacing w:after="0" w:line="271" w:lineRule="auto"/>
        <w:tabs>
          <w:tab w:leader="none" w:pos="1949"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of the Plan regarding the Company’s retained rights to terminate your Continuous Service notwithstanding the grant of the RSU Award; and</w:t>
      </w:r>
    </w:p>
    <w:p>
      <w:pPr>
        <w:spacing w:after="0" w:line="63" w:lineRule="exact"/>
        <w:rPr>
          <w:rFonts w:ascii="Times New Roman" w:cs="Times New Roman" w:eastAsia="Times New Roman" w:hAnsi="Times New Roman"/>
          <w:sz w:val="22"/>
          <w:szCs w:val="22"/>
          <w:b w:val="1"/>
          <w:bCs w:val="1"/>
          <w:color w:val="auto"/>
        </w:rPr>
      </w:pPr>
    </w:p>
    <w:p>
      <w:pPr>
        <w:ind w:left="2100" w:hanging="651"/>
        <w:spacing w:after="0"/>
        <w:tabs>
          <w:tab w:leader="none" w:pos="210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8(c) of the Plan regarding the tax consequences of your RSU Award.</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61" w:lineRule="exact"/>
        <w:rPr>
          <w:sz w:val="20"/>
          <w:szCs w:val="20"/>
          <w:color w:val="auto"/>
        </w:rPr>
      </w:pPr>
    </w:p>
    <w:p>
      <w:pPr>
        <w:jc w:val="both"/>
        <w:ind w:left="160" w:firstLine="640"/>
        <w:spacing w:after="0" w:line="250" w:lineRule="auto"/>
        <w:tabs>
          <w:tab w:leader="none" w:pos="130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Grant of the RSU Award. </w:t>
      </w:r>
      <w:r>
        <w:rPr>
          <w:rFonts w:ascii="Times New Roman" w:cs="Times New Roman" w:eastAsia="Times New Roman" w:hAnsi="Times New Roman"/>
          <w:sz w:val="22"/>
          <w:szCs w:val="22"/>
          <w:color w:val="auto"/>
        </w:rPr>
        <w:t>This 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85" w:lineRule="exact"/>
        <w:rPr>
          <w:rFonts w:ascii="Times New Roman" w:cs="Times New Roman" w:eastAsia="Times New Roman" w:hAnsi="Times New Roman"/>
          <w:sz w:val="22"/>
          <w:szCs w:val="22"/>
          <w:b w:val="1"/>
          <w:bCs w:val="1"/>
          <w:color w:val="auto"/>
        </w:rPr>
      </w:pPr>
    </w:p>
    <w:p>
      <w:pPr>
        <w:jc w:val="both"/>
        <w:ind w:left="160" w:firstLine="640"/>
        <w:spacing w:after="0" w:line="253" w:lineRule="auto"/>
        <w:tabs>
          <w:tab w:leader="none" w:pos="130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You shall receive no benefit or adjustment to your RSU Award with respect to any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ectPr>
          <w:pgSz w:w="11900" w:h="16838" w:orient="portrait"/>
          <w:cols w:equalWidth="0" w:num="1">
            <w:col w:w="11240"/>
          </w:cols>
          <w:pgMar w:left="320" w:top="58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640"/>
        <w:spacing w:after="0" w:line="266" w:lineRule="auto"/>
        <w:tabs>
          <w:tab w:leader="none" w:pos="1148"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Obligations. </w:t>
      </w:r>
      <w:r>
        <w:rPr>
          <w:rFonts w:ascii="Times New Roman" w:cs="Times New Roman" w:eastAsia="Times New Roman" w:hAnsi="Times New Roman"/>
          <w:sz w:val="21"/>
          <w:szCs w:val="21"/>
          <w:color w:val="auto"/>
        </w:rPr>
        <w:t>As further provided in Section 8 of the Plan, you hereby authorize withholding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payroll and any other amounts payable to you, and otherwise agree to make adequate provision for, any sums required to satisfy the federal, state, local and foreign tax and/or social security withholding obligations, if any, which arise in connection with your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in accordance with the withholding procedures established by the Company. Unless the Withholding Taxes are satisfied, the Company shall have no obligation to deliver to you any Common Stock in respect of the RSU Award. In the event the obligation of the Company or its Affiliate with respect to Withholding Taxes</w:t>
      </w:r>
    </w:p>
    <w:p>
      <w:pPr>
        <w:spacing w:after="0" w:line="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Withholding Obligation</w:t>
      </w:r>
      <w:r>
        <w:rPr>
          <w:rFonts w:ascii="Times New Roman" w:cs="Times New Roman" w:eastAsia="Times New Roman" w:hAnsi="Times New Roman"/>
          <w:sz w:val="22"/>
          <w:szCs w:val="22"/>
          <w:color w:val="auto"/>
        </w:rPr>
        <w:t>”) arises prior to the delivery to you of Common Stock or it is determined after the delivery of Common Stock to you that the amount of the Withholding Taxes was greater than the amount withheld by the Company and/or its Affiliate (as applicable), you agree to indemnify and hold the Company and/or its Affiliate (as applicable) harmless from any failure by the Company to withhold the proper amount.</w:t>
      </w:r>
    </w:p>
    <w:p>
      <w:pPr>
        <w:spacing w:after="0" w:line="62" w:lineRule="exact"/>
        <w:rPr>
          <w:sz w:val="20"/>
          <w:szCs w:val="20"/>
          <w:color w:val="auto"/>
        </w:rPr>
      </w:pPr>
    </w:p>
    <w:p>
      <w:pPr>
        <w:ind w:left="1140" w:hanging="500"/>
        <w:spacing w:after="0"/>
        <w:tabs>
          <w:tab w:leader="none" w:pos="11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Date of Issuance.</w:t>
      </w:r>
    </w:p>
    <w:p>
      <w:pPr>
        <w:spacing w:after="0" w:line="115" w:lineRule="exact"/>
        <w:rPr>
          <w:rFonts w:ascii="Times New Roman" w:cs="Times New Roman" w:eastAsia="Times New Roman" w:hAnsi="Times New Roman"/>
          <w:sz w:val="22"/>
          <w:szCs w:val="22"/>
          <w:b w:val="1"/>
          <w:bCs w:val="1"/>
          <w:color w:val="auto"/>
        </w:rPr>
      </w:pPr>
    </w:p>
    <w:p>
      <w:pPr>
        <w:jc w:val="both"/>
        <w:ind w:firstLine="1288"/>
        <w:spacing w:after="0" w:line="253" w:lineRule="auto"/>
        <w:tabs>
          <w:tab w:leader="none" w:pos="1791"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in accordance with the Issuance Schedule on the Grant Notice, one (1) share of Common Stock for each vested Restricted Stock Unit. Each issuance date determined by this paragraph is referred to as an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b w:val="1"/>
          <w:bCs w:val="1"/>
          <w:color w:val="auto"/>
        </w:rPr>
      </w:pPr>
    </w:p>
    <w:p>
      <w:pPr>
        <w:ind w:firstLine="1288"/>
        <w:spacing w:after="0" w:line="271" w:lineRule="auto"/>
        <w:tabs>
          <w:tab w:leader="none" w:pos="1789"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49" w:lineRule="exact"/>
        <w:rPr>
          <w:rFonts w:ascii="Times New Roman" w:cs="Times New Roman" w:eastAsia="Times New Roman" w:hAnsi="Times New Roman"/>
          <w:sz w:val="22"/>
          <w:szCs w:val="22"/>
          <w:b w:val="1"/>
          <w:bCs w:val="1"/>
          <w:color w:val="auto"/>
        </w:rPr>
      </w:pPr>
    </w:p>
    <w:p>
      <w:pPr>
        <w:jc w:val="both"/>
        <w:ind w:firstLine="1937"/>
        <w:spacing w:after="0" w:line="268" w:lineRule="auto"/>
        <w:tabs>
          <w:tab w:leader="none" w:pos="2446" w:val="left"/>
        </w:tabs>
        <w:numPr>
          <w:ilvl w:val="2"/>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1"/>
          <w:szCs w:val="21"/>
          <w:b w:val="1"/>
          <w:bCs w:val="1"/>
          <w:i w:val="1"/>
          <w:iCs w:val="1"/>
          <w:color w:val="auto"/>
        </w:rPr>
        <w:t>10b5-1 Arrangement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w:t>
      </w:r>
    </w:p>
    <w:p>
      <w:pPr>
        <w:spacing w:after="0" w:line="55" w:lineRule="exact"/>
        <w:rPr>
          <w:rFonts w:ascii="Times New Roman" w:cs="Times New Roman" w:eastAsia="Times New Roman" w:hAnsi="Times New Roman"/>
          <w:sz w:val="21"/>
          <w:szCs w:val="21"/>
          <w:b w:val="1"/>
          <w:bCs w:val="1"/>
          <w:color w:val="auto"/>
        </w:rPr>
      </w:pPr>
    </w:p>
    <w:p>
      <w:pPr>
        <w:jc w:val="both"/>
        <w:ind w:firstLine="1937"/>
        <w:spacing w:after="0" w:line="253" w:lineRule="auto"/>
        <w:tabs>
          <w:tab w:leader="none" w:pos="2438" w:val="left"/>
        </w:tabs>
        <w:numPr>
          <w:ilvl w:val="2"/>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71" w:lineRule="exact"/>
        <w:rPr>
          <w:sz w:val="20"/>
          <w:szCs w:val="20"/>
          <w:color w:val="auto"/>
        </w:rPr>
      </w:pPr>
    </w:p>
    <w:p>
      <w:pPr>
        <w:jc w:val="both"/>
        <w:ind w:firstLine="1945"/>
        <w:spacing w:after="0" w:line="251" w:lineRule="auto"/>
        <w:rPr>
          <w:sz w:val="20"/>
          <w:szCs w:val="20"/>
          <w:color w:val="auto"/>
        </w:rPr>
      </w:pPr>
      <w:r>
        <w:rPr>
          <w:rFonts w:ascii="Times New Roman" w:cs="Times New Roman" w:eastAsia="Times New Roman" w:hAnsi="Times New Roman"/>
          <w:sz w:val="22"/>
          <w:szCs w:val="22"/>
          <w:u w:val="single" w:color="auto"/>
          <w:color w:val="auto"/>
        </w:rPr>
        <w:t>then</w:t>
      </w:r>
      <w:r>
        <w:rPr>
          <w:rFonts w:ascii="Times New Roman" w:cs="Times New Roman" w:eastAsia="Times New Roman" w:hAnsi="Times New Roman"/>
          <w:sz w:val="22"/>
          <w:szCs w:val="2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2"/>
          <w:szCs w:val="22"/>
          <w:u w:val="single" w:color="auto"/>
          <w:color w:val="auto"/>
        </w:rPr>
        <w:t>if and only if</w:t>
      </w:r>
      <w:r>
        <w:rPr>
          <w:rFonts w:ascii="Times New Roman" w:cs="Times New Roman" w:eastAsia="Times New Roman" w:hAnsi="Times New Roman"/>
          <w:sz w:val="22"/>
          <w:szCs w:val="22"/>
          <w:color w:val="auto"/>
        </w:rPr>
        <w:t xml:space="preserve"> permitted in a manner that complies with Treasury Regulations Section 1.409A-1(b)(4), no later than the date that is the 15th day of the third calendar month of the applicable</w:t>
      </w:r>
    </w:p>
    <w:p>
      <w:pPr>
        <w:sectPr>
          <w:pgSz w:w="11900" w:h="16838" w:orient="portrait"/>
          <w:cols w:equalWidth="0" w:num="1">
            <w:col w:w="11080"/>
          </w:cols>
          <w:pgMar w:left="480" w:top="585"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year following the year in which the shares of Common Stock under this Award are no longer subject to a “substantial risk of forfeiture” within the meaning of Treasury Regulations Section 1.409A-1(d).</w:t>
      </w:r>
    </w:p>
    <w:p>
      <w:pPr>
        <w:spacing w:after="0" w:line="46" w:lineRule="exact"/>
        <w:rPr>
          <w:sz w:val="20"/>
          <w:szCs w:val="20"/>
          <w:color w:val="auto"/>
        </w:rPr>
      </w:pPr>
    </w:p>
    <w:p>
      <w:pPr>
        <w:ind w:firstLine="640"/>
        <w:spacing w:after="0" w:line="287"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Except as otherwise provided in the Plan, your RSU Award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laws of descent and distribution</w:t>
      </w:r>
    </w:p>
    <w:p>
      <w:pPr>
        <w:spacing w:after="0" w:line="29" w:lineRule="exact"/>
        <w:rPr>
          <w:rFonts w:ascii="Times New Roman" w:cs="Times New Roman" w:eastAsia="Times New Roman" w:hAnsi="Times New Roman"/>
          <w:sz w:val="22"/>
          <w:szCs w:val="22"/>
          <w:b w:val="1"/>
          <w:bCs w:val="1"/>
          <w:color w:val="auto"/>
        </w:rPr>
      </w:pPr>
    </w:p>
    <w:p>
      <w:pPr>
        <w:jc w:val="both"/>
        <w:ind w:right="20" w:firstLine="640"/>
        <w:spacing w:after="0" w:line="277" w:lineRule="auto"/>
        <w:tabs>
          <w:tab w:leader="none" w:pos="1148"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RSU Award is subject to the terms of any agreement governing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41" w:lineRule="exact"/>
        <w:rPr>
          <w:rFonts w:ascii="Times New Roman" w:cs="Times New Roman" w:eastAsia="Times New Roman" w:hAnsi="Times New Roman"/>
          <w:sz w:val="21"/>
          <w:szCs w:val="21"/>
          <w:b w:val="1"/>
          <w:bCs w:val="1"/>
          <w:color w:val="auto"/>
        </w:rPr>
      </w:pPr>
    </w:p>
    <w:p>
      <w:pPr>
        <w:jc w:val="both"/>
        <w:ind w:firstLine="640"/>
        <w:spacing w:after="0" w:line="254"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for 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65" w:lineRule="exact"/>
        <w:rPr>
          <w:rFonts w:ascii="Times New Roman" w:cs="Times New Roman" w:eastAsia="Times New Roman" w:hAnsi="Times New Roman"/>
          <w:sz w:val="22"/>
          <w:szCs w:val="22"/>
          <w:b w:val="1"/>
          <w:bCs w:val="1"/>
          <w:color w:val="auto"/>
        </w:rPr>
      </w:pPr>
    </w:p>
    <w:p>
      <w:pPr>
        <w:jc w:val="both"/>
        <w:ind w:firstLine="640"/>
        <w:spacing w:after="0" w:line="254"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5" w:lineRule="exact"/>
        <w:rPr>
          <w:rFonts w:ascii="Times New Roman" w:cs="Times New Roman" w:eastAsia="Times New Roman" w:hAnsi="Times New Roman"/>
          <w:sz w:val="22"/>
          <w:szCs w:val="22"/>
          <w:b w:val="1"/>
          <w:bCs w:val="1"/>
          <w:color w:val="auto"/>
        </w:rPr>
      </w:pPr>
    </w:p>
    <w:p>
      <w:pPr>
        <w:jc w:val="both"/>
        <w:ind w:firstLine="640"/>
        <w:spacing w:after="0" w:line="265"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Documents. </w:t>
      </w:r>
      <w:r>
        <w:rPr>
          <w:rFonts w:ascii="Times New Roman" w:cs="Times New Roman" w:eastAsia="Times New Roman" w:hAnsi="Times New Roman"/>
          <w:sz w:val="22"/>
          <w:szCs w:val="22"/>
          <w:color w:val="auto"/>
        </w:rPr>
        <w:t>You hereby acknowledge receipt of or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Prospectus. In addition, you acknowledge receipt of the Company’s Trading Policy.</w:t>
      </w:r>
    </w:p>
    <w:p>
      <w:pPr>
        <w:spacing w:after="0" w:line="53" w:lineRule="exact"/>
        <w:rPr>
          <w:rFonts w:ascii="Times New Roman" w:cs="Times New Roman" w:eastAsia="Times New Roman" w:hAnsi="Times New Roman"/>
          <w:sz w:val="22"/>
          <w:szCs w:val="22"/>
          <w:b w:val="1"/>
          <w:bCs w:val="1"/>
          <w:color w:val="auto"/>
        </w:rPr>
      </w:pPr>
    </w:p>
    <w:p>
      <w:pPr>
        <w:ind w:firstLine="640"/>
        <w:spacing w:after="0" w:line="275" w:lineRule="auto"/>
        <w:tabs>
          <w:tab w:leader="none" w:pos="113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The interpretation, performance and enforcement of this RSU Award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Delaware without regard to that state’s conflicts of laws rules.</w:t>
      </w:r>
    </w:p>
    <w:p>
      <w:pPr>
        <w:spacing w:after="0" w:line="41" w:lineRule="exact"/>
        <w:rPr>
          <w:rFonts w:ascii="Times New Roman" w:cs="Times New Roman" w:eastAsia="Times New Roman" w:hAnsi="Times New Roman"/>
          <w:sz w:val="22"/>
          <w:szCs w:val="22"/>
          <w:b w:val="1"/>
          <w:bCs w:val="1"/>
          <w:color w:val="auto"/>
        </w:rPr>
      </w:pPr>
    </w:p>
    <w:p>
      <w:pPr>
        <w:jc w:val="both"/>
        <w:ind w:firstLine="640"/>
        <w:spacing w:after="0" w:line="252"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Appendix. </w:t>
      </w:r>
      <w:r>
        <w:rPr>
          <w:rFonts w:ascii="Times New Roman" w:cs="Times New Roman" w:eastAsia="Times New Roman" w:hAnsi="Times New Roman"/>
          <w:sz w:val="22"/>
          <w:szCs w:val="22"/>
          <w:color w:val="auto"/>
        </w:rPr>
        <w:t>Notwithstanding any provisions in this RSU Award Agreement, if you are resident, subject to tax,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 outside the U.S., your RSU Award shall be subject to the general non-US terms and the special terms and conditions for your country set forth in the Appendix attached hereto. Moreover, if you relocate outside the U.S. and/or to one of the countries included therein, the terms and conditions for such country will apply to you to the extent the Company determines that the application of such terms and conditions is necessary or advisable for legal or administrative reasons. The Appendix constitutes part of this RSU Award Agreement.</w:t>
      </w:r>
    </w:p>
    <w:p>
      <w:pPr>
        <w:spacing w:after="0" w:line="66" w:lineRule="exact"/>
        <w:rPr>
          <w:rFonts w:ascii="Times New Roman" w:cs="Times New Roman" w:eastAsia="Times New Roman" w:hAnsi="Times New Roman"/>
          <w:sz w:val="22"/>
          <w:szCs w:val="22"/>
          <w:b w:val="1"/>
          <w:bCs w:val="1"/>
          <w:color w:val="auto"/>
        </w:rPr>
      </w:pPr>
    </w:p>
    <w:p>
      <w:pPr>
        <w:ind w:firstLine="640"/>
        <w:spacing w:after="0" w:line="275" w:lineRule="auto"/>
        <w:tabs>
          <w:tab w:leader="none" w:pos="11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Questions. </w:t>
      </w:r>
      <w:r>
        <w:rPr>
          <w:rFonts w:ascii="Times New Roman" w:cs="Times New Roman" w:eastAsia="Times New Roman" w:hAnsi="Times New Roman"/>
          <w:sz w:val="22"/>
          <w:szCs w:val="22"/>
          <w:color w:val="auto"/>
        </w:rPr>
        <w:t>If you have questions regarding these or any other terms and conditions applicable to your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a summary of the tax consequences please see the Prospectus.</w:t>
      </w:r>
    </w:p>
    <w:p>
      <w:pPr>
        <w:sectPr>
          <w:pgSz w:w="11900" w:h="16838" w:orient="portrait"/>
          <w:cols w:equalWidth="0" w:num="1">
            <w:col w:w="11080"/>
          </w:cols>
          <w:pgMar w:left="480" w:top="58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Appendix includes general terms and conditions that govern the RSU Award granted to you under the Plan if you are resident, subject to tax, or work outside the U.S. and specific terms and conditions that apply if you are resident, subject to tax or work in any country listed herein.</w:t>
      </w:r>
    </w:p>
    <w:p>
      <w:pPr>
        <w:spacing w:after="0" w:line="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your particular situation, and you are advised to seek appropriate professional advice as to how the relevant laws in your country may apply to your situation.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GENERAL NON-U.S. TERMS</w:t>
      </w:r>
    </w:p>
    <w:p>
      <w:pPr>
        <w:spacing w:after="0" w:line="112" w:lineRule="exact"/>
        <w:rPr>
          <w:sz w:val="20"/>
          <w:szCs w:val="20"/>
          <w:color w:val="auto"/>
        </w:rPr>
      </w:pPr>
    </w:p>
    <w:p>
      <w:pPr>
        <w:ind w:left="1140" w:hanging="500"/>
        <w:spacing w:after="0"/>
        <w:tabs>
          <w:tab w:leader="none" w:pos="11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t>
      </w:r>
      <w:r>
        <w:rPr>
          <w:rFonts w:ascii="Times New Roman" w:cs="Times New Roman" w:eastAsia="Times New Roman" w:hAnsi="Times New Roman"/>
          <w:sz w:val="22"/>
          <w:szCs w:val="22"/>
          <w:color w:val="auto"/>
        </w:rPr>
        <w:t>All references in the RSU Award Agreement to tax shall, to the extent applicable, include social security.</w:t>
      </w:r>
    </w:p>
    <w:p>
      <w:pPr>
        <w:spacing w:after="0" w:line="111"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Date of Issuance. </w:t>
      </w:r>
      <w:r>
        <w:rPr>
          <w:rFonts w:ascii="Times New Roman" w:cs="Times New Roman" w:eastAsia="Times New Roman" w:hAnsi="Times New Roman"/>
          <w:sz w:val="22"/>
          <w:szCs w:val="22"/>
          <w:color w:val="auto"/>
        </w:rPr>
        <w:t>Section 5 of the RSU Award Agreement (Date of Issuance) is deleted and replaced with the</w:t>
      </w:r>
    </w:p>
    <w:p>
      <w:pPr>
        <w:spacing w:after="0" w:line="3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following:</w:t>
      </w:r>
    </w:p>
    <w:p>
      <w:pPr>
        <w:spacing w:after="0" w:line="99" w:lineRule="exact"/>
        <w:rPr>
          <w:rFonts w:ascii="Times New Roman" w:cs="Times New Roman" w:eastAsia="Times New Roman" w:hAnsi="Times New Roman"/>
          <w:sz w:val="22"/>
          <w:szCs w:val="22"/>
          <w:b w:val="1"/>
          <w:bCs w:val="1"/>
          <w:color w:val="auto"/>
        </w:rPr>
      </w:pPr>
    </w:p>
    <w:p>
      <w:pPr>
        <w:jc w:val="both"/>
        <w:ind w:firstLine="1288"/>
        <w:spacing w:after="0" w:line="253" w:lineRule="auto"/>
        <w:tabs>
          <w:tab w:leader="none" w:pos="1791"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If you are subject to tax in the U.S.,</w:t>
      </w:r>
      <w:r>
        <w:rPr>
          <w:rFonts w:ascii="Times New Roman" w:cs="Times New Roman" w:eastAsia="Times New Roman" w:hAnsi="Times New Roman"/>
          <w:sz w:val="22"/>
          <w:szCs w:val="22"/>
          <w:color w:val="auto"/>
        </w:rPr>
        <w:t xml:space="preserve">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Each issuance date determined by this paragraph is referred to as an “</w:t>
      </w:r>
      <w:r>
        <w:rPr>
          <w:rFonts w:ascii="Times New Roman" w:cs="Times New Roman" w:eastAsia="Times New Roman" w:hAnsi="Times New Roman"/>
          <w:sz w:val="22"/>
          <w:szCs w:val="22"/>
          <w:b w:val="1"/>
          <w:bCs w:val="1"/>
          <w:color w:val="auto"/>
        </w:rPr>
        <w:t>Original Issuance Date</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b w:val="1"/>
          <w:bCs w:val="1"/>
          <w:color w:val="auto"/>
        </w:rPr>
      </w:pPr>
    </w:p>
    <w:p>
      <w:pPr>
        <w:ind w:firstLine="1288"/>
        <w:spacing w:after="0" w:line="271" w:lineRule="auto"/>
        <w:tabs>
          <w:tab w:leader="none" w:pos="1789"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49" w:lineRule="exact"/>
        <w:rPr>
          <w:rFonts w:ascii="Times New Roman" w:cs="Times New Roman" w:eastAsia="Times New Roman" w:hAnsi="Times New Roman"/>
          <w:sz w:val="22"/>
          <w:szCs w:val="22"/>
          <w:b w:val="1"/>
          <w:bCs w:val="1"/>
          <w:color w:val="auto"/>
        </w:rPr>
      </w:pPr>
    </w:p>
    <w:p>
      <w:pPr>
        <w:jc w:val="both"/>
        <w:ind w:firstLine="1937"/>
        <w:spacing w:after="0" w:line="248" w:lineRule="auto"/>
        <w:tabs>
          <w:tab w:leader="none" w:pos="2446"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2"/>
          <w:szCs w:val="22"/>
          <w:b w:val="1"/>
          <w:bCs w:val="1"/>
          <w:color w:val="auto"/>
        </w:rPr>
        <w:t>10b5-1 Arrangement</w:t>
      </w:r>
      <w:r>
        <w:rPr>
          <w:rFonts w:ascii="Times New Roman" w:cs="Times New Roman" w:eastAsia="Times New Roman" w:hAnsi="Times New Roman"/>
          <w:sz w:val="22"/>
          <w:szCs w:val="22"/>
          <w:color w:val="auto"/>
        </w:rPr>
        <w:t>)), and 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then the shares that would otherwise be issued to you on the Original Issuance Date will not be delivered on such Original Issuance Date and will instead be delivered on the first business day when you are not prohibited from selling shares of the</w:t>
      </w:r>
    </w:p>
    <w:p>
      <w:pPr>
        <w:sectPr>
          <w:pgSz w:w="11900" w:h="16838" w:orient="portrait"/>
          <w:cols w:equalWidth="0" w:num="1">
            <w:col w:w="11080"/>
          </w:cols>
          <w:pgMar w:left="480" w:top="585"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Company’s Common Stock in the open public market, but (if you are subject to tax in the U.S.)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69" w:lineRule="exact"/>
        <w:rPr>
          <w:sz w:val="20"/>
          <w:szCs w:val="20"/>
          <w:color w:val="auto"/>
        </w:rPr>
      </w:pPr>
    </w:p>
    <w:p>
      <w:pPr>
        <w:ind w:firstLine="640"/>
        <w:spacing w:after="0" w:line="275" w:lineRule="auto"/>
        <w:tabs>
          <w:tab w:leader="none" w:pos="11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Notwithstanding Section 6 of the RSU Award Agreement, your RSU Award is not transferable,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your personal representative on your death.</w:t>
      </w:r>
    </w:p>
    <w:p>
      <w:pPr>
        <w:spacing w:after="0" w:line="54"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not a Service Contract</w:t>
      </w:r>
      <w:r>
        <w:rPr>
          <w:rFonts w:ascii="Times New Roman" w:cs="Times New Roman" w:eastAsia="Times New Roman" w:hAnsi="Times New Roman"/>
          <w:sz w:val="22"/>
          <w:szCs w:val="22"/>
          <w:color w:val="auto"/>
        </w:rPr>
        <w:t>. By accepting your RSU Award, you acknowledge, understand and agree that:</w:t>
      </w:r>
    </w:p>
    <w:p>
      <w:pPr>
        <w:spacing w:after="0" w:line="115" w:lineRule="exact"/>
        <w:rPr>
          <w:rFonts w:ascii="Times New Roman" w:cs="Times New Roman" w:eastAsia="Times New Roman" w:hAnsi="Times New Roman"/>
          <w:sz w:val="22"/>
          <w:szCs w:val="22"/>
          <w:b w:val="1"/>
          <w:bCs w:val="1"/>
          <w:color w:val="auto"/>
        </w:rPr>
      </w:pPr>
    </w:p>
    <w:p>
      <w:pPr>
        <w:ind w:right="20" w:firstLine="1288"/>
        <w:spacing w:after="0" w:line="271" w:lineRule="auto"/>
        <w:tabs>
          <w:tab w:leader="none" w:pos="1791"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under the Plan;</w:t>
      </w:r>
    </w:p>
    <w:p>
      <w:pPr>
        <w:spacing w:after="0" w:line="49" w:lineRule="exact"/>
        <w:rPr>
          <w:rFonts w:ascii="Times New Roman" w:cs="Times New Roman" w:eastAsia="Times New Roman" w:hAnsi="Times New Roman"/>
          <w:sz w:val="22"/>
          <w:szCs w:val="22"/>
          <w:b w:val="1"/>
          <w:bCs w:val="1"/>
          <w:color w:val="auto"/>
        </w:rPr>
      </w:pPr>
    </w:p>
    <w:p>
      <w:pPr>
        <w:jc w:val="both"/>
        <w:ind w:firstLine="1288"/>
        <w:spacing w:after="0" w:line="257" w:lineRule="auto"/>
        <w:tabs>
          <w:tab w:leader="none" w:pos="1789"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 of your RSU Award is voluntary and occasional and does not create any contractual or other right to receive future grants of awards (whether on the same or different terms), or benefits in lieu of awards, even if awards have been granted in the past;</w:t>
      </w:r>
    </w:p>
    <w:p>
      <w:pPr>
        <w:spacing w:after="0" w:line="78" w:lineRule="exact"/>
        <w:rPr>
          <w:rFonts w:ascii="Times New Roman" w:cs="Times New Roman" w:eastAsia="Times New Roman" w:hAnsi="Times New Roman"/>
          <w:sz w:val="22"/>
          <w:szCs w:val="22"/>
          <w:b w:val="1"/>
          <w:bCs w:val="1"/>
          <w:color w:val="auto"/>
        </w:rPr>
      </w:pPr>
    </w:p>
    <w:p>
      <w:pPr>
        <w:jc w:val="both"/>
        <w:ind w:firstLine="1288"/>
        <w:spacing w:after="0" w:line="252" w:lineRule="auto"/>
        <w:tabs>
          <w:tab w:leader="none" w:pos="1792"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RSU Award and any shares of Common Stock acquired under the Plan, and the income and value of same, are not part of normal or expected compensation for any purpose, including, without limitation, calculating any severance, resignation, termination, redundancy, dismissal, end-of-service payments, bonuses, holiday pay, long-service awards, pension or retirement or welfare benefits or similar payments;</w:t>
      </w:r>
    </w:p>
    <w:p>
      <w:pPr>
        <w:spacing w:after="0" w:line="71" w:lineRule="exact"/>
        <w:rPr>
          <w:rFonts w:ascii="Times New Roman" w:cs="Times New Roman" w:eastAsia="Times New Roman" w:hAnsi="Times New Roman"/>
          <w:sz w:val="22"/>
          <w:szCs w:val="22"/>
          <w:b w:val="1"/>
          <w:bCs w:val="1"/>
          <w:color w:val="auto"/>
        </w:rPr>
      </w:pPr>
    </w:p>
    <w:p>
      <w:pPr>
        <w:ind w:right="20" w:firstLine="1288"/>
        <w:spacing w:after="0" w:line="284" w:lineRule="auto"/>
        <w:tabs>
          <w:tab w:leader="none" w:pos="1789"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future value of the shares of Common Stock underlying the RSU Award is unknown, indeterminable, and cannot be predicted with certainty;</w:t>
      </w:r>
    </w:p>
    <w:p>
      <w:pPr>
        <w:spacing w:after="0" w:line="35" w:lineRule="exact"/>
        <w:rPr>
          <w:rFonts w:ascii="Times New Roman" w:cs="Times New Roman" w:eastAsia="Times New Roman" w:hAnsi="Times New Roman"/>
          <w:sz w:val="22"/>
          <w:szCs w:val="22"/>
          <w:b w:val="1"/>
          <w:bCs w:val="1"/>
          <w:color w:val="auto"/>
        </w:rPr>
      </w:pPr>
    </w:p>
    <w:p>
      <w:pPr>
        <w:jc w:val="both"/>
        <w:ind w:firstLine="1288"/>
        <w:spacing w:after="0" w:line="257" w:lineRule="auto"/>
        <w:tabs>
          <w:tab w:leader="none" w:pos="1792"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your local currency and the United States Dollar that may affect the value of your RSU Award or of any amounts due to you pursuant to the vesting of your RSU Award or the subsequent sale of any shares of Common Stock received;</w:t>
      </w:r>
    </w:p>
    <w:p>
      <w:pPr>
        <w:spacing w:after="0" w:line="64" w:lineRule="exact"/>
        <w:rPr>
          <w:rFonts w:ascii="Times New Roman" w:cs="Times New Roman" w:eastAsia="Times New Roman" w:hAnsi="Times New Roman"/>
          <w:sz w:val="22"/>
          <w:szCs w:val="22"/>
          <w:b w:val="1"/>
          <w:bCs w:val="1"/>
          <w:color w:val="auto"/>
        </w:rPr>
      </w:pPr>
    </w:p>
    <w:p>
      <w:pPr>
        <w:jc w:val="both"/>
        <w:ind w:firstLine="1288"/>
        <w:spacing w:after="0" w:line="264" w:lineRule="auto"/>
        <w:tabs>
          <w:tab w:leader="none" w:pos="1795"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claim or entitlement to compensation or damages shall arise from forfeiture of this RSU Award resulting from the termination of your Continuous Service (for any reason whatsoever, whether or not later found to be invalid or in breach of employment laws in the jurisdiction where you are employed or the terms of your employment or service agreement, if any), and in consideration of the grant of this RSU Award to which you are otherwise not entitled, you irrevocably agree never to institute any claim against the Company or any Affiliate, waive your ability, if any, to bring any such claim, and release the Company and any Affiliate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57" w:lineRule="exact"/>
        <w:rPr>
          <w:rFonts w:ascii="Times New Roman" w:cs="Times New Roman" w:eastAsia="Times New Roman" w:hAnsi="Times New Roman"/>
          <w:sz w:val="21"/>
          <w:szCs w:val="21"/>
          <w:b w:val="1"/>
          <w:bCs w:val="1"/>
          <w:color w:val="auto"/>
        </w:rPr>
      </w:pPr>
    </w:p>
    <w:p>
      <w:pPr>
        <w:ind w:left="1280" w:hanging="639"/>
        <w:spacing w:after="0"/>
        <w:tabs>
          <w:tab w:leader="none" w:pos="12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p>
    <w:p>
      <w:pPr>
        <w:spacing w:after="0" w:line="115" w:lineRule="exact"/>
        <w:rPr>
          <w:rFonts w:ascii="Times New Roman" w:cs="Times New Roman" w:eastAsia="Times New Roman" w:hAnsi="Times New Roman"/>
          <w:sz w:val="22"/>
          <w:szCs w:val="22"/>
          <w:b w:val="1"/>
          <w:bCs w:val="1"/>
          <w:color w:val="auto"/>
        </w:rPr>
      </w:pPr>
    </w:p>
    <w:p>
      <w:pPr>
        <w:ind w:right="20" w:firstLine="1288"/>
        <w:spacing w:after="0" w:line="271" w:lineRule="auto"/>
        <w:tabs>
          <w:tab w:leader="none" w:pos="1791" w:val="left"/>
        </w:tabs>
        <w:numPr>
          <w:ilvl w:val="1"/>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explicitly and unambiguously acknowledge and consent to the collection, use and transfer, in electronic or other form, of your personal data as described in this document by and</w:t>
      </w:r>
    </w:p>
    <w:p>
      <w:pPr>
        <w:sectPr>
          <w:pgSz w:w="11900" w:h="16838" w:orient="portrait"/>
          <w:cols w:equalWidth="0" w:num="1">
            <w:col w:w="11080"/>
          </w:cols>
          <w:pgMar w:left="480" w:top="585"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among, as applicable, your employer, the Company and its Affiliates for the exclusive purpose of implementing, administering and managing your participation in the Plan. You understand that the Company, its Affiliates and your employer hold certain personal information about you,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awarded, canceled,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You understand that the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your country.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acknowledge that the recipients may receive, possess, process,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upon the vesting of your RSU Award. You understand that Data will be held only as long as is necessary to implement, administer and manage your participation in the Plan. You may, at any time, view the Data, request additional information about the storage and processing of the Data, require any necessary amendments to the Data or refuse or withdraw the consents herein, in any case without cost, by contacting the Stock Plan Administrator in writing.</w:t>
      </w:r>
    </w:p>
    <w:p>
      <w:pPr>
        <w:spacing w:after="0" w:line="79" w:lineRule="exact"/>
        <w:rPr>
          <w:sz w:val="20"/>
          <w:szCs w:val="20"/>
          <w:color w:val="auto"/>
        </w:rPr>
      </w:pPr>
    </w:p>
    <w:p>
      <w:pPr>
        <w:ind w:firstLine="1288"/>
        <w:spacing w:after="0" w:line="309" w:lineRule="auto"/>
        <w:tabs>
          <w:tab w:leader="none" w:pos="1789" w:val="left"/>
        </w:tabs>
        <w:numPr>
          <w:ilvl w:val="1"/>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purposes of operating the Plan in the European Union, Switzerland, and the United Kingdom, the Company will collect and process information relating to you in accordance with the privacy notice from time to time in force.</w:t>
      </w:r>
    </w:p>
    <w:p>
      <w:pPr>
        <w:spacing w:after="0" w:line="8" w:lineRule="exact"/>
        <w:rPr>
          <w:rFonts w:ascii="Times New Roman" w:cs="Times New Roman" w:eastAsia="Times New Roman" w:hAnsi="Times New Roman"/>
          <w:sz w:val="21"/>
          <w:szCs w:val="21"/>
          <w:b w:val="1"/>
          <w:bCs w:val="1"/>
          <w:color w:val="auto"/>
        </w:rPr>
      </w:pPr>
    </w:p>
    <w:p>
      <w:pPr>
        <w:jc w:val="both"/>
        <w:ind w:firstLine="640"/>
        <w:spacing w:after="0" w:line="253" w:lineRule="auto"/>
        <w:tabs>
          <w:tab w:leader="none" w:pos="114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Advice Regarding Grant. </w:t>
      </w:r>
      <w:r>
        <w:rPr>
          <w:rFonts w:ascii="Times New Roman" w:cs="Times New Roman" w:eastAsia="Times New Roman" w:hAnsi="Times New Roman"/>
          <w:sz w:val="22"/>
          <w:szCs w:val="22"/>
          <w:color w:val="auto"/>
        </w:rPr>
        <w:t>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80" w:lineRule="exact"/>
        <w:rPr>
          <w:rFonts w:ascii="Times New Roman" w:cs="Times New Roman" w:eastAsia="Times New Roman" w:hAnsi="Times New Roman"/>
          <w:sz w:val="22"/>
          <w:szCs w:val="22"/>
          <w:b w:val="1"/>
          <w:bCs w:val="1"/>
          <w:color w:val="auto"/>
        </w:rPr>
      </w:pPr>
    </w:p>
    <w:p>
      <w:pPr>
        <w:jc w:val="both"/>
        <w:ind w:firstLine="640"/>
        <w:spacing w:after="0" w:line="251" w:lineRule="auto"/>
        <w:tabs>
          <w:tab w:leader="none" w:pos="114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Language. </w:t>
      </w:r>
      <w:r>
        <w:rPr>
          <w:rFonts w:ascii="Times New Roman" w:cs="Times New Roman" w:eastAsia="Times New Roman" w:hAnsi="Times New Roman"/>
          <w:sz w:val="22"/>
          <w:szCs w:val="22"/>
          <w:color w:val="auto"/>
        </w:rPr>
        <w:t>You acknowledge that you are sufficiently proficient in the English language, or have consulted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advisor who is sufficiently proficient in English, so as to allow you to understand the terms and conditions of this Agreement. If you have received this Agreement, or any other document related to this RSU Award and/or the Plan translated into a language other than English and if the meaning of the translated version is different than the English version, the English version will control.</w:t>
      </w:r>
    </w:p>
    <w:p>
      <w:pPr>
        <w:spacing w:after="0" w:line="67"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Foreign Asset/Account, Exchange Control and Tax Reporting. You</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may be subject to foreign 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w:t>
      </w:r>
    </w:p>
    <w:p>
      <w:pPr>
        <w:sectPr>
          <w:pgSz w:w="11900" w:h="16838" w:orient="portrait"/>
          <w:cols w:equalWidth="0" w:num="1">
            <w:col w:w="11080"/>
          </w:cols>
          <w:pgMar w:left="480" w:top="585"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57" w:lineRule="exact"/>
        <w:rPr>
          <w:sz w:val="20"/>
          <w:szCs w:val="20"/>
          <w:color w:val="auto"/>
        </w:rPr>
      </w:pPr>
    </w:p>
    <w:p>
      <w:pPr>
        <w:ind w:left="1140" w:hanging="500"/>
        <w:spacing w:after="0"/>
        <w:tabs>
          <w:tab w:leader="none" w:pos="114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In Section 9(e) of the Plan, references to “at will” employment are deleted.</w:t>
      </w:r>
    </w:p>
    <w:p>
      <w:pPr>
        <w:sectPr>
          <w:pgSz w:w="11900" w:h="16838" w:orient="portrait"/>
          <w:cols w:equalWidth="0" w:num="1">
            <w:col w:w="11080"/>
          </w:cols>
          <w:pgMar w:left="480" w:top="585"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COUNTRY SPECIFIC TERMS</w:t>
      </w:r>
    </w:p>
    <w:p>
      <w:pPr>
        <w:spacing w:after="0" w:line="3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33"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Breach of Law. </w:t>
      </w:r>
      <w:r>
        <w:rPr>
          <w:rFonts w:ascii="Times New Roman" w:cs="Times New Roman" w:eastAsia="Times New Roman" w:hAnsi="Times New Roman"/>
          <w:sz w:val="22"/>
          <w:szCs w:val="22"/>
          <w:color w:val="auto"/>
        </w:rPr>
        <w:t>Notwithstanding anything else in the Plan or the RSU Award Agreement, you will not be entitled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claim any benefit (including without limitation a legal right) under the Plan if the provision of such benefit would give rise to a breach of Part 2D.2 of the Australian Corporations Act 2001 (Cth) (“</w:t>
      </w:r>
      <w:r>
        <w:rPr>
          <w:rFonts w:ascii="Times New Roman" w:cs="Times New Roman" w:eastAsia="Times New Roman" w:hAnsi="Times New Roman"/>
          <w:sz w:val="22"/>
          <w:szCs w:val="22"/>
          <w:b w:val="1"/>
          <w:bCs w:val="1"/>
          <w:i w:val="1"/>
          <w:iCs w:val="1"/>
          <w:color w:val="auto"/>
        </w:rPr>
        <w:t>Corporations Act</w:t>
      </w:r>
      <w:r>
        <w:rPr>
          <w:rFonts w:ascii="Times New Roman" w:cs="Times New Roman" w:eastAsia="Times New Roman" w:hAnsi="Times New Roman"/>
          <w:sz w:val="22"/>
          <w:szCs w:val="22"/>
          <w:color w:val="auto"/>
        </w:rPr>
        <w:t>”), any other provision of the Corporations Act, or any other applicable statute, rule or regulation which limits or restricts the giving of such benefits. Further, the Company is under no obligation to seek or obtain the approval of its shareholders in general meeting for the purpose of overcoming any such limitation or restriction.</w:t>
      </w:r>
    </w:p>
    <w:p>
      <w:pPr>
        <w:spacing w:after="0" w:line="67"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RSU Award is made without disclosure under the Corporations Act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on case by case relief provided to the Company under an instrument issued by the Australian Securities and Investments Commission (“</w:t>
      </w:r>
      <w:r>
        <w:rPr>
          <w:rFonts w:ascii="Times New Roman" w:cs="Times New Roman" w:eastAsia="Times New Roman" w:hAnsi="Times New Roman"/>
          <w:sz w:val="22"/>
          <w:szCs w:val="22"/>
          <w:b w:val="1"/>
          <w:bCs w:val="1"/>
          <w:i w:val="1"/>
          <w:iCs w:val="1"/>
          <w:color w:val="auto"/>
        </w:rPr>
        <w:t>ASIC Instrument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53"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Advice. </w:t>
      </w:r>
      <w:r>
        <w:rPr>
          <w:rFonts w:ascii="Times New Roman" w:cs="Times New Roman" w:eastAsia="Times New Roman" w:hAnsi="Times New Roman"/>
          <w:sz w:val="22"/>
          <w:szCs w:val="22"/>
          <w:color w:val="auto"/>
        </w:rPr>
        <w:t>Any advice given to you by the Company, or a representative of the Company, in relation to the 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not be considered as investment advice and does not take into account your objectives, financial situation, or needs.</w:t>
      </w:r>
    </w:p>
    <w:p>
      <w:pPr>
        <w:spacing w:after="0" w:line="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Australian law normally requires persons who offer financial products to give information to investors before they invest. This requires those offering financial products to have disclosed information that is material for investors to make an informed decision. The usual rules do not apply to this offer because it is made under an employee incentive scheme and in reliance on the ASIC Instrument. As a result, you may not be given all of the information normally expected when receiving an offer of financial products in Australia. You will also have fewer other legal protections for this investment.</w:t>
      </w:r>
    </w:p>
    <w:p>
      <w:pPr>
        <w:spacing w:after="0" w:line="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should consider obtaining your own financial product advice from a person who is licenced by the Australian Securities and Investments Commission (“</w:t>
      </w:r>
      <w:r>
        <w:rPr>
          <w:rFonts w:ascii="Times New Roman" w:cs="Times New Roman" w:eastAsia="Times New Roman" w:hAnsi="Times New Roman"/>
          <w:sz w:val="22"/>
          <w:szCs w:val="22"/>
          <w:b w:val="1"/>
          <w:bCs w:val="1"/>
          <w:i w:val="1"/>
          <w:iCs w:val="1"/>
          <w:color w:val="auto"/>
        </w:rPr>
        <w:t>ASIC</w:t>
      </w:r>
      <w:r>
        <w:rPr>
          <w:rFonts w:ascii="Times New Roman" w:cs="Times New Roman" w:eastAsia="Times New Roman" w:hAnsi="Times New Roman"/>
          <w:sz w:val="22"/>
          <w:szCs w:val="22"/>
          <w:color w:val="auto"/>
        </w:rPr>
        <w:t>”) to give such advice before accepting the RSU Award.</w:t>
      </w:r>
    </w:p>
    <w:p>
      <w:pPr>
        <w:spacing w:after="0" w:line="59"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Risks. </w:t>
      </w:r>
      <w:r>
        <w:rPr>
          <w:rFonts w:ascii="Times New Roman" w:cs="Times New Roman" w:eastAsia="Times New Roman" w:hAnsi="Times New Roman"/>
          <w:sz w:val="22"/>
          <w:szCs w:val="22"/>
          <w:color w:val="auto"/>
        </w:rPr>
        <w:t>There are risks associated with the Company and a number of general risks associated with an investment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and the underlying shares of the Company’s Common Stock. These risks may individually or in combination materially and adversely affect the future operating and financial performance of the Company and, accordingly, the value of shares of the Company’s Common Stock. There can be no guarantee that the Company will achieve its stated objectives. Before agreeing to participate in the Plan, you should be satisfied that you have a sufficient understanding of the risks involved in making an investment in the Company and whether it is a suitable investment, having regard to your objectives, financial situation, and needs.</w:t>
      </w:r>
    </w:p>
    <w:p>
      <w:pPr>
        <w:spacing w:after="0" w:line="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RSU Award will only vest on the satisfaction of the conditions (if any) set out in the enclosed Grant Notice and the issue of the RSU Award to you is subject to the terms of the enclosed RSU Award Agreement and Plan. There is a chance that any conditions attaching to the RSU Award may never be fulfilled and that the RSU Award will not vest.</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Further risks and rights with respect to holding an RSU Award are set out in the enclosed RSU Award Agreement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ectPr>
          <w:pgSz w:w="11900" w:h="16838" w:orient="portrait"/>
          <w:cols w:equalWidth="0" w:num="1">
            <w:col w:w="11080"/>
          </w:cols>
          <w:pgMar w:left="480" w:top="58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Stock price and currency information. </w:t>
      </w:r>
      <w:r>
        <w:rPr>
          <w:rFonts w:ascii="Times New Roman" w:cs="Times New Roman" w:eastAsia="Times New Roman" w:hAnsi="Times New Roman"/>
          <w:sz w:val="22"/>
          <w:szCs w:val="22"/>
          <w:color w:val="auto"/>
        </w:rPr>
        <w:t>Shares of the Company’s Common Stock are quoted on the NYSE and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valued in U.S. dollars – see https://</w:t>
      </w:r>
      <w:r>
        <w:rPr>
          <w:rFonts w:ascii="Times New Roman" w:cs="Times New Roman" w:eastAsia="Times New Roman" w:hAnsi="Times New Roman"/>
          <w:sz w:val="22"/>
          <w:szCs w:val="22"/>
          <w:u w:val="single" w:color="auto"/>
          <w:color w:val="000080"/>
        </w:rPr>
        <w:t>www.nyse.com/listings_directory/stock.</w:t>
      </w:r>
      <w:r>
        <w:rPr>
          <w:rFonts w:ascii="Times New Roman" w:cs="Times New Roman" w:eastAsia="Times New Roman" w:hAnsi="Times New Roman"/>
          <w:sz w:val="22"/>
          <w:szCs w:val="22"/>
          <w:color w:val="auto"/>
        </w:rPr>
        <w:t xml:space="preserve"> The equivalent stock price in Australian dollars can be calculated by taking the NYSE market price in</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U.S. dollars and applying the prevailing U.S.$ / A$ exchange rate to the market price. Alternatively, if necessary, the Company will provide you with the market price of the Company’s shares on the NYSE (in Australian dollars) upon written request to the Company. Such information will be provided to you as soon as practicable following the request.</w:t>
      </w:r>
    </w:p>
    <w:p>
      <w:pPr>
        <w:spacing w:after="0" w:line="61"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A$10,000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You understand that the Australian bank assisting with the transaction may file the report on your behalf. If there is no Australian bank involved in the transfer, you will be required to file the report. You should consult with your personal advisor to ensure proper compliance with applicable reporting requirements in Australia.</w:t>
      </w:r>
    </w:p>
    <w:p>
      <w:pPr>
        <w:spacing w:after="0" w:line="60"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This Plan is a plan to which Subdivision 83A-C of the Income Tax Assessment Act 1997 (Cth) applies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conditions in that Act).</w:t>
      </w:r>
    </w:p>
    <w:p>
      <w:pPr>
        <w:spacing w:after="0" w:line="41" w:lineRule="exact"/>
        <w:rPr>
          <w:sz w:val="20"/>
          <w:szCs w:val="20"/>
          <w:color w:val="auto"/>
        </w:rPr>
      </w:pPr>
    </w:p>
    <w:p>
      <w:pPr>
        <w:ind w:left="20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Data Privacy.</w:t>
      </w:r>
      <w:r>
        <w:rPr>
          <w:sz w:val="20"/>
          <w:szCs w:val="20"/>
          <w:color w:val="auto"/>
        </w:rPr>
        <w:tab/>
      </w:r>
      <w:r>
        <w:rPr>
          <w:rFonts w:ascii="Times New Roman" w:cs="Times New Roman" w:eastAsia="Times New Roman" w:hAnsi="Times New Roman"/>
          <w:sz w:val="21"/>
          <w:szCs w:val="21"/>
          <w:color w:val="auto"/>
        </w:rPr>
        <w:t>Section 5 of this Appendix (Data Privacy) is deleted and replaced with the following:</w:t>
      </w:r>
    </w:p>
    <w:p>
      <w:pPr>
        <w:spacing w:after="0" w:line="116"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You explicitly and unambiguously consent to the collection, holding, use and disclosure, in electronic or other form, of your personal information (as that term is defined in the Privacy Act 1988 (Cth)) as described in this document by and among, as applicable, your employer, the Company and its Affiliates for the purpose of implementing, administering and managing your participation in the Plan. You understand that the Company, its Affiliates and your employer hold certain personal information about you, including, but not limited to, name, home address and telephone number, email address and other contact details, date of birth, tax file number (or other identification number), salary, nationality, job title, any shares of Common Stock or directorships held in the Company, details of all options or any other entitlement to shares of Common Stock awarded, canceled,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The collection of this information may be required for compliance with various legislation, including the Corporations Act 2001 (Cth) and applicable taxation legislation. You understand that the Data may be transferred to any third parties assisting in the implementation, administration and management of the Plan, that these recipients may be located in Australia or elsewhere, in particular in the United States, and that the recipient country may have different data privacy laws providing less protection of your personal data than your country.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authorize the recipients to collect, hold, use and disclose the Data, in electronic or other form, for the purposes of implementing, administering and managing your participation in the Plan, including any requisite transfer of such Data, as may be required to a broker or other third party (that may or may not be located in Australia or elsewhere) with whom you may elect to deposit any shares of the Common Stock acquired upon the vesting of the RSU Award. You understand that Data will be held only as long as is necessary to implement, administer and manage your participation in the Plan or for the period required by law, whichever is the longer. You may, at any time, refuse or withdraw the consents herein, in any case without cost,</w:t>
      </w:r>
    </w:p>
    <w:p>
      <w:pPr>
        <w:sectPr>
          <w:pgSz w:w="11900" w:h="16838" w:orient="portrait"/>
          <w:cols w:equalWidth="0" w:num="1">
            <w:col w:w="11080"/>
          </w:cols>
          <w:pgMar w:left="480" w:top="58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by contacting the Stock Plan Administrator in writing. You understand that refusing or withdrawing consent may affect your ability to participate in the Plan. You acknowledge that further information on how your employer, the Company and its Affiliates collect, hold, use and disclose Data and personal information (and how you can access, correct or complain about the handling of that Data or personal information by your employer, the Company and its Affiliates) can be found at Asanapedia in the privacy policies of your employer, the Company and its Affiliates or the manager of the Plan (as applicable).</w:t>
      </w: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supplements Section 12 (Data Privacy) of this Appendix:</w:t>
      </w:r>
    </w:p>
    <w:p>
      <w:pPr>
        <w:spacing w:after="0" w:line="12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spacing w:after="0" w:line="69"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RSU Award Agreement, as well 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notices and legal proceedings entered into, given or instituted pursuant hereto or relating directly or indirectly hereto, be drawn up in English.</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(«Agreement»), ainsi que cette Annexe, ainsi que de tous documents, avis et procédures judiciaires, exécutés, donnés ou intentés en vertu de, ou liés directement ou indirectement à, la présente convention.</w:t>
      </w:r>
    </w:p>
    <w:p>
      <w:pPr>
        <w:spacing w:after="0" w:line="72" w:lineRule="exact"/>
        <w:rPr>
          <w:sz w:val="20"/>
          <w:szCs w:val="20"/>
          <w:color w:val="auto"/>
        </w:rPr>
      </w:pPr>
    </w:p>
    <w:p>
      <w:pPr>
        <w:jc w:val="both"/>
        <w:ind w:firstLine="504"/>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Continuous Service. </w:t>
      </w:r>
      <w:r>
        <w:rPr>
          <w:rFonts w:ascii="Times New Roman" w:cs="Times New Roman" w:eastAsia="Times New Roman" w:hAnsi="Times New Roman"/>
          <w:sz w:val="21"/>
          <w:szCs w:val="21"/>
          <w:color w:val="auto"/>
        </w:rPr>
        <w:t>Notwithstanding anything else in the Plan or the RSU Award Agreement, your Continuous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deemed to end on the date when you cease to be actively providing services to the Company or an Affiliate, regardless of whether the cessation of your employment was lawful, and shall not include any period of statutory, contractual, common law, civil law or other reasonable notice of termination of employment or any period of salary continuance or deemed employment. As a result, if you receive notice of termination for a reason other than Cause, and the Company or its Affiliate does not require you to continue to attend at work and elects to provide you with a payment in lieu of notice, your Continuous Service will end on the date you receive such notice, as opposed any later date when severance payments to you cease.</w:t>
      </w:r>
    </w:p>
    <w:p>
      <w:pPr>
        <w:spacing w:after="0" w:line="58"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Employment Matters. </w:t>
      </w:r>
      <w:r>
        <w:rPr>
          <w:rFonts w:ascii="Times New Roman" w:cs="Times New Roman" w:eastAsia="Times New Roman" w:hAnsi="Times New Roman"/>
          <w:sz w:val="22"/>
          <w:szCs w:val="22"/>
          <w:color w:val="auto"/>
        </w:rPr>
        <w:t>The definition of “Cause” is modified such that the following supplements the existing definition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Plan:</w:t>
      </w:r>
    </w:p>
    <w:p>
      <w:pPr>
        <w:spacing w:after="0" w:line="39" w:lineRule="exact"/>
        <w:rPr>
          <w:sz w:val="20"/>
          <w:szCs w:val="20"/>
          <w:color w:val="auto"/>
        </w:rPr>
      </w:pPr>
    </w:p>
    <w:p>
      <w:pPr>
        <w:jc w:val="both"/>
        <w:ind w:left="500" w:firstLine="50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(iv) such Participant’s gross misconduct; or (v) any other serious act or omission</w:t>
      </w:r>
    </w:p>
    <w:p>
      <w:pPr>
        <w:sectPr>
          <w:pgSz w:w="11900" w:h="16838" w:orient="portrait"/>
          <w:cols w:equalWidth="0" w:num="1">
            <w:col w:w="11080"/>
          </w:cols>
          <w:pgMar w:left="480" w:top="585"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9" w:lineRule="exact"/>
        <w:rPr>
          <w:sz w:val="20"/>
          <w:szCs w:val="20"/>
          <w:color w:val="auto"/>
        </w:rPr>
      </w:pPr>
    </w:p>
    <w:p>
      <w:pPr>
        <w:jc w:val="both"/>
        <w:ind w:left="16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 Fractions. </w:t>
      </w:r>
      <w:r>
        <w:rPr>
          <w:rFonts w:ascii="Times New Roman" w:cs="Times New Roman" w:eastAsia="Times New Roman" w:hAnsi="Times New Roman"/>
          <w:sz w:val="22"/>
          <w:szCs w:val="22"/>
          <w:color w:val="auto"/>
        </w:rPr>
        <w:t>No fractional shares of Common Stock shall be issued under the RSU Award Agreement and no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shall be payable in respect thereof.</w:t>
      </w:r>
    </w:p>
    <w:p>
      <w:pPr>
        <w:spacing w:after="0" w:line="55" w:lineRule="exact"/>
        <w:rPr>
          <w:sz w:val="20"/>
          <w:szCs w:val="20"/>
          <w:color w:val="auto"/>
        </w:rPr>
      </w:pPr>
    </w:p>
    <w:p>
      <w:pPr>
        <w:jc w:val="both"/>
        <w:ind w:left="160"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Voluntary Participation. </w:t>
      </w:r>
      <w:r>
        <w:rPr>
          <w:rFonts w:ascii="Times New Roman" w:cs="Times New Roman" w:eastAsia="Times New Roman" w:hAnsi="Times New Roman"/>
          <w:sz w:val="22"/>
          <w:szCs w:val="22"/>
          <w:color w:val="auto"/>
        </w:rPr>
        <w:t>Your participation in the Plan is voluntary, and you acknowledge and agree that you have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induced to enter into the RSU Award Agreement or acquire any RSU Award or shares of Common Stock by expectation of employment, engagement or appointment or continued employment, engagement or appointment.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definition of “Affiliate” is modified such that the following supplements the existing definition in the Plan:</w:t>
      </w:r>
    </w:p>
    <w:p>
      <w:pPr>
        <w:spacing w:after="0" w:line="112" w:lineRule="exact"/>
        <w:rPr>
          <w:sz w:val="20"/>
          <w:szCs w:val="20"/>
          <w:color w:val="auto"/>
        </w:rPr>
      </w:pPr>
    </w:p>
    <w:p>
      <w:pPr>
        <w:jc w:val="both"/>
        <w:ind w:left="800"/>
        <w:spacing w:after="0" w:line="251" w:lineRule="auto"/>
        <w:rPr>
          <w:sz w:val="20"/>
          <w:szCs w:val="20"/>
          <w:color w:val="auto"/>
        </w:rPr>
      </w:pPr>
      <w:r>
        <w:rPr>
          <w:rFonts w:ascii="Times New Roman" w:cs="Times New Roman" w:eastAsia="Times New Roman" w:hAnsi="Times New Roman"/>
          <w:sz w:val="22"/>
          <w:szCs w:val="22"/>
          <w:color w:val="auto"/>
        </w:rPr>
        <w:t>“For purposes of issuances of securities under the Plan to Directors, Employees and Consultants in Canada, an Affiliate means a person (which includes a corporation) that controls the Company or is controlled by the Company or is controlled by the same person that controls the Company. For this purpose, a person (first person) is considered to control a person (second person) if the first person, directly or indirectly, has the power to direct the management and policies of the second person by virtue of ownership of or direction over voting securities in the second person (over 50%); or a written agreement or indenture.”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definition of “Consultant” is modified such that the following supplements the existing definition in the Plan:</w:t>
      </w:r>
    </w:p>
    <w:p>
      <w:pPr>
        <w:spacing w:after="0" w:line="112"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21"/>
          <w:szCs w:val="21"/>
          <w:color w:val="auto"/>
        </w:rPr>
        <w:t>“For purposes of issuances of securities under the Plan to Consultants in Canada, a Consultant means a person, other than an employee, executive officer or director of the Company or an Affiliate that (a) is engaged to provide services to the Company or an Affiliate, other than services provided in relation to a distribution; (b) provides the services under a written contract with the Company or an Affiliate; and (c) spends or will spend a significant amount of time and attention on the affairs and business of the Company or an Affiliate and includes (d) for an individual consultant, a corporation of which the individual consultant is an employee or shareholder, and a partnership of which the individual consultant is an employee or partner, and (e) for a consultant that is not an individual, an employee, executive officer, or director of the consultant, provided that the individual employee, executive officer, or director spends or will spend a significant amount of time and attention on the affairs and business of the Company or an Affiliate.”</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You understand that you are permitted to sell the shares of Common Stock acquired pursuant to any RSU Awards, provided that the Company is a “foreign issuer” that is not a public company in any jurisdiction of Canada and the sale of the shares of Common Stock acquired pursuant to the Plan takes</w:t>
      </w:r>
    </w:p>
    <w:p>
      <w:pPr>
        <w:sectPr>
          <w:pgSz w:w="11900" w:h="16838" w:orient="portrait"/>
          <w:cols w:equalWidth="0" w:num="1">
            <w:col w:w="11240"/>
          </w:cols>
          <w:pgMar w:left="320" w:top="585"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place: (i) through an exchange, or a market, outside of Canada on the distribution date; or (ii) to a person or company outside of Canada. For purposes hereof, in addition to not being a reporting issuer in any jurisdiction of Canada, a “foreign issuer” is an issuer that: (i) is not incorporated or existing pursuant to the laws of Canada or any jurisdiction of Canada; (ii) does not have its head office in Canada; and (iii) does not have a majority of its executive officers or directors ordinarily resident in Canada. If any designated broker is appointed under the Plan, you shall sell such securities through the designated broker.</w:t>
      </w:r>
    </w:p>
    <w:p>
      <w:pPr>
        <w:spacing w:after="0" w:line="6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Canadian residents are required to report any foreign property on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T1135 (Foreign Income Verification Statement) if the total cost of their foreign property exceeds C$100,000 at any time in the year. It is your responsibility to comply with these reporting obligations, and you should consult with your own personal tax advisor in this regard.</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Section 4 of the RSU Award Agreement is deleted and replaced with the following:</w:t>
      </w:r>
    </w:p>
    <w:p>
      <w:pPr>
        <w:spacing w:after="0" w:line="116" w:lineRule="exact"/>
        <w:rPr>
          <w:sz w:val="20"/>
          <w:szCs w:val="20"/>
          <w:color w:val="auto"/>
        </w:rPr>
      </w:pPr>
    </w:p>
    <w:p>
      <w:pPr>
        <w:jc w:val="both"/>
        <w:ind w:left="800" w:firstLine="503"/>
        <w:spacing w:after="0" w:line="259" w:lineRule="auto"/>
        <w:rPr>
          <w:sz w:val="20"/>
          <w:szCs w:val="20"/>
          <w:color w:val="auto"/>
        </w:rPr>
      </w:pPr>
      <w:r>
        <w:rPr>
          <w:rFonts w:ascii="Times New Roman" w:cs="Times New Roman" w:eastAsia="Times New Roman" w:hAnsi="Times New Roman"/>
          <w:sz w:val="21"/>
          <w:szCs w:val="21"/>
          <w:color w:val="auto"/>
        </w:rPr>
        <w:t>On or before the time you receive a distribution of the shares of Common Stock underlying your Restricted Stock Units (or their cash equivalents), and at any other time as reasonably requested by the Company in accordance with applicable tax laws, you agree to make adequate arrangements satisfactory to the Company or adequate provision in cash for any sums required to satisfy the federal, state, local and foreign tax withholding and source deduction obligations of the Company or any Affiliate that arise in connection with your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Additionally, the Company or any Affiliate may satisfy all or any portion of the Withholding Taxes obligation relating to your RSU Award by any of the following means or by a combination of such means: (i) withholding from any compensation otherwise payable to you by the Company or an Affiliate; (ii) causing you to tender a cash payment; (iii) permitting you to enter into a “same day sale” commitment, if applicable, with a broker-dealer (subject to your written consent) whereby you irrevocably elect to sell a portion of the shares of Common Stock to be delivered in connection with your Restricted Stock Units to satisfy the Withholding Taxes and whereby the broker-dealer irrevocably commits to forward the proceeds necessary to satisfy the Withholding Taxes directly to the Company or its Affiliates; or (iv) permitting you (subject to your written consent) to surrender Restricted Stock Units to the Company for a cash payment which shall be used to satisfy the Withholding Taxes, whereby the number of Restricted Stock Units that may be surrendered for a cash payment shall be equal to the Withholding Taxes divided by a Fair Market Value (measured as of the date shares of Common Stock are otherwise issuable to you pursuant to Section 5).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Section 3 of the RSU Award Agreement is deleted and replaced with the following:</w:t>
      </w:r>
    </w:p>
    <w:p>
      <w:pPr>
        <w:spacing w:after="0" w:line="116" w:lineRule="exact"/>
        <w:rPr>
          <w:sz w:val="20"/>
          <w:szCs w:val="20"/>
          <w:color w:val="auto"/>
        </w:rPr>
      </w:pPr>
    </w:p>
    <w:p>
      <w:pPr>
        <w:jc w:val="both"/>
        <w:ind w:left="660" w:firstLine="504"/>
        <w:spacing w:after="0" w:line="253" w:lineRule="auto"/>
        <w:rPr>
          <w:sz w:val="20"/>
          <w:szCs w:val="20"/>
          <w:color w:val="auto"/>
        </w:rPr>
      </w:pPr>
      <w:r>
        <w:rPr>
          <w:rFonts w:ascii="Times New Roman" w:cs="Times New Roman" w:eastAsia="Times New Roman" w:hAnsi="Times New Roman"/>
          <w:sz w:val="22"/>
          <w:szCs w:val="22"/>
          <w:color w:val="auto"/>
        </w:rPr>
        <w:t>You may become entitled to be granted additional Restricted Stock Units equal to any cash dividends and other distributions paid with respect to a corresponding number of shares of Common Stock in respect of the Restricted Stock Units covered by your RSU Award. In such event, you will automatically be granted additional Restricted Stock Units subject to the 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such Dividend Units shall be subject to the same forfeiture restrictions and restrictions on transferability, and same timing requirements for issuance of</w:t>
      </w:r>
    </w:p>
    <w:p>
      <w:pPr>
        <w:sectPr>
          <w:pgSz w:w="11900" w:h="16838" w:orient="portrait"/>
          <w:cols w:equalWidth="0" w:num="1">
            <w:col w:w="11240"/>
          </w:cols>
          <w:pgMar w:left="320" w:top="585"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shares, as apply to the Restricted Stock Units subject to the RSU Award with respect to which the Dividend Units relate.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Issuance</w:t>
      </w:r>
      <w:r>
        <w:rPr>
          <w:rFonts w:ascii="Times New Roman" w:cs="Times New Roman" w:eastAsia="Times New Roman" w:hAnsi="Times New Roman"/>
          <w:sz w:val="22"/>
          <w:szCs w:val="22"/>
          <w:color w:val="auto"/>
        </w:rPr>
        <w:t>. Section 5(a) of the RSU Award Agreement is deleted and replaced with the following:</w:t>
      </w:r>
    </w:p>
    <w:p>
      <w:pPr>
        <w:spacing w:after="0" w:line="116" w:lineRule="exact"/>
        <w:rPr>
          <w:sz w:val="20"/>
          <w:szCs w:val="20"/>
          <w:color w:val="auto"/>
        </w:rPr>
      </w:pPr>
    </w:p>
    <w:p>
      <w:pPr>
        <w:jc w:val="both"/>
        <w:ind w:left="660" w:firstLine="504"/>
        <w:spacing w:after="0" w:line="251" w:lineRule="auto"/>
        <w:rPr>
          <w:sz w:val="20"/>
          <w:szCs w:val="20"/>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and the Board determines to settle your vested Restricted Stock Units with Common Stock, the Company shall issue to you, in accordance with the Issuance Schedule on the Grant Notice, one (1) share of Common Stock for each vested Restricted Stock Unit. Each issuance date determined by this paragraph is referred to as an “Original Issuance Date.”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00" w:lineRule="exact"/>
        <w:rPr>
          <w:sz w:val="20"/>
          <w:szCs w:val="20"/>
          <w:color w:val="auto"/>
        </w:rPr>
      </w:pPr>
    </w:p>
    <w:p>
      <w:pPr>
        <w:spacing w:after="0" w:line="263" w:lineRule="exact"/>
        <w:rPr>
          <w:sz w:val="20"/>
          <w:szCs w:val="20"/>
          <w:color w:val="auto"/>
        </w:rPr>
      </w:pPr>
    </w:p>
    <w:p>
      <w:pPr>
        <w:jc w:val="both"/>
        <w:ind w:left="160"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to the RSU Award Agreement acknowledge that it is their express wish that the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as well as all documents, notices, and legal proceedings entered into, given or instituted pursuant hereto or relating directly or indirectly hereto, be drawn up in English.</w:t>
      </w:r>
    </w:p>
    <w:p>
      <w:pPr>
        <w:spacing w:after="0" w:line="56" w:lineRule="exact"/>
        <w:rPr>
          <w:sz w:val="20"/>
          <w:szCs w:val="20"/>
          <w:color w:val="auto"/>
        </w:rPr>
      </w:pPr>
    </w:p>
    <w:p>
      <w:pPr>
        <w:jc w:val="both"/>
        <w:ind w:left="160" w:firstLine="504"/>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Consentement relatif à la langue utilisée. </w:t>
      </w:r>
      <w:r>
        <w:rPr>
          <w:rFonts w:ascii="Times New Roman" w:cs="Times New Roman" w:eastAsia="Times New Roman" w:hAnsi="Times New Roman"/>
          <w:sz w:val="22"/>
          <w:szCs w:val="22"/>
          <w:i w:val="1"/>
          <w:iCs w:val="1"/>
          <w:color w:val="auto"/>
        </w:rPr>
        <w:t>Les parties reconnaissent avoir exigé que cette convention («Agreement») soit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rédigée en anglais, ainsi que tous les documents, avis et procédures judiciaires, éxécutés, donnés ou intentés en vertu de, ou liés directement ou indirectement à la présente.</w:t>
      </w:r>
    </w:p>
    <w:p>
      <w:pPr>
        <w:spacing w:after="0" w:line="52" w:lineRule="exact"/>
        <w:rPr>
          <w:sz w:val="20"/>
          <w:szCs w:val="20"/>
          <w:color w:val="auto"/>
        </w:rPr>
      </w:pPr>
    </w:p>
    <w:p>
      <w:pPr>
        <w:jc w:val="both"/>
        <w:ind w:left="160"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are a French resident and maintain a foreign bank account,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report such account to the French tax authorities when filing your annual tax return. Failure to comply with this requirement could trigger significant penalties and you should consult with your personal advisor to ensure proper compliance with applicable reporting requirements in France.</w:t>
      </w:r>
    </w:p>
    <w:p>
      <w:pPr>
        <w:spacing w:after="0" w:line="81" w:lineRule="exact"/>
        <w:rPr>
          <w:sz w:val="20"/>
          <w:szCs w:val="20"/>
          <w:color w:val="auto"/>
        </w:rPr>
      </w:pPr>
    </w:p>
    <w:p>
      <w:pPr>
        <w:jc w:val="both"/>
        <w:ind w:left="160"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towards or from another EU member in excess of €10,000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reported to the French Custom Authorities. However, this reporting obligation does not apply to wire transfers made via banks or financial institutions. So, given that the Plan is established by a US company and that, in any case, all money transfers will be made through banks or financial institutions, this reporting obligation should not apply here.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0" w:lineRule="exact"/>
        <w:rPr>
          <w:sz w:val="20"/>
          <w:szCs w:val="20"/>
          <w:color w:val="auto"/>
        </w:rPr>
      </w:pPr>
    </w:p>
    <w:p>
      <w:pPr>
        <w:spacing w:after="0" w:line="276" w:lineRule="exact"/>
        <w:rPr>
          <w:sz w:val="20"/>
          <w:szCs w:val="20"/>
          <w:color w:val="auto"/>
        </w:rPr>
      </w:pPr>
    </w:p>
    <w:p>
      <w:pPr>
        <w:jc w:val="both"/>
        <w:ind w:left="16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Disclaimer. </w:t>
      </w:r>
      <w:r>
        <w:rPr>
          <w:rFonts w:ascii="Times New Roman" w:cs="Times New Roman" w:eastAsia="Times New Roman" w:hAnsi="Times New Roman"/>
          <w:sz w:val="22"/>
          <w:szCs w:val="22"/>
          <w:color w:val="auto"/>
        </w:rPr>
        <w:t>The participation in the Plan is exempt or excluded from the requirement to publish a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EU Prospectus Directive as implemented in Germany.</w:t>
      </w:r>
    </w:p>
    <w:p>
      <w:pPr>
        <w:spacing w:after="0" w:line="41" w:lineRule="exact"/>
        <w:rPr>
          <w:sz w:val="20"/>
          <w:szCs w:val="20"/>
          <w:color w:val="auto"/>
        </w:rPr>
      </w:pPr>
    </w:p>
    <w:p>
      <w:pPr>
        <w:jc w:val="both"/>
        <w:ind w:left="160" w:right="20"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in excess of €12,500 must be reported monthly to the German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the event that you make or receive a payment in excess of this amount, you are required to report the payment to Bundesbank electronically using the</w:t>
      </w:r>
    </w:p>
    <w:p>
      <w:pPr>
        <w:sectPr>
          <w:pgSz w:w="11900" w:h="16838" w:orient="portrait"/>
          <w:cols w:equalWidth="0" w:num="1">
            <w:col w:w="11240"/>
          </w:cols>
          <w:pgMar w:left="320" w:top="58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available via Bundesbank’s website (www.bundesbank.de).</w:t>
      </w:r>
    </w:p>
    <w:p>
      <w:pPr>
        <w:spacing w:after="0" w:line="41"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w:t>
      </w:r>
      <w:r>
        <w:rPr>
          <w:rFonts w:ascii="Times New Roman" w:cs="Times New Roman" w:eastAsia="Times New Roman" w:hAnsi="Times New Roman"/>
          <w:sz w:val="22"/>
          <w:szCs w:val="22"/>
          <w:color w:val="auto"/>
        </w:rPr>
        <w:t>You must report and pay any capital gains tax liability that arises in connection with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under the Plan. In general the statutory deadline of filing annual income tax returns for taxpayers is 31 July of the calendar year following the respective fiscal year. Payment periods of due tax amounts are determined in view of the competent tax office. You should consult with your personal tax advisor to ensure that you are properly complying with applicable reporting requirements in Germany.</w:t>
      </w:r>
    </w:p>
    <w:p>
      <w:pPr>
        <w:spacing w:after="0" w:line="200" w:lineRule="exact"/>
        <w:rPr>
          <w:sz w:val="20"/>
          <w:szCs w:val="20"/>
          <w:color w:val="auto"/>
        </w:rPr>
      </w:pP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00" w:lineRule="exact"/>
        <w:rPr>
          <w:sz w:val="20"/>
          <w:szCs w:val="20"/>
          <w:color w:val="auto"/>
        </w:rPr>
      </w:pPr>
    </w:p>
    <w:p>
      <w:pPr>
        <w:spacing w:after="0" w:line="276"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regulations in Iceland as such regulations are subject to frequent change. You are responsible for ensuring compliance with all exchange control laws in Iceland.</w:t>
      </w:r>
    </w:p>
    <w:p>
      <w:pPr>
        <w:spacing w:after="0" w:line="58"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Upon the issuance of shares of Common Stock to you in settling RSUs the market value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 subject to withholding at the tax rate applicable to wages at the time of issuance. The withholding amount will be subtracted from your net wage payment following issuance. If such net wage payment does not suffice for payment of the withholding amount you are required to provide the company with enough funds as needed for the withholding amount.</w:t>
      </w: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49"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Directors, shadow directors and secretaries of the Company’s Irish Affiliates whose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the Company represents more than 1% of the Company’s voting share capital are subject to certain notification requirements under Part 5, Chapter 5 of the Companies Act 2014. Directors, shadow directors and secretaries must notify the Irish Affiliates in writing of their interest in the Company (e.g., RSUs, shares of Common Stock, etc.) and the number and class of shares or rights to which the interest relates within five days of the acquisition or disposal of shares or within five days of becoming aware of the event giving rise to the notification. This notification requirement also applies with respect to the interests of a spouse or children under the age of 18 (whose interests will be attributed to the director, shadow director or secretary).</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Section 5 (Data Privacy) of this Appendix is deleted and replaced with the following:</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This section is intended to provide information about the collection and processing of your personal data by the Company.</w:t>
      </w:r>
    </w:p>
    <w:p>
      <w:pPr>
        <w:spacing w:after="0" w:line="123" w:lineRule="exact"/>
        <w:rPr>
          <w:sz w:val="20"/>
          <w:szCs w:val="20"/>
          <w:color w:val="auto"/>
        </w:rPr>
      </w:pPr>
    </w:p>
    <w:p>
      <w:pPr>
        <w:jc w:val="both"/>
        <w:ind w:left="500" w:firstLine="644"/>
        <w:spacing w:after="0" w:line="257" w:lineRule="auto"/>
        <w:tabs>
          <w:tab w:leader="none" w:pos="147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Collection and Usage. The Company collect, process and use certain personal information about you, including, but not limited to, your name, home address, telephone number, email address, date of birth, social insurance number or other identification number,</w:t>
      </w:r>
    </w:p>
    <w:p>
      <w:pPr>
        <w:sectPr>
          <w:pgSz w:w="11900" w:h="16838" w:orient="portrait"/>
          <w:cols w:equalWidth="0" w:num="1">
            <w:col w:w="11080"/>
          </w:cols>
          <w:pgMar w:left="480" w:top="58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46" w:lineRule="auto"/>
        <w:rPr>
          <w:sz w:val="20"/>
          <w:szCs w:val="20"/>
          <w:color w:val="auto"/>
        </w:rPr>
      </w:pPr>
      <w:r>
        <w:rPr>
          <w:rFonts w:ascii="Times New Roman" w:cs="Times New Roman" w:eastAsia="Times New Roman" w:hAnsi="Times New Roman"/>
          <w:sz w:val="22"/>
          <w:szCs w:val="22"/>
          <w:color w:val="auto"/>
        </w:rPr>
        <w:t>salary, nationality, job title, any shares or directorships held in the Company and details of all options or any other entitlement to shares of Common Stock awarded, cancelled,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for purposes of implementing, administering and managing the Plan and for compliance with the Company’s legal obligations. The Company is the controller of such Data. The legal basis, where required, for the processing of Data is that the processing is contractually necessary for the performance of the Plan. The Company will share Data with third parties, including brokers or any other third party with whom you elect to deposit any shares of Common Stock acquired upon the exercise of your choice under the Plan, law firms, accountants and information technology service providers, for purposes of implementing, administering and managing the Plan.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xml:space="preserve">”). The Company is based in the United States, which means the recipients of Data may be located in the United States or elsewhere. Participants acknowledge and understand that Data will be transferred, processed and stored in the United States, as it is necessary for the performance of the Plan. Where required for purposes of implementing, administering and managing the Plan, the Company may transfer data elsewhere and on the basis of standard contractual clauses. For more information or to obtain a copy of the standard contractual clauses, you can contact the Stock Plan Administrator. The Company will hold and use Data for as long as is necessary to implement, administer and manage your participation in the Plan; as required to comply with legal or regulatory obligations, including under tax, exchange control, labour and securities laws; and as otherwise necessary in connection with legal rights, claims or proceedings. This period may extend beyond the period of your employment with the Company. When the Company no longer needs Data for any of the above purposes, it will cease processing it in this context and remove it from all of its systems used for such purposes to the fullest extent practicable. The Participants may have a number of rights under </w:t>
      </w:r>
      <w:r>
        <w:rPr>
          <w:rFonts w:ascii="Times New Roman" w:cs="Times New Roman" w:eastAsia="Times New Roman" w:hAnsi="Times New Roman"/>
          <w:sz w:val="22"/>
          <w:szCs w:val="22"/>
          <w:i w:val="1"/>
          <w:iCs w:val="1"/>
          <w:color w:val="auto"/>
        </w:rPr>
        <w:t>Regulation (EU) 2016/679 of the European Parliament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and of the Council of 27 April 2016 on the protection of natural persons with regard to the processing of personal data and on the free movement of such data, and repealing Directive 95/46/EC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GDPR</w:t>
      </w:r>
      <w:r>
        <w:rPr>
          <w:rFonts w:ascii="Times New Roman" w:cs="Times New Roman" w:eastAsia="Times New Roman" w:hAnsi="Times New Roman"/>
          <w:sz w:val="22"/>
          <w:szCs w:val="22"/>
          <w:color w:val="auto"/>
        </w:rPr>
        <w:t>”) and applicable Irish data protection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legislation. Such rights include the right to (i) request access to Data the Company processes, (ii) request rectification of inaccurate Data, (iii) request the deletion of Data, (iv) request the restriction of processing of Data, (v) request the portability of Data, and (vi) lodge a complaint with the Irish Data Protection Commission or any competent supervisory authority. To receive clarification regarding these rights or to exercise these rights, you can contact the Stock Plan Administrator.</w:t>
      </w:r>
    </w:p>
    <w:p>
      <w:pPr>
        <w:spacing w:after="0" w:line="97" w:lineRule="exact"/>
        <w:rPr>
          <w:sz w:val="20"/>
          <w:szCs w:val="20"/>
          <w:color w:val="auto"/>
        </w:rPr>
      </w:pPr>
    </w:p>
    <w:p>
      <w:pPr>
        <w:ind w:right="440" w:firstLine="504"/>
        <w:spacing w:after="0" w:line="271" w:lineRule="auto"/>
        <w:rPr>
          <w:sz w:val="20"/>
          <w:szCs w:val="20"/>
          <w:color w:val="auto"/>
        </w:rPr>
      </w:pPr>
      <w:r>
        <w:rPr>
          <w:rFonts w:ascii="Times New Roman" w:cs="Times New Roman" w:eastAsia="Times New Roman" w:hAnsi="Times New Roman"/>
          <w:sz w:val="22"/>
          <w:szCs w:val="22"/>
          <w:color w:val="auto"/>
        </w:rPr>
        <w:t>For the purposes of operating the Plan in Ireland, the Company will collect and process information relating to you in accordance with the privacy notice from time to time in force.</w:t>
      </w:r>
    </w:p>
    <w:p>
      <w:pPr>
        <w:spacing w:after="0" w:line="5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Securities Disclosure. </w:t>
      </w:r>
      <w:r>
        <w:rPr>
          <w:rFonts w:ascii="Times New Roman" w:cs="Times New Roman" w:eastAsia="Times New Roman" w:hAnsi="Times New Roman"/>
          <w:sz w:val="22"/>
          <w:szCs w:val="22"/>
          <w:color w:val="auto"/>
        </w:rPr>
        <w:t>The Common Stock have not been registered under the Financial Instruments and Exchange Act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Japan (</w:t>
      </w:r>
      <w:r>
        <w:rPr>
          <w:rFonts w:ascii="Times New Roman" w:cs="Times New Roman" w:eastAsia="Times New Roman" w:hAnsi="Times New Roman"/>
          <w:sz w:val="22"/>
          <w:szCs w:val="22"/>
          <w:i w:val="1"/>
          <w:iCs w:val="1"/>
          <w:color w:val="auto"/>
        </w:rPr>
        <w:t>kinyuu shouhin torihiki hou</w:t>
      </w:r>
      <w:r>
        <w:rPr>
          <w:rFonts w:ascii="Times New Roman" w:cs="Times New Roman" w:eastAsia="Times New Roman" w:hAnsi="Times New Roman"/>
          <w:sz w:val="22"/>
          <w:szCs w:val="22"/>
          <w:color w:val="auto"/>
        </w:rPr>
        <w:t>) (Law No. 25 of 1948, as amended) (the “</w:t>
      </w:r>
      <w:r>
        <w:rPr>
          <w:rFonts w:ascii="Times New Roman" w:cs="Times New Roman" w:eastAsia="Times New Roman" w:hAnsi="Times New Roman"/>
          <w:sz w:val="22"/>
          <w:szCs w:val="22"/>
          <w:b w:val="1"/>
          <w:bCs w:val="1"/>
          <w:i w:val="1"/>
          <w:iCs w:val="1"/>
          <w:color w:val="auto"/>
        </w:rPr>
        <w:t>FIEA</w:t>
      </w:r>
      <w:r>
        <w:rPr>
          <w:rFonts w:ascii="Times New Roman" w:cs="Times New Roman" w:eastAsia="Times New Roman" w:hAnsi="Times New Roman"/>
          <w:sz w:val="22"/>
          <w:szCs w:val="22"/>
          <w:color w:val="auto"/>
        </w:rPr>
        <w:t>”). The shares of Common Stock may not be offered or sold in Japan or to, or for the benefit of, any resident of Japan or to others for re-offering or re-sale, directly or indirectly, in</w:t>
      </w:r>
    </w:p>
    <w:p>
      <w:pPr>
        <w:sectPr>
          <w:pgSz w:w="11900" w:h="16838" w:orient="portrait"/>
          <w:cols w:equalWidth="0" w:num="1">
            <w:col w:w="11080"/>
          </w:cols>
          <w:pgMar w:left="480" w:top="58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22"/>
          <w:szCs w:val="22"/>
          <w:color w:val="auto"/>
        </w:rPr>
        <w:t>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place of domicile or residence in Japan, or any corporation or other entity organized under the laws of Japan or having its main office in Japan.</w:t>
      </w:r>
    </w:p>
    <w:p>
      <w:pPr>
        <w:spacing w:after="0" w:line="64" w:lineRule="exact"/>
        <w:rPr>
          <w:sz w:val="20"/>
          <w:szCs w:val="20"/>
          <w:color w:val="auto"/>
        </w:rPr>
      </w:pPr>
    </w:p>
    <w:p>
      <w:pPr>
        <w:jc w:val="both"/>
        <w:ind w:left="8"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Foreign Asset / Account Reporting. </w:t>
      </w:r>
      <w:r>
        <w:rPr>
          <w:rFonts w:ascii="Times New Roman" w:cs="Times New Roman" w:eastAsia="Times New Roman" w:hAnsi="Times New Roman"/>
          <w:sz w:val="22"/>
          <w:szCs w:val="22"/>
          <w:color w:val="auto"/>
        </w:rPr>
        <w:t>If you hold assets outside of Japan (e.g., shares of Common Stock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with a value exceeding ¥50,000,000 (as of December 31 each year), you are required to comply with annual tax reporting obligations with respect to such assets. Such report will be due by March 15 each year. You should consult with your personal tax advisor to ensure that you are properly complying with applicable reporting requirements in Japan.</w:t>
      </w:r>
    </w:p>
    <w:p>
      <w:pPr>
        <w:spacing w:after="0" w:line="200" w:lineRule="exact"/>
        <w:rPr>
          <w:sz w:val="20"/>
          <w:szCs w:val="20"/>
          <w:color w:val="auto"/>
        </w:rPr>
      </w:pPr>
    </w:p>
    <w:p>
      <w:pPr>
        <w:spacing w:after="0" w:line="232"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112"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Polish residents holding foreign securities which are not connected with their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shares of Common Stock)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You should consult with your personal legal advisor to determine whether you will be required to submit reports to the National Bank of Poland.</w:t>
      </w:r>
    </w:p>
    <w:p>
      <w:pPr>
        <w:spacing w:after="0" w:line="71"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21"/>
          <w:szCs w:val="21"/>
          <w:color w:val="auto"/>
        </w:rPr>
        <w:t>Polish entrepreneurs are also required to transfer funds through a bank account or payment institution in Poland if: (i) the payment is connected with their business, and (ii) the transferred amount in any single transaction exceeds PLN 15,000, and</w:t>
      </w:r>
    </w:p>
    <w:p>
      <w:pPr>
        <w:spacing w:after="0" w:line="2" w:lineRule="exact"/>
        <w:rPr>
          <w:sz w:val="20"/>
          <w:szCs w:val="20"/>
          <w:color w:val="auto"/>
        </w:rPr>
      </w:pPr>
    </w:p>
    <w:p>
      <w:pPr>
        <w:jc w:val="both"/>
        <w:ind w:left="8" w:hanging="8"/>
        <w:spacing w:after="0" w:line="246" w:lineRule="auto"/>
        <w:tabs>
          <w:tab w:leader="none" w:pos="40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to the transaction is also an entrepreneur.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5 years from the end of the year in which such transaction was made. Penalties may apply for failure to comply with exchange control requirements. You understand that you are required to store all documents connected with any foreign exchange transactions you engage in for a period of five years, as measured from the end of the year in which such transaction occurred.</w:t>
      </w:r>
    </w:p>
    <w:p>
      <w:pPr>
        <w:spacing w:after="0" w:line="77"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RSU Award does not constitute an "offer of securities to the public” in Poland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it is not subject to securities registration in Poland. No document or material related to the Plan has been or will be filed with, approved or supervised by any Polish regulatory authority. No such document or material may be made publicly available in Poland.</w:t>
      </w:r>
    </w:p>
    <w:p>
      <w:pPr>
        <w:spacing w:after="0" w:line="60" w:lineRule="exact"/>
        <w:rPr>
          <w:sz w:val="20"/>
          <w:szCs w:val="20"/>
          <w:color w:val="auto"/>
        </w:rPr>
      </w:pPr>
    </w:p>
    <w:p>
      <w:pPr>
        <w:jc w:val="both"/>
        <w:ind w:left="8"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Employment Matters. </w:t>
      </w:r>
      <w:r>
        <w:rPr>
          <w:rFonts w:ascii="Times New Roman" w:cs="Times New Roman" w:eastAsia="Times New Roman" w:hAnsi="Times New Roman"/>
          <w:sz w:val="22"/>
          <w:szCs w:val="22"/>
          <w:color w:val="auto"/>
        </w:rPr>
        <w:t>The definition of “Cause” is modified such that the following supplements the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definition in the Plan:</w:t>
      </w:r>
    </w:p>
    <w:p>
      <w:pPr>
        <w:spacing w:after="0" w:line="39" w:lineRule="exact"/>
        <w:rPr>
          <w:sz w:val="20"/>
          <w:szCs w:val="20"/>
          <w:color w:val="auto"/>
        </w:rPr>
      </w:pPr>
    </w:p>
    <w:p>
      <w:pPr>
        <w:jc w:val="both"/>
        <w:ind w:left="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Company (or the Affiliate) defining such term and, in the absence of such agreement, such term means, with respect to a Participant, the occurrence of any of the following events: (i) such Participant commits a crime while bound by the employment contract, which prevents further employment of the Participant in the occupied position, if the crime is obvious or has been declared by a court in a final and unappealable judgment(ii) such</w:t>
      </w:r>
    </w:p>
    <w:p>
      <w:pPr>
        <w:sectPr>
          <w:pgSz w:w="11900" w:h="16838" w:orient="portrait"/>
          <w:cols w:equalWidth="0" w:num="1">
            <w:col w:w="11088"/>
          </w:cols>
          <w:pgMar w:left="472" w:top="58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Participant’s gross violation of basic employee duties; (iii) such Participant’s unauthorized use or disclosure of the Company’s (or the Affiliate’s) confidential information or trade secrets; (iv) such Participant is absent from work for three months while on detention awaiting trial, or (v) any other serious act or omission 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Tax Matters. </w:t>
      </w:r>
      <w:r>
        <w:rPr>
          <w:rFonts w:ascii="Times New Roman" w:cs="Times New Roman" w:eastAsia="Times New Roman" w:hAnsi="Times New Roman"/>
          <w:sz w:val="22"/>
          <w:szCs w:val="22"/>
          <w:color w:val="auto"/>
        </w:rPr>
        <w:t>The detailed tax matters are described in the Plan prospectus.</w:t>
      </w: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125" w:lineRule="exact"/>
        <w:rPr>
          <w:sz w:val="20"/>
          <w:szCs w:val="20"/>
          <w:color w:val="auto"/>
        </w:rPr>
      </w:pPr>
    </w:p>
    <w:p>
      <w:pPr>
        <w:jc w:val="both"/>
        <w:ind w:firstLine="504"/>
        <w:spacing w:after="0" w:line="280" w:lineRule="auto"/>
        <w:rPr>
          <w:sz w:val="20"/>
          <w:szCs w:val="20"/>
          <w:color w:val="auto"/>
        </w:rPr>
      </w:pPr>
      <w:r>
        <w:rPr>
          <w:rFonts w:ascii="Times New Roman" w:cs="Times New Roman" w:eastAsia="Times New Roman" w:hAnsi="Times New Roman"/>
          <w:sz w:val="22"/>
          <w:szCs w:val="22"/>
          <w:b w:val="1"/>
          <w:bCs w:val="1"/>
          <w:color w:val="auto"/>
        </w:rPr>
        <w:t>Restriction on Sale of Shares</w:t>
      </w:r>
      <w:r>
        <w:rPr>
          <w:rFonts w:ascii="Times New Roman" w:cs="Times New Roman" w:eastAsia="Times New Roman" w:hAnsi="Times New Roman"/>
          <w:sz w:val="22"/>
          <w:szCs w:val="22"/>
          <w:color w:val="auto"/>
        </w:rPr>
        <w:t>. Shares of Common Stock acquired under the Plan prior to the six (6) month anniversary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of grant may not be sold or otherwise offered for sale in Singapore, unless such sale or offer is made (i) more than six months after the date of grant; or (ii) pursuant to the exemptions under Part XIII Division (1) Subdivision (4) (other than section 280) of the Singapore Securities and Futures Act (Chapter 289) of Singapore (“</w:t>
      </w:r>
      <w:r>
        <w:rPr>
          <w:rFonts w:ascii="Times New Roman" w:cs="Times New Roman" w:eastAsia="Times New Roman" w:hAnsi="Times New Roman"/>
          <w:sz w:val="22"/>
          <w:szCs w:val="22"/>
          <w:b w:val="1"/>
          <w:bCs w:val="1"/>
          <w:i w:val="1"/>
          <w:iCs w:val="1"/>
          <w:color w:val="auto"/>
        </w:rPr>
        <w:t>SFA</w:t>
      </w:r>
      <w:r>
        <w:rPr>
          <w:rFonts w:ascii="Times New Roman" w:cs="Times New Roman" w:eastAsia="Times New Roman" w:hAnsi="Times New Roman"/>
          <w:sz w:val="22"/>
          <w:szCs w:val="22"/>
          <w:color w:val="auto"/>
        </w:rPr>
        <w:t>”) or pursuant to, and in accordance with the conditions of, any other applicable provision(s) of the SFA.</w:t>
      </w:r>
    </w:p>
    <w:p>
      <w:pPr>
        <w:spacing w:after="0" w:line="50"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Award is being granted to you pursuant to the “qualifying person” exemption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273(1)(i), read with section 273(4)of the SFA. The Plan has not been, nor will it be, lodged or registered as a prospectus with the Monetary Authority of Singapore.</w:t>
      </w:r>
    </w:p>
    <w:p>
      <w:pPr>
        <w:spacing w:after="0" w:line="53"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b w:val="1"/>
          <w:bCs w:val="1"/>
          <w:color w:val="auto"/>
        </w:rPr>
        <w:t>Chief Executive Officer and Director Notification Obligation</w:t>
      </w:r>
      <w:r>
        <w:rPr>
          <w:rFonts w:ascii="Times New Roman" w:cs="Times New Roman" w:eastAsia="Times New Roman" w:hAnsi="Times New Roman"/>
          <w:sz w:val="22"/>
          <w:szCs w:val="22"/>
          <w:color w:val="auto"/>
        </w:rPr>
        <w:t>. You acknowledge that if you are the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or a director, as defined under the Companies Act (Chapter 50) of Singapore (“</w:t>
      </w:r>
      <w:r>
        <w:rPr>
          <w:rFonts w:ascii="Times New Roman" w:cs="Times New Roman" w:eastAsia="Times New Roman" w:hAnsi="Times New Roman"/>
          <w:sz w:val="22"/>
          <w:szCs w:val="22"/>
          <w:b w:val="1"/>
          <w:bCs w:val="1"/>
          <w:i w:val="1"/>
          <w:iCs w:val="1"/>
          <w:color w:val="auto"/>
        </w:rPr>
        <w:t>Singapore Companies Act</w:t>
      </w:r>
      <w:r>
        <w:rPr>
          <w:rFonts w:ascii="Times New Roman" w:cs="Times New Roman" w:eastAsia="Times New Roman" w:hAnsi="Times New Roman"/>
          <w:sz w:val="22"/>
          <w:szCs w:val="22"/>
          <w:color w:val="auto"/>
        </w:rPr>
        <w:t>”) of a Singapore Subsidiary, you are subject to certain disclosure requirements under the Singapore Companies Act. Among these requirements is an obligation to notify the Singapore Subsidiary in writing of any interest in shares, debentures, rights or options (e.g., Awards or shares of Common Stock) in the Singapore Subsidiary and/or its “related corporation” as defined under the Singapore Companies Act, within two business days of (i) its acquisition or disposal, (ii) any change in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when the shares of Common Stock are sold), or (iii) becoming a CEO or a director.</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Section 5(a) (Data Privacy) of this Appendix is deleted and replaced with the following:</w:t>
      </w:r>
    </w:p>
    <w:p>
      <w:pPr>
        <w:spacing w:after="0" w:line="116" w:lineRule="exact"/>
        <w:rPr>
          <w:sz w:val="20"/>
          <w:szCs w:val="20"/>
          <w:color w:val="auto"/>
        </w:rPr>
      </w:pPr>
    </w:p>
    <w:p>
      <w:pPr>
        <w:jc w:val="both"/>
        <w:ind w:left="500" w:firstLine="648"/>
        <w:spacing w:after="0" w:line="251" w:lineRule="auto"/>
        <w:rPr>
          <w:sz w:val="20"/>
          <w:szCs w:val="20"/>
          <w:color w:val="auto"/>
        </w:rPr>
      </w:pPr>
      <w:r>
        <w:rPr>
          <w:rFonts w:ascii="Times New Roman" w:cs="Times New Roman" w:eastAsia="Times New Roman" w:hAnsi="Times New Roman"/>
          <w:sz w:val="22"/>
          <w:szCs w:val="22"/>
          <w:color w:val="auto"/>
        </w:rPr>
        <w:t>“You explicitly and unambiguously acknowledge and consent to the collection, use, disclosure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Personal Data may be transferred to any third parties assisting in the implementation, administration and management of the Plan, that these recipients may be located in your country or elsewhere, in particular in the US, and that the recipient country may have</w:t>
      </w:r>
    </w:p>
    <w:p>
      <w:pPr>
        <w:sectPr>
          <w:pgSz w:w="11900" w:h="16838" w:orient="portrait"/>
          <w:cols w:equalWidth="0" w:num="1">
            <w:col w:w="11080"/>
          </w:cols>
          <w:pgMar w:left="480" w:top="58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60" w:lineRule="auto"/>
        <w:rPr>
          <w:sz w:val="20"/>
          <w:szCs w:val="20"/>
          <w:color w:val="auto"/>
        </w:rPr>
      </w:pPr>
      <w:r>
        <w:rPr>
          <w:rFonts w:ascii="Times New Roman" w:cs="Times New Roman" w:eastAsia="Times New Roman" w:hAnsi="Times New Roman"/>
          <w:sz w:val="21"/>
          <w:szCs w:val="21"/>
          <w:color w:val="auto"/>
        </w:rPr>
        <w:t>different data privacy laws providing less protections of your Personal Data than Singapore, in which case the Company will ensure that such recipient(s) provide a standard of protection to such Personal Data so transferred that is comparable to the protection under the Singapore Personal Data Protection Act 2012 (No. 26 of 2012) (“</w:t>
      </w:r>
      <w:r>
        <w:rPr>
          <w:rFonts w:ascii="Times New Roman" w:cs="Times New Roman" w:eastAsia="Times New Roman" w:hAnsi="Times New Roman"/>
          <w:sz w:val="21"/>
          <w:szCs w:val="21"/>
          <w:b w:val="1"/>
          <w:bCs w:val="1"/>
          <w:i w:val="1"/>
          <w:iCs w:val="1"/>
          <w:color w:val="auto"/>
        </w:rPr>
        <w:t>PDPA</w:t>
      </w:r>
      <w:r>
        <w:rPr>
          <w:rFonts w:ascii="Times New Roman" w:cs="Times New Roman" w:eastAsia="Times New Roman" w:hAnsi="Times New Roman"/>
          <w:sz w:val="21"/>
          <w:szCs w:val="21"/>
          <w:color w:val="auto"/>
        </w:rPr>
        <w:t>”). You may request a list with the names and addresses of any potential recipients of the Personal Data by contacting the stock plan administrator at the Company (the “</w:t>
      </w:r>
      <w:r>
        <w:rPr>
          <w:rFonts w:ascii="Times New Roman" w:cs="Times New Roman" w:eastAsia="Times New Roman" w:hAnsi="Times New Roman"/>
          <w:sz w:val="21"/>
          <w:szCs w:val="21"/>
          <w:b w:val="1"/>
          <w:bCs w:val="1"/>
          <w:i w:val="1"/>
          <w:iCs w:val="1"/>
          <w:color w:val="auto"/>
        </w:rPr>
        <w:t>Stock Plan Administrator</w:t>
      </w:r>
      <w:r>
        <w:rPr>
          <w:rFonts w:ascii="Times New Roman" w:cs="Times New Roman" w:eastAsia="Times New Roman" w:hAnsi="Times New Roman"/>
          <w:sz w:val="21"/>
          <w:szCs w:val="21"/>
          <w:color w:val="auto"/>
        </w:rPr>
        <w:t>”). You acknowledge that the recipients may receive, possess, process, use, retain and transfer the Personal Data, in electronic or other form, for the purposes of implementing, administering and managing your participation in the Plan, including any requisite transfer of such Personal Data, as may be required to a broker or other third party with whom you may elect to deposit any shares of Common Stock acquired upon the vesting of your RSU Award. You understand that Personal Data will be held only as long as is necessary to implement, administer and manage your participation in the Plan. You understand that the purposes for which your Personal Data will be collected or held may continue to apply even in situations where your employment with your employer has been terminated or altered. You may, at any time, view the Personal Data, request additional information about the storage and processing of the Personal Data, require any necessary amendments to the Personal Data or refuse or withdraw the consents herein, in any case without cost, by contacting the Stock Plan Administrator in writing.</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For the purposes of this clause, “Personal Data” has the same meaning as set out in the PDPA.”</w:t>
      </w: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South Korea</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supplements Section 5 (Data Privacy) of the General Non-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Terms of the RSU Award Agreement:</w:t>
      </w:r>
    </w:p>
    <w:p>
      <w:pPr>
        <w:spacing w:after="0" w:line="146" w:lineRule="exact"/>
        <w:rPr>
          <w:sz w:val="20"/>
          <w:szCs w:val="20"/>
          <w:color w:val="auto"/>
        </w:rPr>
      </w:pPr>
    </w:p>
    <w:p>
      <w:pPr>
        <w:ind w:left="500" w:right="740"/>
        <w:spacing w:after="0" w:line="328" w:lineRule="auto"/>
        <w:rPr>
          <w:sz w:val="20"/>
          <w:szCs w:val="20"/>
          <w:color w:val="auto"/>
        </w:rPr>
      </w:pPr>
      <w:r>
        <w:rPr>
          <w:rFonts w:ascii="Times New Roman" w:cs="Times New Roman" w:eastAsia="Times New Roman" w:hAnsi="Times New Roman"/>
          <w:sz w:val="21"/>
          <w:szCs w:val="21"/>
          <w:color w:val="auto"/>
        </w:rPr>
        <w:t>Under the Personal Information Protection Act (“</w:t>
      </w:r>
      <w:r>
        <w:rPr>
          <w:rFonts w:ascii="Times New Roman" w:cs="Times New Roman" w:eastAsia="Times New Roman" w:hAnsi="Times New Roman"/>
          <w:sz w:val="21"/>
          <w:szCs w:val="21"/>
          <w:b w:val="1"/>
          <w:bCs w:val="1"/>
          <w:i w:val="1"/>
          <w:iCs w:val="1"/>
          <w:color w:val="auto"/>
        </w:rPr>
        <w:t>PIPA</w:t>
      </w:r>
      <w:r>
        <w:rPr>
          <w:rFonts w:ascii="Times New Roman" w:cs="Times New Roman" w:eastAsia="Times New Roman" w:hAnsi="Times New Roman"/>
          <w:sz w:val="21"/>
          <w:szCs w:val="21"/>
          <w:color w:val="auto"/>
        </w:rPr>
        <w:t>”), the Company must obtain written consent from you in a prescribed manner in order to process (i.e., collect, use, and transfer to third parties) your personal information.</w:t>
      </w:r>
    </w:p>
    <w:p>
      <w:pPr>
        <w:spacing w:after="0" w:line="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Foreign Asset / Account Reporting</w:t>
      </w:r>
      <w:r>
        <w:rPr>
          <w:rFonts w:ascii="Times New Roman" w:cs="Times New Roman" w:eastAsia="Times New Roman" w:hAnsi="Times New Roman"/>
          <w:sz w:val="22"/>
          <w:szCs w:val="22"/>
          <w:color w:val="auto"/>
        </w:rPr>
        <w:t>. Korean residents must declare all foreign financial accounts (e.g., non-Korean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brokerage accounts holding shares of Common Stock, etc.) to the Korean tax authority and file a report with respect to such accounts where the aggregate balance of accounts held in an offshore financial institution on any end date of each month during a calendar year exceeds KRW 0.5 billion (or an equivalent amount in foreign currency). You should consult your personal tax advisor regarding reporting requirements in Korea.</w:t>
      </w:r>
    </w:p>
    <w:p>
      <w:pPr>
        <w:spacing w:after="0" w:line="65"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The term “cash dividend” and “stock dividend” under Section 3 of the Agreement shall include any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Accordingly, you will not receive any benefit or adjustment to your RSU Award with respect to any dividend equivalents.</w:t>
      </w:r>
    </w:p>
    <w:p>
      <w:pPr>
        <w:spacing w:after="0" w:line="72" w:lineRule="exact"/>
        <w:rPr>
          <w:sz w:val="20"/>
          <w:szCs w:val="20"/>
          <w:color w:val="auto"/>
        </w:rPr>
      </w:pPr>
    </w:p>
    <w:p>
      <w:pPr>
        <w:jc w:val="both"/>
        <w:ind w:right="2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The terms “Withholding Taxes” and “tax liabilities” (as used in Section 8 of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include applicable social security in Korea.</w:t>
      </w:r>
    </w:p>
    <w:p>
      <w:pPr>
        <w:spacing w:after="0" w:line="41"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Language Acknowledgement. </w:t>
      </w:r>
      <w:r>
        <w:rPr>
          <w:rFonts w:ascii="Times New Roman" w:cs="Times New Roman" w:eastAsia="Times New Roman" w:hAnsi="Times New Roman"/>
          <w:sz w:val="22"/>
          <w:szCs w:val="22"/>
          <w:color w:val="auto"/>
        </w:rPr>
        <w:t>You confirm that you have read and understood the documents relating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RSU Award Agreement, with all terms and conditions included</w:t>
      </w:r>
    </w:p>
    <w:p>
      <w:pPr>
        <w:sectPr>
          <w:pgSz w:w="11900" w:h="16838" w:orient="portrait"/>
          <w:cols w:equalWidth="0" w:num="1">
            <w:col w:w="11080"/>
          </w:cols>
          <w:pgMar w:left="480" w:top="58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therein, which were provided in the English language only. You confirm that you have sufficient language capabilities to understand these terms and conditions in full.</w:t>
      </w:r>
    </w:p>
    <w:p>
      <w:pPr>
        <w:spacing w:after="0" w:line="46" w:lineRule="exact"/>
        <w:rPr>
          <w:sz w:val="20"/>
          <w:szCs w:val="20"/>
          <w:color w:val="auto"/>
        </w:rPr>
      </w:pPr>
    </w:p>
    <w:p>
      <w:pPr>
        <w:jc w:val="both"/>
        <w:ind w:firstLine="504"/>
        <w:spacing w:after="0" w:line="279" w:lineRule="exact"/>
        <w:rPr>
          <w:sz w:val="20"/>
          <w:szCs w:val="20"/>
          <w:color w:val="auto"/>
        </w:rPr>
      </w:pPr>
      <w:r>
        <w:rPr>
          <w:rFonts w:ascii="Arial Unicode MS" w:cs="Arial Unicode MS" w:eastAsia="Arial Unicode MS" w:hAnsi="Arial Unicode MS"/>
          <w:sz w:val="22"/>
          <w:szCs w:val="22"/>
          <w:color w:val="auto"/>
          <w:highlight w:val="black"/>
        </w:rPr>
        <w:t>언어</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귀하는</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부여 계약을 포함하여</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w:t>
      </w:r>
      <w:r>
        <w:rPr>
          <w:rFonts w:ascii="Arial Unicode MS" w:cs="Arial Unicode MS" w:eastAsia="Arial Unicode MS" w:hAnsi="Arial Unicode MS"/>
          <w:sz w:val="22"/>
          <w:szCs w:val="22"/>
          <w:color w:val="auto"/>
        </w:rPr>
        <w:t>에 관계된 영문자료 내 포함된 제반 조건들 읽고 이해하였다는 점에</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대해 확인합니다</w:t>
      </w:r>
      <w:r>
        <w:rPr>
          <w:rFonts w:ascii="Times New Roman" w:cs="Times New Roman" w:eastAsia="Times New Roman" w:hAnsi="Times New Roman"/>
          <w:sz w:val="22"/>
          <w:szCs w:val="22"/>
          <w:color w:val="auto"/>
        </w:rPr>
        <w:t xml:space="preserve">. </w:t>
      </w:r>
      <w:r>
        <w:rPr>
          <w:rFonts w:ascii="Arial Unicode MS" w:cs="Arial Unicode MS" w:eastAsia="Arial Unicode MS" w:hAnsi="Arial Unicode MS"/>
          <w:sz w:val="22"/>
          <w:szCs w:val="22"/>
          <w:color w:val="auto"/>
        </w:rPr>
        <w:t>귀사는 귀사가 해당 조건들에 대해 완전히 이해할 언어능력을 갖추었다는 점에 대해서도 확인합니</w:t>
      </w:r>
      <w:r>
        <w:rPr>
          <w:rFonts w:ascii="Times New Roman" w:cs="Times New Roman" w:eastAsia="Times New Roman" w:hAnsi="Times New Roman"/>
          <w:sz w:val="22"/>
          <w:szCs w:val="22"/>
          <w:color w:val="auto"/>
        </w:rPr>
        <w:t xml:space="preserve"> </w:t>
      </w:r>
      <w:r>
        <w:rPr>
          <w:rFonts w:ascii="Arial Unicode MS" w:cs="Arial Unicode MS" w:eastAsia="Arial Unicode MS" w:hAnsi="Arial Unicode MS"/>
          <w:sz w:val="22"/>
          <w:szCs w:val="22"/>
          <w:color w:val="auto"/>
        </w:rPr>
        <w:t>다</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“Cause” shall include, but not be limited to, all reasons entitling to a summary dismissal pursuant to Articles 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24 of the Labor Standard Act, without limiting the definition of Cause as outlined in the Plan.</w:t>
      </w:r>
    </w:p>
    <w:p>
      <w:pPr>
        <w:spacing w:after="0" w:line="41"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 Right against Employer. </w:t>
      </w:r>
      <w:r>
        <w:rPr>
          <w:rFonts w:ascii="Times New Roman" w:cs="Times New Roman" w:eastAsia="Times New Roman" w:hAnsi="Times New Roman"/>
          <w:sz w:val="22"/>
          <w:szCs w:val="22"/>
          <w:color w:val="auto"/>
        </w:rPr>
        <w:t>You expressly acknowledge that you shall not have any right or claim under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Award, the Grant Notice and this RSU Award Agreement against the Affiliate under which you are employed.</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Wage</w:t>
      </w:r>
      <w:r>
        <w:rPr>
          <w:rFonts w:ascii="Times New Roman" w:cs="Times New Roman" w:eastAsia="Times New Roman" w:hAnsi="Times New Roman"/>
          <w:sz w:val="22"/>
          <w:szCs w:val="22"/>
          <w:color w:val="auto"/>
        </w:rPr>
        <w:t>. You expressly agree that any RSU Awards will not constitute wage under Korean laws.</w:t>
      </w:r>
    </w:p>
    <w:p>
      <w:pPr>
        <w:spacing w:after="0" w:line="112"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Term “Company”. </w:t>
      </w:r>
      <w:r>
        <w:rPr>
          <w:rFonts w:ascii="Times New Roman" w:cs="Times New Roman" w:eastAsia="Times New Roman" w:hAnsi="Times New Roman"/>
          <w:sz w:val="22"/>
          <w:szCs w:val="22"/>
          <w:color w:val="auto"/>
        </w:rPr>
        <w:t>The term “Company” as used in Section 8(b) and 8(c) of the Plan shall include the Company as well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its Affiliates.</w:t>
      </w:r>
    </w:p>
    <w:p>
      <w:pPr>
        <w:spacing w:after="0" w:line="3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12"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No Entitlement for Claims or Compensation. </w:t>
      </w:r>
      <w:r>
        <w:rPr>
          <w:rFonts w:ascii="Times New Roman" w:cs="Times New Roman" w:eastAsia="Times New Roman" w:hAnsi="Times New Roman"/>
          <w:sz w:val="22"/>
          <w:szCs w:val="22"/>
          <w:color w:val="auto"/>
        </w:rPr>
        <w:t>The following provision supplements Section 4 of the General Non-U.S.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 this Appendix to the RSU Award Agreement that clarify that the grant, vesting, or settlement of your RSU Award does not give you a right to continued service/employment:</w:t>
      </w:r>
    </w:p>
    <w:p>
      <w:pPr>
        <w:spacing w:after="0" w:line="57" w:lineRule="exact"/>
        <w:rPr>
          <w:sz w:val="20"/>
          <w:szCs w:val="20"/>
          <w:color w:val="auto"/>
        </w:rPr>
      </w:pPr>
    </w:p>
    <w:p>
      <w:pPr>
        <w:jc w:val="both"/>
        <w:ind w:left="500" w:firstLine="648"/>
        <w:spacing w:after="0" w:line="271" w:lineRule="auto"/>
        <w:rPr>
          <w:sz w:val="20"/>
          <w:szCs w:val="20"/>
          <w:color w:val="auto"/>
        </w:rPr>
      </w:pPr>
      <w:r>
        <w:rPr>
          <w:rFonts w:ascii="Times New Roman" w:cs="Times New Roman" w:eastAsia="Times New Roman" w:hAnsi="Times New Roman"/>
          <w:sz w:val="22"/>
          <w:szCs w:val="22"/>
          <w:color w:val="auto"/>
        </w:rPr>
        <w:t>By accepting the grant of the RSU Award, you consent to participation in the Plan and acknowledge that you have received a copy of the Plan document.</w:t>
      </w:r>
    </w:p>
    <w:p>
      <w:pPr>
        <w:spacing w:after="0" w:line="50" w:lineRule="exact"/>
        <w:rPr>
          <w:sz w:val="20"/>
          <w:szCs w:val="20"/>
          <w:color w:val="auto"/>
        </w:rPr>
      </w:pPr>
    </w:p>
    <w:p>
      <w:pPr>
        <w:jc w:val="both"/>
        <w:ind w:left="500" w:firstLine="648"/>
        <w:spacing w:after="0" w:line="248" w:lineRule="auto"/>
        <w:rPr>
          <w:sz w:val="20"/>
          <w:szCs w:val="20"/>
          <w:color w:val="auto"/>
        </w:rPr>
      </w:pPr>
      <w:r>
        <w:rPr>
          <w:rFonts w:ascii="Times New Roman" w:cs="Times New Roman" w:eastAsia="Times New Roman" w:hAnsi="Times New Roman"/>
          <w:sz w:val="22"/>
          <w:szCs w:val="22"/>
          <w:color w:val="auto"/>
        </w:rPr>
        <w:t>You understand that the Company has unilaterally, gratuitously and in its sole discretion decided to make grants of RSU Awards under the Plan to individuals who may be Employees, Directors and Consultants throughout the world. The decision is limited and entered into based upon the express assumption and condition that any RSU Awards will not economically or otherwise bind the Company or any Affiliate, including your employer, on an ongoing basis, other than as expressly set forth in the RSU Award Agreement. Consequently, you understand that the grant of RSU Awards is made on the assumption and condition that the RSU Awards shall not become part of any employment contract (whether with the Company or any Affiliate, including your employer) and shall not be considered a mandatory benefit, salary for any purpose (including severance compensation) or any other right whatsoever. Furthermore, you understand and freely accept that there is no guarantee that any benefit whatsoever shall arise from the RSU Awards , which are gratuitous and discretionary, since the future value of the RSU Awards and the underlying shares of Common Stock is unknown and unpredictable.</w:t>
      </w:r>
    </w:p>
    <w:p>
      <w:pPr>
        <w:spacing w:after="0" w:line="81" w:lineRule="exact"/>
        <w:rPr>
          <w:sz w:val="20"/>
          <w:szCs w:val="20"/>
          <w:color w:val="auto"/>
        </w:rPr>
      </w:pPr>
    </w:p>
    <w:p>
      <w:pPr>
        <w:jc w:val="both"/>
        <w:ind w:left="500" w:firstLine="648"/>
        <w:spacing w:after="0" w:line="256" w:lineRule="auto"/>
        <w:rPr>
          <w:sz w:val="20"/>
          <w:szCs w:val="20"/>
          <w:color w:val="auto"/>
        </w:rPr>
      </w:pPr>
      <w:r>
        <w:rPr>
          <w:rFonts w:ascii="Times New Roman" w:cs="Times New Roman" w:eastAsia="Times New Roman" w:hAnsi="Times New Roman"/>
          <w:sz w:val="22"/>
          <w:szCs w:val="22"/>
          <w:color w:val="auto"/>
        </w:rPr>
        <w:t>You understand and agree that, as a condition of the grant of the RSU Awards , your termination of Continuous Service for any reason (including for the reasons listed below) will automatically result in the cancellation and loss of any RSU Awards that may have been granted to you and that were not fully vested on the date of termination of your Continuous Service. In particular, you understand and agree that, unless otherwise expressly provided for by the</w:t>
      </w:r>
    </w:p>
    <w:p>
      <w:pPr>
        <w:sectPr>
          <w:pgSz w:w="11900" w:h="16838" w:orient="portrait"/>
          <w:cols w:equalWidth="0" w:num="1">
            <w:col w:w="11080"/>
          </w:cols>
          <w:pgMar w:left="480" w:top="58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50" w:lineRule="auto"/>
        <w:rPr>
          <w:sz w:val="20"/>
          <w:szCs w:val="20"/>
          <w:color w:val="auto"/>
        </w:rPr>
      </w:pPr>
      <w:r>
        <w:rPr>
          <w:rFonts w:ascii="Times New Roman" w:cs="Times New Roman" w:eastAsia="Times New Roman" w:hAnsi="Times New Roman"/>
          <w:sz w:val="22"/>
          <w:szCs w:val="22"/>
          <w:color w:val="auto"/>
        </w:rPr>
        <w:t>Company at the Date of Grant, the RSU Awards will be cancelled without entitlement to the shares or to any amount as indemnification if you terminate employment by reason of, including, but not limited to: resignation, death, disability, retirement, disciplinary dismissal adjudged to be with cause, disciplinary dismissal adjudged or recognized to be without cause,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72" w:lineRule="exact"/>
        <w:rPr>
          <w:sz w:val="20"/>
          <w:szCs w:val="20"/>
          <w:color w:val="auto"/>
        </w:rPr>
      </w:pPr>
    </w:p>
    <w:p>
      <w:pPr>
        <w:jc w:val="both"/>
        <w:ind w:left="500" w:firstLine="648"/>
        <w:spacing w:after="0" w:line="256" w:lineRule="auto"/>
        <w:rPr>
          <w:sz w:val="20"/>
          <w:szCs w:val="20"/>
          <w:color w:val="auto"/>
        </w:rPr>
      </w:pPr>
      <w:r>
        <w:rPr>
          <w:rFonts w:ascii="Times New Roman" w:cs="Times New Roman" w:eastAsia="Times New Roman" w:hAnsi="Times New Roman"/>
          <w:sz w:val="22"/>
          <w:szCs w:val="22"/>
          <w:color w:val="auto"/>
        </w:rPr>
        <w:t>You also understand that this grant of a RSU Award would not be made but for the assumptions and conditions set forth hereinabove; thus, you understand, acknowledge and freely accept that, should any or all of the assumptions be mistaken or any of the conditions not be met for any reason, the grant, the RSU Award and any right to the underlying shares of Common Stock shall be null and void.</w:t>
      </w:r>
    </w:p>
    <w:p>
      <w:pPr>
        <w:spacing w:after="0" w:line="64" w:lineRule="exact"/>
        <w:rPr>
          <w:sz w:val="20"/>
          <w:szCs w:val="20"/>
          <w:color w:val="auto"/>
        </w:rPr>
      </w:pPr>
    </w:p>
    <w:p>
      <w:pPr>
        <w:jc w:val="both"/>
        <w:ind w:firstLine="50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Restricted Stock Units described in the RSU Award Agreement and this Appendix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qualify under Spanish regulations as securities. No “offer of securities to the public”, as defined under Spanish law, has taken place or will take place in the Spanish territory. The RSU Agreement (including this Appendix) has not been nor will it be registered with the </w:t>
      </w:r>
      <w:r>
        <w:rPr>
          <w:rFonts w:ascii="Times New Roman" w:cs="Times New Roman" w:eastAsia="Times New Roman" w:hAnsi="Times New Roman"/>
          <w:sz w:val="21"/>
          <w:szCs w:val="21"/>
          <w:i w:val="1"/>
          <w:iCs w:val="1"/>
          <w:color w:val="auto"/>
        </w:rPr>
        <w:t>Comisión Nacional del Mercado de Valores</w:t>
      </w:r>
      <w:r>
        <w:rPr>
          <w:rFonts w:ascii="Times New Roman" w:cs="Times New Roman" w:eastAsia="Times New Roman" w:hAnsi="Times New Roman"/>
          <w:sz w:val="21"/>
          <w:szCs w:val="21"/>
          <w:color w:val="auto"/>
        </w:rPr>
        <w:t>, and does not constitute a public offering prospectus.</w:t>
      </w:r>
    </w:p>
    <w:p>
      <w:pPr>
        <w:spacing w:after="0" w:line="4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Assets Reporting. </w:t>
      </w:r>
      <w:r>
        <w:rPr>
          <w:rFonts w:ascii="Times New Roman" w:cs="Times New Roman" w:eastAsia="Times New Roman" w:hAnsi="Times New Roman"/>
          <w:sz w:val="22"/>
          <w:szCs w:val="22"/>
          <w:color w:val="auto"/>
        </w:rPr>
        <w:t>You may be subject to certain tax reporting requirements with respect to assets or rights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hold outside of Spain, including bank accounts, securities and real estate if the aggregate value for particular category of assets exceeds €50,000 as of December 31 each year. Shares acquired under the Plan or other equity programs offered by the Company constitute securities for purposes of this requirement, but unvested awards (e.g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Restricted Stock Units, etc.) are not considered assets or rights for purposes of this reporting requirement.</w:t>
      </w:r>
    </w:p>
    <w:p>
      <w:pPr>
        <w:spacing w:after="0" w:line="69"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22"/>
          <w:szCs w:val="22"/>
          <w:color w:val="auto"/>
        </w:rPr>
        <w:t>If applicable, you must report the assets on Form 720 by no later than March 31 following the end of the relevant year. After the rights and/or assets are initially reported, the reporting obligation will only apply if (a) the value of previously-reported rights or assets increases by more than</w:t>
      </w:r>
    </w:p>
    <w:p>
      <w:pPr>
        <w:spacing w:after="0" w:line="65" w:lineRule="exact"/>
        <w:rPr>
          <w:sz w:val="20"/>
          <w:szCs w:val="20"/>
          <w:color w:val="auto"/>
        </w:rPr>
      </w:pPr>
    </w:p>
    <w:p>
      <w:pPr>
        <w:jc w:val="both"/>
        <w:ind w:firstLine="504"/>
        <w:spacing w:after="0" w:line="284" w:lineRule="auto"/>
        <w:rPr>
          <w:sz w:val="20"/>
          <w:szCs w:val="20"/>
          <w:color w:val="auto"/>
        </w:rPr>
      </w:pPr>
      <w:r>
        <w:rPr>
          <w:rFonts w:ascii="Times New Roman" w:cs="Times New Roman" w:eastAsia="Times New Roman" w:hAnsi="Times New Roman"/>
          <w:sz w:val="22"/>
          <w:szCs w:val="22"/>
          <w:color w:val="auto"/>
        </w:rPr>
        <w:t>€20,000 as of each subsequent December 31, or (b) upon disposition of the previously-reported rights or assets. You are encouraged to consult with your personal advisor to determine any obligations in this respect.</w:t>
      </w:r>
    </w:p>
    <w:p>
      <w:pPr>
        <w:spacing w:after="0" w:line="32" w:lineRule="exact"/>
        <w:rPr>
          <w:sz w:val="20"/>
          <w:szCs w:val="20"/>
          <w:color w:val="auto"/>
        </w:rPr>
      </w:pPr>
    </w:p>
    <w:p>
      <w:pPr>
        <w:jc w:val="both"/>
        <w:ind w:firstLine="504"/>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Share Reporting Requirement. </w:t>
      </w:r>
      <w:r>
        <w:rPr>
          <w:rFonts w:ascii="Times New Roman" w:cs="Times New Roman" w:eastAsia="Times New Roman" w:hAnsi="Times New Roman"/>
          <w:sz w:val="22"/>
          <w:szCs w:val="22"/>
          <w:color w:val="auto"/>
        </w:rPr>
        <w:t>You must declare the acquisition, ownership and disposition of Shares to the Spanish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Dirección General de Comercio e Inversiones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DGCI</w:t>
      </w:r>
      <w:r>
        <w:rPr>
          <w:rFonts w:ascii="Times New Roman" w:cs="Times New Roman" w:eastAsia="Times New Roman" w:hAnsi="Times New Roman"/>
          <w:sz w:val="22"/>
          <w:szCs w:val="22"/>
          <w:color w:val="auto"/>
        </w:rPr>
        <w:t>”) of the Ministry of Economy and Competitiveness on a Form D-6.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the declaration must be made in January for Shares owned as of December 31 of the prior year and/or shares of Common Stock acquired or disposed of during the prior year; however, if the value of the shares of Common Stock acquired or the amount of the sale proceeds exceeds the threshold in force from time to time (or you hold 10% or more of the share capital of the Company or other such amount that would entitle you to join the Board), the declaration must be filed within one month of the acquisition or disposition, as applicable. You should consult with your personal advisor to determine your obligations in this respect.</w:t>
      </w:r>
    </w:p>
    <w:p>
      <w:pPr>
        <w:sectPr>
          <w:pgSz w:w="11900" w:h="16838" w:orient="portrait"/>
          <w:cols w:equalWidth="0" w:num="1">
            <w:col w:w="11080"/>
          </w:cols>
          <w:pgMar w:left="480" w:top="58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4"/>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Foreign Assets and Transaction Reporting. </w:t>
      </w:r>
      <w:r>
        <w:rPr>
          <w:rFonts w:ascii="Times New Roman" w:cs="Times New Roman" w:eastAsia="Times New Roman" w:hAnsi="Times New Roman"/>
          <w:sz w:val="21"/>
          <w:szCs w:val="21"/>
          <w:color w:val="auto"/>
        </w:rPr>
        <w:t>You may be required to electronically declare to the Bank of Spain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foreign accounts (including brokerage accounts held abroad), any foreign instruments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of Common Stock) and any transactions with non-Spanish residents (including any payments of cash or shares made to you by the Company or a U.S. brokerage account) if the balances in such accounts together with the value of such instruments as of December 31, or the volume of transactions with non-Spanish residents during the prior or current year, exceed €1,000,000. Once the €1,000,000 threshold has been surpassed in either respect, you will generally be required to report all of your foreign accounts, foreign instruments and transactions with non-Spanish residents, even if the relevant threshold has not been crossed for an individual item. You will generally only be required to report on an annual basis (by January 20 of each year); however, if the balances in your foreign accounts together with value of your foreign instruments or the volume of transactions with non-Spanish residents exceed €100,000,000, you acknowledge that more frequent reporting will be required.</w:t>
      </w:r>
    </w:p>
    <w:p>
      <w:pPr>
        <w:spacing w:after="0" w:line="200" w:lineRule="exact"/>
        <w:rPr>
          <w:sz w:val="20"/>
          <w:szCs w:val="20"/>
          <w:color w:val="auto"/>
        </w:rPr>
      </w:pPr>
    </w:p>
    <w:p>
      <w:pPr>
        <w:spacing w:after="0" w:line="2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112"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Cash settlement. </w:t>
      </w:r>
      <w:r>
        <w:rPr>
          <w:rFonts w:ascii="Times New Roman" w:cs="Times New Roman" w:eastAsia="Times New Roman" w:hAnsi="Times New Roman"/>
          <w:sz w:val="22"/>
          <w:szCs w:val="22"/>
          <w:color w:val="auto"/>
        </w:rPr>
        <w:t>Notwithstanding any provision of the Plan or the RSU Award Agreement, the RSU Awards may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settled in cash.</w:t>
      </w:r>
    </w:p>
    <w:p>
      <w:pPr>
        <w:spacing w:after="0" w:line="41"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Exchange Control. </w:t>
      </w:r>
      <w:r>
        <w:rPr>
          <w:rFonts w:ascii="Times New Roman" w:cs="Times New Roman" w:eastAsia="Times New Roman" w:hAnsi="Times New Roman"/>
          <w:sz w:val="22"/>
          <w:szCs w:val="22"/>
          <w:color w:val="auto"/>
        </w:rPr>
        <w:t>You understand and agree that foreign and local banks, financial institutions (including brokers)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others engaged in cross-border transactions generally may be required to report any payments to or from a foreign country exceeding a certain amount, to Swedish authorities (e.g. the Swedish Tax Agency). This requirement may apply even if you have a brokerage account with a foreign broker.</w:t>
      </w:r>
    </w:p>
    <w:p>
      <w:pPr>
        <w:spacing w:after="0" w:line="60"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Upon vesting and settlement of the RSU Awards the benefit, i.e. the fair market value of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awards at the time of vesting and settlement minus the total price paid for the restricted stock unit awards, is taxed as employment income at progressive rates, depending on your yearly income and municipal residency. Your employer will take the benefit into account for withholding tax purposes.</w:t>
      </w:r>
    </w:p>
    <w:p>
      <w:pPr>
        <w:spacing w:after="0" w:line="64"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22"/>
          <w:szCs w:val="22"/>
          <w:color w:val="auto"/>
        </w:rPr>
        <w:t>The taxable benefit will be added to your salary and other benefits the relevant month in order to determine what amount the employer should withhold. There is only an obligation to withhold tax from cash salary paid to you the relevant month. Should the cash salary not be enough to cover the tax on the benefit, you will be responsible to pay any additional tax to the Swedish Tax Agency.</w:t>
      </w:r>
    </w:p>
    <w:p>
      <w:pPr>
        <w:spacing w:after="0" w:line="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Sole Contact and Contractual Partner Information. </w:t>
      </w:r>
      <w:r>
        <w:rPr>
          <w:rFonts w:ascii="Times New Roman" w:cs="Times New Roman" w:eastAsia="Times New Roman" w:hAnsi="Times New Roman"/>
          <w:sz w:val="21"/>
          <w:szCs w:val="21"/>
          <w:color w:val="auto"/>
        </w:rPr>
        <w:t>You acknowledge that the RSU Award, the Grant Notice, this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the Appendix and your participation in the Plan does not create any claims against the Affiliate employing you, either directly or indirectly. To be clear: Your sole contract and sole contractual partner regarding the Plan and the granted RSU Award is the Company and the granted RSU Award does not form part of your contractual compensation.</w:t>
      </w:r>
    </w:p>
    <w:p>
      <w:pPr>
        <w:spacing w:after="0" w:line="65"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Continuous Service. </w:t>
      </w:r>
      <w:r>
        <w:rPr>
          <w:rFonts w:ascii="Times New Roman" w:cs="Times New Roman" w:eastAsia="Times New Roman" w:hAnsi="Times New Roman"/>
          <w:sz w:val="22"/>
          <w:szCs w:val="22"/>
          <w:color w:val="auto"/>
        </w:rPr>
        <w:t>Notwithstanding anything else in the Plan or the RSU Award Agreement, the Continuous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end on the date when a termination notice is issued, regardless of whether the cessation of the employment was lawful, and shall not include any period</w:t>
      </w:r>
    </w:p>
    <w:p>
      <w:pPr>
        <w:sectPr>
          <w:pgSz w:w="11900" w:h="16838" w:orient="portrait"/>
          <w:cols w:equalWidth="0" w:num="1">
            <w:col w:w="11080"/>
          </w:cols>
          <w:pgMar w:left="480" w:top="58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notice of termination of employment or any period of salary continuance or deemed employment. As a result, if you receive notice of termination your Continuous Service will end on the date you receive such notice from the Affiliate employing you.</w:t>
      </w:r>
    </w:p>
    <w:p>
      <w:pPr>
        <w:spacing w:after="0" w:line="46"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Award is not intended to be publicly offered in or from Switzerland. Because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a private offering, it is not subject to securities registration in Switzerland. Neither this document nor any other materials relating to the RSU Award and/or the underlying shares in Common Stock (i) constitutes a prospectus according to articles 35 et seq. of the Swiss Federal Act on Financial Services (“</w:t>
      </w:r>
      <w:r>
        <w:rPr>
          <w:rFonts w:ascii="Times New Roman" w:cs="Times New Roman" w:eastAsia="Times New Roman" w:hAnsi="Times New Roman"/>
          <w:sz w:val="22"/>
          <w:szCs w:val="22"/>
          <w:b w:val="1"/>
          <w:bCs w:val="1"/>
          <w:i w:val="1"/>
          <w:iCs w:val="1"/>
          <w:color w:val="auto"/>
        </w:rPr>
        <w:t>FinSA</w:t>
      </w:r>
      <w:r>
        <w:rPr>
          <w:rFonts w:ascii="Times New Roman" w:cs="Times New Roman" w:eastAsia="Times New Roman" w:hAnsi="Times New Roman"/>
          <w:sz w:val="22"/>
          <w:szCs w:val="22"/>
          <w:color w:val="auto"/>
        </w:rPr>
        <w:t>”); (ii) may be publicly distributed or otherwise made publicly available in Switzerland to any person other than an awardholder; or (iii) has been or will be filed with, approved or supervised by any Swiss reviewing body according to article 51 FinSA or any Swiss regulatory authority, including the Swiss Financial Market Supervisory Authority (“</w:t>
      </w:r>
      <w:r>
        <w:rPr>
          <w:rFonts w:ascii="Times New Roman" w:cs="Times New Roman" w:eastAsia="Times New Roman" w:hAnsi="Times New Roman"/>
          <w:sz w:val="22"/>
          <w:szCs w:val="22"/>
          <w:b w:val="1"/>
          <w:bCs w:val="1"/>
          <w:i w:val="1"/>
          <w:iCs w:val="1"/>
          <w:color w:val="auto"/>
        </w:rPr>
        <w:t>FINMA</w:t>
      </w:r>
      <w:r>
        <w:rPr>
          <w:rFonts w:ascii="Times New Roman" w:cs="Times New Roman" w:eastAsia="Times New Roman" w:hAnsi="Times New Roman"/>
          <w:sz w:val="22"/>
          <w:szCs w:val="22"/>
          <w:color w:val="auto"/>
        </w:rPr>
        <w:t>”).</w:t>
      </w:r>
    </w:p>
    <w:p>
      <w:pPr>
        <w:spacing w:after="0" w:line="71"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Grant of the Award. </w:t>
      </w:r>
      <w:r>
        <w:rPr>
          <w:rFonts w:ascii="Times New Roman" w:cs="Times New Roman" w:eastAsia="Times New Roman" w:hAnsi="Times New Roman"/>
          <w:sz w:val="22"/>
          <w:szCs w:val="22"/>
          <w:color w:val="auto"/>
        </w:rPr>
        <w:t>The RSU Award granted to you is a voluntary gratuity (</w:t>
      </w:r>
      <w:r>
        <w:rPr>
          <w:rFonts w:ascii="Times New Roman" w:cs="Times New Roman" w:eastAsia="Times New Roman" w:hAnsi="Times New Roman"/>
          <w:sz w:val="22"/>
          <w:szCs w:val="22"/>
          <w:i w:val="1"/>
          <w:iCs w:val="1"/>
          <w:color w:val="auto"/>
        </w:rPr>
        <w:t>Gratifikation; gratification</w:t>
      </w:r>
      <w:r>
        <w:rPr>
          <w:rFonts w:ascii="Times New Roman" w:cs="Times New Roman" w:eastAsia="Times New Roman" w:hAnsi="Times New Roman"/>
          <w:sz w:val="22"/>
          <w:szCs w:val="22"/>
          <w:color w:val="auto"/>
        </w:rPr>
        <w:t>)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of Article 322d Swiss Code of Obligations (CO) as determined at the Company's sole discretion which you have no entitlement to and which does not constitute an entitlement for a grant of further RSU Awards or other equities in the future.</w:t>
      </w:r>
    </w:p>
    <w:p>
      <w:pPr>
        <w:spacing w:after="0" w:line="58"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You acknowledge and confirm that the RSU Award grant is fully discretionary and that before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Stuck Unit has vested you shall not have any right in regard to such RSU Award.</w:t>
      </w:r>
    </w:p>
    <w:p>
      <w:pPr>
        <w:spacing w:after="0" w:line="55"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the avoidance of any doubt,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include, but not be limited to, any permanent disability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the social security laws of Switzerland.</w:t>
      </w:r>
    </w:p>
    <w:p>
      <w:pPr>
        <w:spacing w:after="0" w:line="41"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Social Security and Tax: </w:t>
      </w:r>
      <w:r>
        <w:rPr>
          <w:rFonts w:ascii="Times New Roman" w:cs="Times New Roman" w:eastAsia="Times New Roman" w:hAnsi="Times New Roman"/>
          <w:sz w:val="22"/>
          <w:szCs w:val="22"/>
          <w:color w:val="auto"/>
        </w:rPr>
        <w:t>You herewith directly authorize the Affiliate employing you to make all (if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social security, insurance and tax deductions resulting from the grant and/or vesting of the RSU Award or the sale of shares from any compensation owed to you by the Affiliate employing you, subject to any statutory limitations. If your compensation shall not be sufficient to cover such social security, insurance and tax liabilities, you will indemnify the Affiliate employing you upon first demand.</w:t>
      </w:r>
    </w:p>
    <w:p>
      <w:pPr>
        <w:spacing w:after="0" w:line="6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“Cause” shall include, but not be limited to, all reasons entitling to a summary dismissal pursuant to article 337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Swiss Code of Obligations (CO) and all justified reasons pursuant to article 340c para. 2 CO, without limiting the definition of Cause as outlined in the Plan. You expressly acknowledge that the definition of Cause as per the Plan shall include any crime or felony under Swiss laws and any breaches against your duties and in respect of the Affiliate employing you or the Affiliate to which you have been assigned, and not only in respect of the Company.</w:t>
      </w:r>
    </w:p>
    <w:p>
      <w:pPr>
        <w:spacing w:after="0" w:line="65"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Acknowledgement. </w:t>
      </w:r>
      <w:r>
        <w:rPr>
          <w:rFonts w:ascii="Times New Roman" w:cs="Times New Roman" w:eastAsia="Times New Roman" w:hAnsi="Times New Roman"/>
          <w:sz w:val="22"/>
          <w:szCs w:val="22"/>
          <w:color w:val="auto"/>
        </w:rPr>
        <w:t>You confirm that you have read and understood the documents relating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RSU Award Agreement, with all terms and conditions included therein, which were provided in the English language only. You confirm that you have sufficient language capabilities to understand these terms and conditions in full.</w:t>
      </w:r>
    </w:p>
    <w:p>
      <w:pPr>
        <w:spacing w:after="0" w:line="58"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i w:val="1"/>
          <w:iCs w:val="1"/>
          <w:color w:val="auto"/>
        </w:rPr>
        <w:t>Sie bestätigen, dass Sie den Plan sowie die dazugehörigen Dokumente, inklusive der Vereinbarung, mit all den darin enthaltenen Bedingungen und Voraussetzungen, welche in englischer Sprache verfasst sind, gelesen und verstanden haben. Sie bestätigen, dass Ihre Sprachkenntnisse genügend sind, um die Bedingungen und Voraussetzungen zu verstehen.</w:t>
      </w:r>
    </w:p>
    <w:p>
      <w:pPr>
        <w:spacing w:after="0" w:line="53"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i w:val="1"/>
          <w:iCs w:val="1"/>
          <w:color w:val="auto"/>
        </w:rPr>
        <w:t>Vous confirmez que vous avez lu et compris les documents relatifs au plan, y compris la convention d'attribution, avec toutes les conditions qui y sont incluses, qui ont été fournies en langue</w:t>
      </w:r>
    </w:p>
    <w:p>
      <w:pPr>
        <w:sectPr>
          <w:pgSz w:w="11900" w:h="16838" w:orient="portrait"/>
          <w:cols w:equalWidth="0" w:num="1">
            <w:col w:w="11080"/>
          </w:cols>
          <w:pgMar w:left="480" w:top="58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anglaise uniquement. Vous confirmez que vous avez des capacités linguistiques suffisantes pour comprendre ces termes et conditions dans leur intégralité.</w:t>
      </w:r>
    </w:p>
    <w:p>
      <w:pPr>
        <w:spacing w:after="0" w:line="41"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i w:val="1"/>
          <w:iCs w:val="1"/>
          <w:color w:val="auto"/>
        </w:rPr>
        <w:t>Confermate di aver letto e compreso i documenti relativi al Piano, compreso l'Accordo di assegnazione RSU, con tutti i termini e le condizioni ivi inclusi, che sono stati forniti solo in lingua inglese. Confermate di avere capacità linguistiche sufficienti per comprendere appieno questi termini e condizioni.</w:t>
      </w:r>
    </w:p>
    <w:p>
      <w:pPr>
        <w:spacing w:after="0" w:line="53"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No Right against Employer. </w:t>
      </w:r>
      <w:r>
        <w:rPr>
          <w:rFonts w:ascii="Times New Roman" w:cs="Times New Roman" w:eastAsia="Times New Roman" w:hAnsi="Times New Roman"/>
          <w:sz w:val="22"/>
          <w:szCs w:val="22"/>
          <w:color w:val="auto"/>
        </w:rPr>
        <w:t>You expressly acknowledge that you shall not have any right or claim under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Award, the Grant Notice and this RSU Award Agreement against the Affiliate employing you. You expressly acknowledge and agrees that you only have any right and claim against the Company, i.e. Asana, Inc. as set out under the Plan and the RSU Award Agreement.</w:t>
      </w:r>
    </w:p>
    <w:p>
      <w:pPr>
        <w:spacing w:after="0" w:line="60"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Governing Law and Jurisdiction. </w:t>
      </w:r>
      <w:r>
        <w:rPr>
          <w:rFonts w:ascii="Times New Roman" w:cs="Times New Roman" w:eastAsia="Times New Roman" w:hAnsi="Times New Roman"/>
          <w:sz w:val="22"/>
          <w:szCs w:val="22"/>
          <w:color w:val="auto"/>
        </w:rPr>
        <w:t>You expressly acknowledge and agrees to the Choice of Law clause in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RSU Award Agreement and accept that Swiss law does not apply and that Swiss courts do not have any jurisdiction in regard to any claims under the Plan and the RSU Award Agreement. You expressly agree to the laws of the State of Delaware (USA) as governing law and herewith agree to the courts in Delaware having exclusive jurisdiction over any matter in regard to the Plan and the RSU Award Agreement.</w:t>
      </w:r>
    </w:p>
    <w:p>
      <w:pPr>
        <w:spacing w:after="0" w:line="200" w:lineRule="exact"/>
        <w:rPr>
          <w:sz w:val="20"/>
          <w:szCs w:val="20"/>
          <w:color w:val="auto"/>
        </w:rPr>
      </w:pPr>
    </w:p>
    <w:p>
      <w:pPr>
        <w:spacing w:after="0" w:line="2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UK</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 xml:space="preserve">Award Not a Service Contract. </w:t>
      </w:r>
      <w:r>
        <w:rPr>
          <w:rFonts w:ascii="Times New Roman" w:cs="Times New Roman" w:eastAsia="Times New Roman" w:hAnsi="Times New Roman"/>
          <w:sz w:val="21"/>
          <w:szCs w:val="21"/>
          <w:color w:val="auto"/>
        </w:rPr>
        <w:t>The following supplements Section 4 (Award Not a Service Contract) of this Appendix:</w:t>
      </w:r>
    </w:p>
    <w:p>
      <w:pPr>
        <w:spacing w:after="0" w:line="12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22"/>
          <w:szCs w:val="22"/>
          <w:color w:val="auto"/>
        </w:rPr>
        <w:t>You waive all rights to compensation or damages in consequence of the termination of your office or employment with the Company or any Affiliate for any reason whatsoever (whether lawful or unlawful and including, without prejudice to the foregoing, in circumstances giving rise to a claim for wrongful dismissal) in so far as those rights arise or may arise from you ceasing to hold or being able to vest your Award, or from the loss or diminution in value of any rights or entitlements in connection with the Plan.</w:t>
      </w:r>
    </w:p>
    <w:p>
      <w:pPr>
        <w:spacing w:after="0" w:line="161" w:lineRule="exact"/>
        <w:rPr>
          <w:sz w:val="20"/>
          <w:szCs w:val="20"/>
          <w:color w:val="auto"/>
        </w:rPr>
      </w:pPr>
    </w:p>
    <w:p>
      <w:pPr>
        <w:ind w:left="500"/>
        <w:spacing w:after="0" w:line="456" w:lineRule="auto"/>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The following supplements Section 4 of the RSU Award Agreement: As a condition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your RSU Award, you unconditionally and irrevocably agree:</w:t>
      </w:r>
    </w:p>
    <w:p>
      <w:pPr>
        <w:spacing w:after="0" w:line="1" w:lineRule="exact"/>
        <w:rPr>
          <w:sz w:val="20"/>
          <w:szCs w:val="20"/>
          <w:color w:val="auto"/>
        </w:rPr>
      </w:pPr>
    </w:p>
    <w:p>
      <w:pPr>
        <w:jc w:val="both"/>
        <w:ind w:left="1940" w:hanging="651"/>
        <w:spacing w:after="0" w:line="284" w:lineRule="auto"/>
        <w:tabs>
          <w:tab w:leader="none" w:pos="192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place the Company in funds and indemnify the Company in respect of </w:t>
      </w:r>
      <w:r>
        <w:rPr>
          <w:rFonts w:ascii="Times New Roman" w:cs="Times New Roman" w:eastAsia="Times New Roman" w:hAnsi="Times New Roman"/>
          <w:sz w:val="19"/>
          <w:szCs w:val="19"/>
          <w:color w:val="auto"/>
        </w:rPr>
        <w:t>(1) all liability to UK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which the Company is liable to account for on your behalf directly to HM Revenue &amp; Customs; (2) all liability to national insurance contributions which the Company is liable to account for on your behalf to HM Revenue &amp; Customs (including, to the extent permitted by law, secondary class 1 (employer’s) national insurance contributions for which you are liable and hereby agree to bear); and (3) all liability to national insurance contributions for which the Company is liable and which are formally transferred to you, which arises as a consequence of or in connection with your RSU Award (the “</w:t>
      </w:r>
      <w:r>
        <w:rPr>
          <w:rFonts w:ascii="Times New Roman" w:cs="Times New Roman" w:eastAsia="Times New Roman" w:hAnsi="Times New Roman"/>
          <w:sz w:val="19"/>
          <w:szCs w:val="19"/>
          <w:b w:val="1"/>
          <w:bCs w:val="1"/>
          <w:i w:val="1"/>
          <w:iCs w:val="1"/>
          <w:color w:val="auto"/>
        </w:rPr>
        <w:t>UK Tax Liability</w:t>
      </w:r>
      <w:r>
        <w:rPr>
          <w:rFonts w:ascii="Times New Roman" w:cs="Times New Roman" w:eastAsia="Times New Roman" w:hAnsi="Times New Roman"/>
          <w:sz w:val="19"/>
          <w:szCs w:val="19"/>
          <w:color w:val="auto"/>
        </w:rPr>
        <w:t>”); or</w:t>
      </w:r>
    </w:p>
    <w:p>
      <w:pPr>
        <w:sectPr>
          <w:pgSz w:w="11900" w:h="16838" w:orient="portrait"/>
          <w:cols w:equalWidth="0" w:num="1">
            <w:col w:w="11080"/>
          </w:cols>
          <w:pgMar w:left="480" w:top="58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940" w:hanging="651"/>
        <w:spacing w:after="0" w:line="299" w:lineRule="auto"/>
        <w:tabs>
          <w:tab w:leader="none" w:pos="1935"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the Company to sell at the best price which it can reasonably obtain such number of shares of Common Stock allocated or allotted to you following vesting as will provide the Company with an amount equal to the UK Tax Liability; and to permit the Company to withhold an amount not exceeding the UK Tax Liability from any payment made to you (including, but not limited to salary); and</w:t>
      </w:r>
    </w:p>
    <w:p>
      <w:pPr>
        <w:spacing w:after="0" w:line="52" w:lineRule="exact"/>
        <w:rPr>
          <w:rFonts w:ascii="Times New Roman" w:cs="Times New Roman" w:eastAsia="Times New Roman" w:hAnsi="Times New Roman"/>
          <w:sz w:val="21"/>
          <w:szCs w:val="21"/>
          <w:color w:val="auto"/>
        </w:rPr>
      </w:pPr>
    </w:p>
    <w:p>
      <w:pPr>
        <w:jc w:val="both"/>
        <w:ind w:left="1940" w:hanging="651"/>
        <w:spacing w:after="0" w:line="289" w:lineRule="auto"/>
        <w:tabs>
          <w:tab w:leader="none" w:pos="192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required by the Company, and, to the extent permitted by law, to enter into a joint election or other arrangements under which the liability for all or part of such employer’s national insurance contributions liability is transferred to you; and</w:t>
      </w:r>
    </w:p>
    <w:p>
      <w:pPr>
        <w:spacing w:after="0" w:line="58" w:lineRule="exact"/>
        <w:rPr>
          <w:rFonts w:ascii="Times New Roman" w:cs="Times New Roman" w:eastAsia="Times New Roman" w:hAnsi="Times New Roman"/>
          <w:sz w:val="22"/>
          <w:szCs w:val="22"/>
          <w:color w:val="auto"/>
        </w:rPr>
      </w:pPr>
    </w:p>
    <w:p>
      <w:pPr>
        <w:jc w:val="both"/>
        <w:ind w:left="1940" w:hanging="651"/>
        <w:spacing w:after="0" w:line="282" w:lineRule="auto"/>
        <w:tabs>
          <w:tab w:leader="none" w:pos="192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required by the Company, to enter into a joint election within Section 431 of (UK) Income Tax (Earnings and Pensions) Act 2003 (“</w:t>
      </w:r>
      <w:r>
        <w:rPr>
          <w:rFonts w:ascii="Times New Roman" w:cs="Times New Roman" w:eastAsia="Times New Roman" w:hAnsi="Times New Roman"/>
          <w:sz w:val="22"/>
          <w:szCs w:val="22"/>
          <w:b w:val="1"/>
          <w:bCs w:val="1"/>
          <w:i w:val="1"/>
          <w:iCs w:val="1"/>
          <w:color w:val="auto"/>
        </w:rPr>
        <w:t>ITEPA</w:t>
      </w:r>
      <w:r>
        <w:rPr>
          <w:rFonts w:ascii="Times New Roman" w:cs="Times New Roman" w:eastAsia="Times New Roman" w:hAnsi="Times New Roman"/>
          <w:sz w:val="22"/>
          <w:szCs w:val="22"/>
          <w:color w:val="auto"/>
        </w:rPr>
        <w:t>”) in respect of computing any tax charge on the acquisition of “restricted securities” (as defined in Section 423 and 424 of ITEPA); and</w:t>
      </w:r>
    </w:p>
    <w:p>
      <w:pPr>
        <w:spacing w:after="0" w:line="80" w:lineRule="exact"/>
        <w:rPr>
          <w:rFonts w:ascii="Times New Roman" w:cs="Times New Roman" w:eastAsia="Times New Roman" w:hAnsi="Times New Roman"/>
          <w:sz w:val="22"/>
          <w:szCs w:val="22"/>
          <w:color w:val="auto"/>
        </w:rPr>
      </w:pPr>
    </w:p>
    <w:p>
      <w:pPr>
        <w:jc w:val="both"/>
        <w:ind w:left="1940" w:hanging="651"/>
        <w:spacing w:after="0" w:line="282" w:lineRule="auto"/>
        <w:tabs>
          <w:tab w:leader="none" w:pos="19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sign, promptly, all documents required by the Company to effect the terms of this provision, and references in this provision to “the Company” shall, if applicable, be construed as also referring to any Affiliate.</w:t>
      </w:r>
    </w:p>
    <w:p>
      <w:pPr>
        <w:spacing w:after="0" w:line="49" w:lineRule="exact"/>
        <w:rPr>
          <w:sz w:val="20"/>
          <w:szCs w:val="20"/>
          <w:color w:val="auto"/>
        </w:rPr>
      </w:pPr>
    </w:p>
    <w:p>
      <w:pPr>
        <w:ind w:firstLine="50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Clawback/Recovery. </w:t>
      </w:r>
      <w:r>
        <w:rPr>
          <w:rFonts w:ascii="Times New Roman" w:cs="Times New Roman" w:eastAsia="Times New Roman" w:hAnsi="Times New Roman"/>
          <w:sz w:val="22"/>
          <w:szCs w:val="22"/>
          <w:color w:val="auto"/>
        </w:rPr>
        <w:t>By executing the RSU Award Agreement, you expressly consent in writing to the application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of recoupment to your RSU Award in accordance with the terms of Section 9(i) of the Plan.</w:t>
      </w:r>
    </w:p>
    <w:p>
      <w:pPr>
        <w:sectPr>
          <w:pgSz w:w="11900" w:h="16838" w:orient="portrait"/>
          <w:cols w:equalWidth="0" w:num="1">
            <w:col w:w="11080"/>
          </w:cols>
          <w:pgMar w:left="480" w:top="58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RSU Award Grant Notice</w:t>
      </w:r>
    </w:p>
    <w:p>
      <w:pPr>
        <w:spacing w:after="0" w:line="36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Asana,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to you (the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xml:space="preserve">”) the number of restricted stock units specified and on the terms set forth below in consideration of your services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xml:space="preserve">). Your RSU Award is subject to all of the terms and conditions as set forth herein and in the Company’s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Award Agreement including, if you are resident, subject to tax, or work outside the U.S., the general non-US terms and any special terms and conditions for your country, each set out in the attached appendix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-13970</wp:posOffset>
            </wp:positionV>
            <wp:extent cx="5486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-13970</wp:posOffset>
            </wp:positionV>
            <wp:extent cx="5486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-13970</wp:posOffset>
            </wp:positionV>
            <wp:extent cx="5486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2252980</wp:posOffset>
            </wp:positionH>
            <wp:positionV relativeFrom="paragraph">
              <wp:posOffset>-13970</wp:posOffset>
            </wp:positionV>
            <wp:extent cx="5486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 Schedule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296545</wp:posOffset>
            </wp:positionV>
            <wp:extent cx="5486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left="160" w:firstLine="504"/>
        <w:spacing w:after="0" w:line="271" w:lineRule="auto"/>
        <w:rPr>
          <w:sz w:val="20"/>
          <w:szCs w:val="20"/>
          <w:color w:val="auto"/>
        </w:rPr>
      </w:pPr>
      <w:r>
        <w:rPr>
          <w:rFonts w:ascii="Times New Roman" w:cs="Times New Roman" w:eastAsia="Times New Roman" w:hAnsi="Times New Roman"/>
          <w:sz w:val="22"/>
          <w:szCs w:val="22"/>
          <w:color w:val="auto"/>
        </w:rPr>
        <w:t>Notwithstanding the foregoing, vesting shall terminate upon the Participant’s termination of Continuous Service except as set forth below.</w:t>
      </w:r>
    </w:p>
    <w:p>
      <w:pPr>
        <w:spacing w:after="0" w:line="46" w:lineRule="exact"/>
        <w:rPr>
          <w:sz w:val="20"/>
          <w:szCs w:val="20"/>
          <w:color w:val="auto"/>
        </w:rPr>
      </w:pPr>
    </w:p>
    <w:p>
      <w:pPr>
        <w:jc w:val="both"/>
        <w:ind w:left="2380" w:hanging="2348"/>
        <w:spacing w:after="0" w:line="257" w:lineRule="auto"/>
        <w:tabs>
          <w:tab w:leader="none" w:pos="2360" w:val="left"/>
        </w:tabs>
        <w:rPr>
          <w:sz w:val="20"/>
          <w:szCs w:val="20"/>
          <w:color w:val="auto"/>
        </w:rPr>
      </w:pPr>
      <w:r>
        <w:rPr>
          <w:rFonts w:ascii="Times New Roman" w:cs="Times New Roman" w:eastAsia="Times New Roman" w:hAnsi="Times New Roman"/>
          <w:sz w:val="22"/>
          <w:szCs w:val="22"/>
          <w:b w:val="1"/>
          <w:bCs w:val="1"/>
          <w:color w:val="auto"/>
        </w:rPr>
        <w:t>Vesting Acceleration</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If the Participant’s Continuous Service is terminated due to the Participant’s death or Disability, then one hundred percent (100%) of the remaining unvested shares subject to the RSU Award shall immediately vest on the Participant’s termination date.</w:t>
      </w:r>
    </w:p>
    <w:p>
      <w:pPr>
        <w:spacing w:after="0" w:line="69" w:lineRule="exact"/>
        <w:rPr>
          <w:sz w:val="20"/>
          <w:szCs w:val="20"/>
          <w:color w:val="auto"/>
        </w:rPr>
      </w:pPr>
    </w:p>
    <w:p>
      <w:pPr>
        <w:jc w:val="both"/>
        <w:ind w:left="2520" w:hanging="2110"/>
        <w:spacing w:after="0" w:line="261" w:lineRule="auto"/>
        <w:rPr>
          <w:sz w:val="20"/>
          <w:szCs w:val="20"/>
          <w:color w:val="auto"/>
        </w:rPr>
      </w:pPr>
      <w:r>
        <w:rPr>
          <w:rFonts w:ascii="Times New Roman" w:cs="Times New Roman" w:eastAsia="Times New Roman" w:hAnsi="Times New Roman"/>
          <w:sz w:val="21"/>
          <w:szCs w:val="21"/>
          <w:color w:val="auto"/>
        </w:rPr>
        <w:t>For a new hire grant only, in the event the Participant’s Continuous Service terminates due to a termination by the Company other than for Cause prior to the Cliff Vesting Date (as defined below), the RSU Award shall become vested as to a prorated portion of the underlying shares of Common Stock that would have vested on such Cliff Vesting Date but for the Participant’s prior termination; provided, that, in order to receive such vesting acceleration, the Participant must comply with the Release Condition (as defined below). Pursuant to this provision, the prorated accelerated vesting shall be calculated as follows:</w:t>
      </w:r>
    </w:p>
    <w:p>
      <w:pPr>
        <w:spacing w:after="0" w:line="3" w:lineRule="exact"/>
        <w:rPr>
          <w:sz w:val="20"/>
          <w:szCs w:val="20"/>
          <w:color w:val="auto"/>
        </w:rPr>
      </w:pPr>
    </w:p>
    <w:p>
      <w:pPr>
        <w:ind w:left="2520" w:hanging="1"/>
        <w:spacing w:after="0" w:line="259" w:lineRule="auto"/>
        <w:tabs>
          <w:tab w:leader="none" w:pos="283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underlying shares of Common Stock that would have vested on the Cliff Vesting Date</w:t>
      </w:r>
    </w:p>
    <w:p>
      <w:pPr>
        <w:sectPr>
          <w:pgSz w:w="11900" w:h="16838" w:orient="portrait"/>
          <w:cols w:equalWidth="0" w:num="1">
            <w:col w:w="11240"/>
          </w:cols>
          <w:pgMar w:left="320" w:top="58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369"/>
        <w:spacing w:after="0" w:line="256" w:lineRule="auto"/>
        <w:rPr>
          <w:sz w:val="20"/>
          <w:szCs w:val="20"/>
          <w:color w:val="auto"/>
        </w:rPr>
      </w:pPr>
      <w:r>
        <w:rPr>
          <w:rFonts w:ascii="Times New Roman" w:cs="Times New Roman" w:eastAsia="Times New Roman" w:hAnsi="Times New Roman"/>
          <w:sz w:val="22"/>
          <w:szCs w:val="22"/>
          <w:color w:val="auto"/>
        </w:rPr>
        <w:t>multiplied by (y) a fraction, the numerator of which is the number of full months of the Participant’s Continuous Service during the period commencing on the hire date and ending on the Participant’s termination date, and the denominator of which is the number of full months between the hire date and the original Cliff Vesting Date.</w:t>
      </w:r>
    </w:p>
    <w:p>
      <w:pPr>
        <w:spacing w:after="0" w:line="68" w:lineRule="exact"/>
        <w:rPr>
          <w:sz w:val="20"/>
          <w:szCs w:val="20"/>
          <w:color w:val="auto"/>
        </w:rPr>
      </w:pPr>
    </w:p>
    <w:p>
      <w:pPr>
        <w:jc w:val="both"/>
        <w:ind w:left="2369" w:hanging="2085"/>
        <w:spacing w:after="0" w:line="250" w:lineRule="auto"/>
        <w:rPr>
          <w:sz w:val="20"/>
          <w:szCs w:val="20"/>
          <w:color w:val="auto"/>
        </w:rPr>
      </w:pPr>
      <w:r>
        <w:rPr>
          <w:rFonts w:ascii="Times New Roman" w:cs="Times New Roman" w:eastAsia="Times New Roman" w:hAnsi="Times New Roman"/>
          <w:sz w:val="22"/>
          <w:szCs w:val="22"/>
          <w:color w:val="auto"/>
        </w:rPr>
        <w:t>For instance, if the Participant’s Continuous Service terminates due to a termination by the Company other than for Cause, five months after the Participant’s hire date, then, subject to the Participant complying with the Release Condition, vesting will accelerate as to a prorated portion of the underlying shares of Common Stock that would have vested on the Cliff Vesting Date but for the Participant’s prior termination, with such accelerated portion equal to (x) the number of underlying shares of Common Stock that would have vested on the Cliff Vesting Date multiplied by (y) a fraction, the numerator of which is 5 and the denominator of which is 12.</w:t>
      </w:r>
    </w:p>
    <w:p>
      <w:pPr>
        <w:spacing w:after="0" w:line="72" w:lineRule="exact"/>
        <w:rPr>
          <w:sz w:val="20"/>
          <w:szCs w:val="20"/>
          <w:color w:val="auto"/>
        </w:rPr>
      </w:pPr>
    </w:p>
    <w:p>
      <w:pPr>
        <w:ind w:left="2369" w:hanging="2011"/>
        <w:spacing w:after="0" w:line="271" w:lineRule="auto"/>
        <w:rPr>
          <w:sz w:val="20"/>
          <w:szCs w:val="20"/>
          <w:color w:val="auto"/>
        </w:rPr>
      </w:pPr>
      <w:r>
        <w:rPr>
          <w:rFonts w:ascii="Times New Roman" w:cs="Times New Roman" w:eastAsia="Times New Roman" w:hAnsi="Times New Roman"/>
          <w:sz w:val="22"/>
          <w:szCs w:val="22"/>
          <w:color w:val="auto"/>
        </w:rPr>
        <w:t>For purposes of the RSU Award, the “Cliff Vesting Date” means that the first vesting date in the above stated Vesting Schedule for a new hire grant only.</w:t>
      </w:r>
    </w:p>
    <w:p>
      <w:pPr>
        <w:spacing w:after="0" w:line="50" w:lineRule="exact"/>
        <w:rPr>
          <w:sz w:val="20"/>
          <w:szCs w:val="20"/>
          <w:color w:val="auto"/>
        </w:rPr>
      </w:pPr>
    </w:p>
    <w:p>
      <w:pPr>
        <w:jc w:val="both"/>
        <w:ind w:left="2369" w:hanging="2130"/>
        <w:spacing w:after="0" w:line="253" w:lineRule="auto"/>
        <w:rPr>
          <w:sz w:val="20"/>
          <w:szCs w:val="20"/>
          <w:color w:val="auto"/>
        </w:rPr>
      </w:pPr>
      <w:r>
        <w:rPr>
          <w:rFonts w:ascii="Times New Roman" w:cs="Times New Roman" w:eastAsia="Times New Roman" w:hAnsi="Times New Roman"/>
          <w:sz w:val="22"/>
          <w:szCs w:val="22"/>
          <w:color w:val="auto"/>
        </w:rPr>
        <w:t>For purposes of the RSU Award, the “Release Condition” means that the Participant has executed a full and complete general release of all claims that the Participant may have against the Company or its Affiliates pursuant to the Company’s standard form for Participant’s country that will be provided to the Participant; provided, that such release becomes effective and irrevocable no later than the 60th day after the Participant’s termination date.</w:t>
      </w:r>
    </w:p>
    <w:p>
      <w:pPr>
        <w:spacing w:after="0" w:line="67" w:lineRule="exact"/>
        <w:rPr>
          <w:sz w:val="20"/>
          <w:szCs w:val="20"/>
          <w:color w:val="auto"/>
        </w:rPr>
      </w:pPr>
    </w:p>
    <w:p>
      <w:pPr>
        <w:jc w:val="both"/>
        <w:ind w:left="2229" w:hanging="2366"/>
        <w:spacing w:after="0" w:line="263" w:lineRule="auto"/>
        <w:tabs>
          <w:tab w:leader="none" w:pos="2208" w:val="left"/>
        </w:tabs>
        <w:rPr>
          <w:sz w:val="20"/>
          <w:szCs w:val="20"/>
          <w:color w:val="auto"/>
        </w:rPr>
      </w:pPr>
      <w:r>
        <w:rPr>
          <w:rFonts w:ascii="Times New Roman" w:cs="Times New Roman" w:eastAsia="Times New Roman" w:hAnsi="Times New Roman"/>
          <w:sz w:val="22"/>
          <w:szCs w:val="22"/>
          <w:b w:val="1"/>
          <w:bCs w:val="1"/>
          <w:color w:val="auto"/>
        </w:rPr>
        <w:t>Vesting Acceleration:</w:t>
      </w:r>
      <w:r>
        <w:rPr>
          <w:sz w:val="20"/>
          <w:szCs w:val="20"/>
          <w:color w:val="auto"/>
        </w:rPr>
        <w:tab/>
      </w:r>
      <w:r>
        <w:rPr>
          <w:rFonts w:ascii="Times New Roman" w:cs="Times New Roman" w:eastAsia="Times New Roman" w:hAnsi="Times New Roman"/>
          <w:sz w:val="22"/>
          <w:szCs w:val="22"/>
          <w:color w:val="auto"/>
        </w:rPr>
        <w:t>If the Participant’s Continuous Service is terminated due to the Participant’s death or Disability, then one hundred percent (100%) of the remaining unvested shares subject to the RSU Award shall immediately vest on the Participant’s termination date.</w:t>
      </w:r>
    </w:p>
    <w:p>
      <w:pPr>
        <w:spacing w:after="0" w:line="59" w:lineRule="exact"/>
        <w:rPr>
          <w:sz w:val="20"/>
          <w:szCs w:val="20"/>
          <w:color w:val="auto"/>
        </w:rPr>
      </w:pPr>
    </w:p>
    <w:p>
      <w:pPr>
        <w:jc w:val="both"/>
        <w:ind w:left="2009" w:hanging="2366"/>
        <w:spacing w:after="0" w:line="271" w:lineRule="auto"/>
        <w:tabs>
          <w:tab w:leader="none" w:pos="1988" w:val="left"/>
        </w:tabs>
        <w:rPr>
          <w:sz w:val="20"/>
          <w:szCs w:val="20"/>
          <w:color w:val="auto"/>
        </w:rPr>
      </w:pPr>
      <w:r>
        <w:rPr>
          <w:rFonts w:ascii="Times New Roman" w:cs="Times New Roman" w:eastAsia="Times New Roman" w:hAnsi="Times New Roman"/>
          <w:sz w:val="22"/>
          <w:szCs w:val="22"/>
          <w:b w:val="1"/>
          <w:bCs w:val="1"/>
          <w:color w:val="auto"/>
        </w:rPr>
        <w:t>Issuance Schedule:</w:t>
      </w:r>
      <w:r>
        <w:rPr>
          <w:sz w:val="20"/>
          <w:szCs w:val="20"/>
          <w:color w:val="auto"/>
        </w:rPr>
        <w:tab/>
      </w:r>
      <w:r>
        <w:rPr>
          <w:rFonts w:ascii="Times New Roman" w:cs="Times New Roman" w:eastAsia="Times New Roman" w:hAnsi="Times New Roman"/>
          <w:sz w:val="22"/>
          <w:szCs w:val="22"/>
          <w:color w:val="auto"/>
        </w:rPr>
        <w:t>One (1) share of Common Stock will be issued for each restricted stock unit which vests at the time set forth in Section 5 of the Agreement.</w:t>
      </w:r>
    </w:p>
    <w:p>
      <w:pPr>
        <w:spacing w:after="0" w:line="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9"/>
        <w:spacing w:after="0"/>
        <w:tabs>
          <w:tab w:leader="none" w:pos="2168" w:val="left"/>
        </w:tabs>
        <w:rPr>
          <w:sz w:val="20"/>
          <w:szCs w:val="20"/>
          <w:color w:val="auto"/>
        </w:rPr>
      </w:pPr>
      <w:r>
        <w:rPr>
          <w:rFonts w:ascii="Times New Roman" w:cs="Times New Roman" w:eastAsia="Times New Roman" w:hAnsi="Times New Roman"/>
          <w:sz w:val="22"/>
          <w:szCs w:val="22"/>
          <w:b w:val="1"/>
          <w:bCs w:val="1"/>
          <w:color w:val="auto"/>
        </w:rPr>
        <w:t>Acknowledgements:</w:t>
      </w:r>
      <w:r>
        <w:rPr>
          <w:sz w:val="20"/>
          <w:szCs w:val="20"/>
          <w:color w:val="auto"/>
        </w:rPr>
        <w:tab/>
      </w:r>
      <w:r>
        <w:rPr>
          <w:rFonts w:ascii="Times New Roman" w:cs="Times New Roman" w:eastAsia="Times New Roman" w:hAnsi="Times New Roman"/>
          <w:sz w:val="22"/>
          <w:szCs w:val="22"/>
          <w:color w:val="auto"/>
        </w:rPr>
        <w:t>By your signature below or by electronic acceptance or authentication in a form authorized by the</w:t>
      </w:r>
    </w:p>
    <w:p>
      <w:pPr>
        <w:spacing w:after="0" w:line="15" w:lineRule="exact"/>
        <w:rPr>
          <w:sz w:val="20"/>
          <w:szCs w:val="20"/>
          <w:color w:val="auto"/>
        </w:rPr>
      </w:pPr>
    </w:p>
    <w:p>
      <w:pPr>
        <w:ind w:left="2369"/>
        <w:spacing w:after="0"/>
        <w:rPr>
          <w:sz w:val="20"/>
          <w:szCs w:val="20"/>
          <w:color w:val="auto"/>
        </w:rPr>
      </w:pPr>
      <w:r>
        <w:rPr>
          <w:rFonts w:ascii="Times New Roman" w:cs="Times New Roman" w:eastAsia="Times New Roman" w:hAnsi="Times New Roman"/>
          <w:sz w:val="22"/>
          <w:szCs w:val="22"/>
          <w:color w:val="auto"/>
        </w:rPr>
        <w:t>Company, you understand and agree that:</w:t>
      </w:r>
    </w:p>
    <w:p>
      <w:pPr>
        <w:spacing w:after="0" w:line="325" w:lineRule="exact"/>
        <w:rPr>
          <w:sz w:val="20"/>
          <w:szCs w:val="20"/>
          <w:color w:val="auto"/>
        </w:rPr>
      </w:pPr>
    </w:p>
    <w:p>
      <w:pPr>
        <w:jc w:val="both"/>
        <w:ind w:left="509" w:hanging="509"/>
        <w:spacing w:after="0" w:line="254" w:lineRule="auto"/>
        <w:tabs>
          <w:tab w:leader="none" w:pos="49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is governed by this RSU Award Grant Notice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may not be modified, amended or revised except in a writing signed by you and a duly authorized officer of the Company.</w:t>
      </w:r>
    </w:p>
    <w:p>
      <w:pPr>
        <w:sectPr>
          <w:pgSz w:w="11900" w:h="16838" w:orient="portrait"/>
          <w:cols w:equalWidth="0" w:num="1">
            <w:col w:w="11089"/>
          </w:cols>
          <w:pgMar w:left="471" w:top="58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9" w:hanging="509"/>
        <w:spacing w:after="0" w:line="256" w:lineRule="auto"/>
        <w:tabs>
          <w:tab w:leader="none" w:pos="49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read and are familiar with the provisions of the Plan, the RSU Award Agreement and the Prospectus. A copy of the Plan and the Prospectus can be found in the “company documents” section of your E*TRADE account. In the event of any conflict between the provisions in the RSU Award Agreement, or the Prospectus and the terms of the Plan, the terms of the Plan shall control.</w:t>
      </w:r>
    </w:p>
    <w:p>
      <w:pPr>
        <w:spacing w:after="0" w:line="68" w:lineRule="exact"/>
        <w:rPr>
          <w:rFonts w:ascii="Times New Roman" w:cs="Times New Roman" w:eastAsia="Times New Roman" w:hAnsi="Times New Roman"/>
          <w:sz w:val="22"/>
          <w:szCs w:val="22"/>
          <w:color w:val="auto"/>
        </w:rPr>
      </w:pPr>
    </w:p>
    <w:p>
      <w:pPr>
        <w:jc w:val="both"/>
        <w:ind w:left="509" w:hanging="509"/>
        <w:spacing w:after="0" w:line="253" w:lineRule="auto"/>
        <w:tabs>
          <w:tab w:leader="none" w:pos="49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ectPr>
          <w:pgSz w:w="11900" w:h="16838" w:orient="portrait"/>
          <w:cols w:equalWidth="0" w:num="1">
            <w:col w:w="11089"/>
          </w:cols>
          <w:pgMar w:left="471" w:top="58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9"/>
          <w:szCs w:val="19"/>
          <w:b w:val="1"/>
          <w:bCs w:val="1"/>
          <w:color w:val="auto"/>
        </w:rPr>
        <w:t>Exhibit 10.10</w:t>
      </w:r>
    </w:p>
    <w:p>
      <w:pPr>
        <w:sectPr>
          <w:pgSz w:w="11900" w:h="16838" w:orient="portrait"/>
          <w:cols w:equalWidth="0" w:num="1">
            <w:col w:w="11240"/>
          </w:cols>
          <w:pgMar w:left="320" w:top="5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ASANA,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211" w:lineRule="exact"/>
        <w:rPr>
          <w:sz w:val="20"/>
          <w:szCs w:val="20"/>
          <w:color w:val="auto"/>
        </w:rPr>
      </w:pPr>
    </w:p>
    <w:p>
      <w:pPr>
        <w:sectPr>
          <w:pgSz w:w="11900" w:h="16838" w:orient="portrait"/>
          <w:cols w:equalWidth="0" w:num="2">
            <w:col w:w="4160" w:space="720"/>
            <w:col w:w="6360"/>
          </w:cols>
          <w:pgMar w:left="320" w:top="5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tcPr>
          <w:p>
            <w:pPr>
              <w:spacing w:after="0"/>
              <w:rPr>
                <w:sz w:val="22"/>
                <w:szCs w:val="22"/>
                <w:color w:val="auto"/>
              </w:rPr>
            </w:pPr>
          </w:p>
        </w:tc>
        <w:tc>
          <w:tcPr>
            <w:tcW w:w="320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40" w:type="dxa"/>
            <w:vAlign w:val="bottom"/>
            <w:tcBorders>
              <w:bottom w:val="single" w:sz="8" w:color="auto"/>
            </w:tcBorders>
            <w:gridSpan w:val="2"/>
          </w:tcPr>
          <w:p>
            <w:pPr>
              <w:spacing w:after="0"/>
              <w:rPr>
                <w:sz w:val="22"/>
                <w:szCs w:val="22"/>
                <w:color w:val="auto"/>
              </w:rPr>
            </w:pPr>
          </w:p>
        </w:tc>
        <w:tc>
          <w:tcPr>
            <w:tcW w:w="13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4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(Signature)</w:t>
            </w:r>
          </w:p>
        </w:tc>
        <w:tc>
          <w:tcPr>
            <w:tcW w:w="2760" w:type="dxa"/>
            <w:vAlign w:val="bottom"/>
            <w:gridSpan w:val="6"/>
          </w:tcPr>
          <w:p>
            <w:pPr>
              <w:ind w:left="640"/>
              <w:spacing w:after="0"/>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283"/>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Name: Eleanor Lacey</w:t>
            </w:r>
          </w:p>
        </w:tc>
        <w:tc>
          <w:tcPr>
            <w:tcW w:w="2760" w:type="dxa"/>
            <w:vAlign w:val="bottom"/>
            <w:gridSpan w:val="6"/>
            <w:vMerge w:val="restart"/>
          </w:tcPr>
          <w:p>
            <w:pPr>
              <w:ind w:left="640"/>
              <w:spacing w:after="0"/>
              <w:rPr>
                <w:sz w:val="20"/>
                <w:szCs w:val="20"/>
                <w:color w:val="auto"/>
              </w:rPr>
            </w:pPr>
            <w:r>
              <w:rPr>
                <w:rFonts w:ascii="Times New Roman" w:cs="Times New Roman" w:eastAsia="Times New Roman" w:hAnsi="Times New Roman"/>
                <w:sz w:val="22"/>
                <w:szCs w:val="22"/>
                <w:color w:val="auto"/>
              </w:rPr>
              <w:t>Address:</w:t>
            </w:r>
          </w:p>
        </w:tc>
        <w:tc>
          <w:tcPr>
            <w:tcW w:w="0" w:type="dxa"/>
            <w:vAlign w:val="bottom"/>
          </w:tcPr>
          <w:p>
            <w:pPr>
              <w:spacing w:after="0"/>
              <w:rPr>
                <w:sz w:val="1"/>
                <w:szCs w:val="1"/>
                <w:color w:val="auto"/>
              </w:rPr>
            </w:pPr>
          </w:p>
        </w:tc>
      </w:tr>
      <w:tr>
        <w:trPr>
          <w:trHeight w:val="83"/>
        </w:trPr>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5"/>
        </w:trPr>
        <w:tc>
          <w:tcPr>
            <w:tcW w:w="40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Title:  General Counsel and Secretary</w:t>
            </w:r>
          </w:p>
        </w:tc>
        <w:tc>
          <w:tcPr>
            <w:tcW w:w="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Attachments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RSU Award Agreement (including the Appendix), 2020 Equity Incentive Plan</w:t>
      </w:r>
    </w:p>
    <w:p>
      <w:pPr>
        <w:sectPr>
          <w:pgSz w:w="11900" w:h="16838" w:orient="portrait"/>
          <w:cols w:equalWidth="0" w:num="1">
            <w:col w:w="11240"/>
          </w:cols>
          <w:pgMar w:left="320" w:top="585" w:right="33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2020 Equity Incentive Plan Award Agreement (RSU Award)</w:t>
      </w:r>
    </w:p>
    <w:p>
      <w:pPr>
        <w:spacing w:after="0" w:line="200" w:lineRule="exact"/>
        <w:rPr>
          <w:sz w:val="20"/>
          <w:szCs w:val="20"/>
          <w:color w:val="auto"/>
        </w:rPr>
      </w:pPr>
    </w:p>
    <w:p>
      <w:pPr>
        <w:spacing w:after="0" w:line="382" w:lineRule="exact"/>
        <w:rPr>
          <w:sz w:val="20"/>
          <w:szCs w:val="20"/>
          <w:color w:val="auto"/>
        </w:rPr>
      </w:pPr>
    </w:p>
    <w:p>
      <w:pPr>
        <w:jc w:val="both"/>
        <w:ind w:left="160" w:firstLine="648"/>
        <w:spacing w:after="0" w:line="251" w:lineRule="auto"/>
        <w:rPr>
          <w:sz w:val="20"/>
          <w:szCs w:val="20"/>
          <w:color w:val="auto"/>
        </w:rPr>
      </w:pPr>
      <w:r>
        <w:rPr>
          <w:rFonts w:ascii="Times New Roman" w:cs="Times New Roman" w:eastAsia="Times New Roman" w:hAnsi="Times New Roman"/>
          <w:sz w:val="22"/>
          <w:szCs w:val="22"/>
          <w:color w:val="auto"/>
        </w:rPr>
        <w:t>As reflected by your RSU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Asana,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you a RSU Award under its 2020 Equity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as indicated in your Grant Notice (the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 The terms of your RSU Award as specified in this Award Agreement for your RSU Award including, if you are resident, subject to tax, or engaged outside the U.S., the general non-US terms and any special terms and conditions for your country, each set out in the attached appendix (the “</w:t>
      </w:r>
      <w:r>
        <w:rPr>
          <w:rFonts w:ascii="Times New Roman" w:cs="Times New Roman" w:eastAsia="Times New Roman" w:hAnsi="Times New Roman"/>
          <w:sz w:val="22"/>
          <w:szCs w:val="22"/>
          <w:b w:val="1"/>
          <w:bCs w:val="1"/>
          <w:i w:val="1"/>
          <w:iCs w:val="1"/>
          <w:color w:val="auto"/>
        </w:rPr>
        <w:t>Appendix</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Grant Notice constitute your “</w:t>
      </w:r>
      <w:r>
        <w:rPr>
          <w:rFonts w:ascii="Times New Roman" w:cs="Times New Roman" w:eastAsia="Times New Roman" w:hAnsi="Times New Roman"/>
          <w:sz w:val="22"/>
          <w:szCs w:val="22"/>
          <w:b w:val="1"/>
          <w:bCs w:val="1"/>
          <w:i w:val="1"/>
          <w:iCs w:val="1"/>
          <w:color w:val="auto"/>
        </w:rPr>
        <w:t>RSU Award Agreement</w:t>
      </w:r>
      <w:r>
        <w:rPr>
          <w:rFonts w:ascii="Times New Roman" w:cs="Times New Roman" w:eastAsia="Times New Roman" w:hAnsi="Times New Roman"/>
          <w:sz w:val="22"/>
          <w:szCs w:val="22"/>
          <w:color w:val="auto"/>
        </w:rPr>
        <w:t>”. Defined terms not explicitly defined in this Agreement but defined in the Grant Notice or the Plan shall have the same definitions as in the Grant Notice or Plan, as applicable.</w:t>
      </w:r>
    </w:p>
    <w:p>
      <w:pPr>
        <w:spacing w:after="0" w:line="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general terms applicable to your RSU Award are as follows:</w:t>
      </w:r>
    </w:p>
    <w:p>
      <w:pPr>
        <w:spacing w:after="0" w:line="108" w:lineRule="exact"/>
        <w:rPr>
          <w:sz w:val="20"/>
          <w:szCs w:val="20"/>
          <w:color w:val="auto"/>
        </w:rPr>
      </w:pPr>
    </w:p>
    <w:p>
      <w:pPr>
        <w:ind w:left="160" w:firstLine="640"/>
        <w:spacing w:after="0" w:line="287" w:lineRule="auto"/>
        <w:tabs>
          <w:tab w:leader="none" w:pos="130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Plan Document. </w:t>
      </w:r>
      <w:r>
        <w:rPr>
          <w:rFonts w:ascii="Times New Roman" w:cs="Times New Roman" w:eastAsia="Times New Roman" w:hAnsi="Times New Roman"/>
          <w:sz w:val="22"/>
          <w:szCs w:val="22"/>
          <w:color w:val="auto"/>
        </w:rPr>
        <w:t>Your RSU Award is subject to all the provisions of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the provisions in:</w:t>
      </w:r>
    </w:p>
    <w:p>
      <w:pPr>
        <w:spacing w:after="0" w:line="33" w:lineRule="exact"/>
        <w:rPr>
          <w:rFonts w:ascii="Times New Roman" w:cs="Times New Roman" w:eastAsia="Times New Roman" w:hAnsi="Times New Roman"/>
          <w:sz w:val="22"/>
          <w:szCs w:val="22"/>
          <w:b w:val="1"/>
          <w:bCs w:val="1"/>
          <w:color w:val="auto"/>
        </w:rPr>
      </w:pPr>
    </w:p>
    <w:p>
      <w:pPr>
        <w:ind w:left="160" w:firstLine="1288"/>
        <w:spacing w:after="0" w:line="271" w:lineRule="auto"/>
        <w:tabs>
          <w:tab w:leader="none" w:pos="1951"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6 of the Plan regarding the impact of a Capitalization Adjustment, dissolution, liquidation, or Corporate Transaction on your RSU Award;</w:t>
      </w:r>
    </w:p>
    <w:p>
      <w:pPr>
        <w:spacing w:after="0" w:line="49" w:lineRule="exact"/>
        <w:rPr>
          <w:rFonts w:ascii="Times New Roman" w:cs="Times New Roman" w:eastAsia="Times New Roman" w:hAnsi="Times New Roman"/>
          <w:sz w:val="22"/>
          <w:szCs w:val="22"/>
          <w:b w:val="1"/>
          <w:bCs w:val="1"/>
          <w:color w:val="auto"/>
        </w:rPr>
      </w:pPr>
    </w:p>
    <w:p>
      <w:pPr>
        <w:ind w:left="160" w:firstLine="1288"/>
        <w:spacing w:after="0" w:line="271" w:lineRule="auto"/>
        <w:tabs>
          <w:tab w:leader="none" w:pos="1949"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9(e) of the Plan regarding the Company’s retained rights to terminate your Continuous Service notwithstanding the grant of the RSU Award; and</w:t>
      </w:r>
    </w:p>
    <w:p>
      <w:pPr>
        <w:spacing w:after="0" w:line="63" w:lineRule="exact"/>
        <w:rPr>
          <w:rFonts w:ascii="Times New Roman" w:cs="Times New Roman" w:eastAsia="Times New Roman" w:hAnsi="Times New Roman"/>
          <w:sz w:val="22"/>
          <w:szCs w:val="22"/>
          <w:b w:val="1"/>
          <w:bCs w:val="1"/>
          <w:color w:val="auto"/>
        </w:rPr>
      </w:pPr>
    </w:p>
    <w:p>
      <w:pPr>
        <w:ind w:left="2100" w:hanging="651"/>
        <w:spacing w:after="0"/>
        <w:tabs>
          <w:tab w:leader="none" w:pos="2100"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8(c) of the Plan regarding the tax consequences of your RSU Award.</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61" w:lineRule="exact"/>
        <w:rPr>
          <w:sz w:val="20"/>
          <w:szCs w:val="20"/>
          <w:color w:val="auto"/>
        </w:rPr>
      </w:pPr>
    </w:p>
    <w:p>
      <w:pPr>
        <w:jc w:val="both"/>
        <w:ind w:left="160" w:firstLine="640"/>
        <w:spacing w:after="0" w:line="250" w:lineRule="auto"/>
        <w:tabs>
          <w:tab w:leader="none" w:pos="130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Grant of the RSU Award. </w:t>
      </w:r>
      <w:r>
        <w:rPr>
          <w:rFonts w:ascii="Times New Roman" w:cs="Times New Roman" w:eastAsia="Times New Roman" w:hAnsi="Times New Roman"/>
          <w:sz w:val="22"/>
          <w:szCs w:val="22"/>
          <w:color w:val="auto"/>
        </w:rPr>
        <w:t>This RSU Award represents your right to be issued on a future date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85" w:lineRule="exact"/>
        <w:rPr>
          <w:rFonts w:ascii="Times New Roman" w:cs="Times New Roman" w:eastAsia="Times New Roman" w:hAnsi="Times New Roman"/>
          <w:sz w:val="22"/>
          <w:szCs w:val="22"/>
          <w:b w:val="1"/>
          <w:bCs w:val="1"/>
          <w:color w:val="auto"/>
        </w:rPr>
      </w:pPr>
    </w:p>
    <w:p>
      <w:pPr>
        <w:jc w:val="both"/>
        <w:ind w:left="160" w:firstLine="640"/>
        <w:spacing w:after="0" w:line="253" w:lineRule="auto"/>
        <w:tabs>
          <w:tab w:leader="none" w:pos="130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You shall receive no benefit or adjustment to your RSU Award with respect to any cash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ectPr>
          <w:pgSz w:w="11900" w:h="16838" w:orient="portrait"/>
          <w:cols w:equalWidth="0" w:num="1">
            <w:col w:w="11240"/>
          </w:cols>
          <w:pgMar w:left="320" w:top="58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640"/>
        <w:spacing w:after="0" w:line="266" w:lineRule="auto"/>
        <w:tabs>
          <w:tab w:leader="none" w:pos="114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Obligations. </w:t>
      </w:r>
      <w:r>
        <w:rPr>
          <w:rFonts w:ascii="Times New Roman" w:cs="Times New Roman" w:eastAsia="Times New Roman" w:hAnsi="Times New Roman"/>
          <w:sz w:val="21"/>
          <w:szCs w:val="21"/>
          <w:color w:val="auto"/>
        </w:rPr>
        <w:t>As further provided in Section 8 of the Plan, you hereby authorize withholding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payroll and any other amounts payable to you, and otherwise agree to make adequate provision for, any sums required to satisfy the federal, state, local and foreign tax and/or social security withholding obligations, if any, which arise in connection with your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in accordance with the withholding procedures established by the Company. Unless the Withholding Taxes are satisfied, the Company shall have no obligation to deliver to you any Common Stock in respect of the RSU Award. In the event the obligation of the Company or its Affiliate with respect to Withholding Taxes</w:t>
      </w:r>
    </w:p>
    <w:p>
      <w:pPr>
        <w:spacing w:after="0" w:line="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Withholding Obligation</w:t>
      </w:r>
      <w:r>
        <w:rPr>
          <w:rFonts w:ascii="Times New Roman" w:cs="Times New Roman" w:eastAsia="Times New Roman" w:hAnsi="Times New Roman"/>
          <w:sz w:val="22"/>
          <w:szCs w:val="22"/>
          <w:color w:val="auto"/>
        </w:rPr>
        <w:t>”) arises prior to the delivery to you of Common Stock or it is determined after the delivery of Common Stock to you that the amount of the Withholding Taxes was greater than the amount withheld by the Company and/or its Affiliate (as applicable), you agree to indemnify and hold the Company and/or its Affiliate (as applicable) harmless from any failure by the Company to withhold the proper amount.</w:t>
      </w:r>
    </w:p>
    <w:p>
      <w:pPr>
        <w:spacing w:after="0" w:line="62" w:lineRule="exact"/>
        <w:rPr>
          <w:sz w:val="20"/>
          <w:szCs w:val="20"/>
          <w:color w:val="auto"/>
        </w:rPr>
      </w:pPr>
    </w:p>
    <w:p>
      <w:pPr>
        <w:ind w:left="1140" w:hanging="500"/>
        <w:spacing w:after="0"/>
        <w:tabs>
          <w:tab w:leader="none" w:pos="114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Date of Issuance.</w:t>
      </w:r>
    </w:p>
    <w:p>
      <w:pPr>
        <w:spacing w:after="0" w:line="115" w:lineRule="exact"/>
        <w:rPr>
          <w:rFonts w:ascii="Times New Roman" w:cs="Times New Roman" w:eastAsia="Times New Roman" w:hAnsi="Times New Roman"/>
          <w:sz w:val="22"/>
          <w:szCs w:val="22"/>
          <w:b w:val="1"/>
          <w:bCs w:val="1"/>
          <w:color w:val="auto"/>
        </w:rPr>
      </w:pPr>
    </w:p>
    <w:p>
      <w:pPr>
        <w:jc w:val="both"/>
        <w:ind w:firstLine="1288"/>
        <w:spacing w:after="0" w:line="253" w:lineRule="auto"/>
        <w:tabs>
          <w:tab w:leader="none" w:pos="1791"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1.409A-(b)(4) and will be construed and administered in such a manner. Subject to the satisfaction of the Withholding Obligation, if any, in the event one or more Restricted Stock Units vests, the Company shall issue to you, in accordance with the Issuance Schedule on the Grant Notice, one (1) share of Common Stock for each vested Restricted Stock Unit. Each issuance date determined by this paragraph is referred to as an “</w:t>
      </w:r>
      <w:r>
        <w:rPr>
          <w:rFonts w:ascii="Times New Roman" w:cs="Times New Roman" w:eastAsia="Times New Roman" w:hAnsi="Times New Roman"/>
          <w:sz w:val="22"/>
          <w:szCs w:val="22"/>
          <w:b w:val="1"/>
          <w:bCs w:val="1"/>
          <w:i w:val="1"/>
          <w:iCs w:val="1"/>
          <w:color w:val="auto"/>
        </w:rPr>
        <w:t>Original Issuance Date</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b w:val="1"/>
          <w:bCs w:val="1"/>
          <w:color w:val="auto"/>
        </w:rPr>
      </w:pPr>
    </w:p>
    <w:p>
      <w:pPr>
        <w:ind w:firstLine="1288"/>
        <w:spacing w:after="0" w:line="271" w:lineRule="auto"/>
        <w:tabs>
          <w:tab w:leader="none" w:pos="1789" w:val="left"/>
        </w:tabs>
        <w:numPr>
          <w:ilvl w:val="1"/>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49" w:lineRule="exact"/>
        <w:rPr>
          <w:rFonts w:ascii="Times New Roman" w:cs="Times New Roman" w:eastAsia="Times New Roman" w:hAnsi="Times New Roman"/>
          <w:sz w:val="22"/>
          <w:szCs w:val="22"/>
          <w:b w:val="1"/>
          <w:bCs w:val="1"/>
          <w:color w:val="auto"/>
        </w:rPr>
      </w:pPr>
    </w:p>
    <w:p>
      <w:pPr>
        <w:jc w:val="both"/>
        <w:ind w:firstLine="1937"/>
        <w:spacing w:after="0" w:line="268" w:lineRule="auto"/>
        <w:tabs>
          <w:tab w:leader="none" w:pos="2446" w:val="left"/>
        </w:tabs>
        <w:numPr>
          <w:ilvl w:val="2"/>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1"/>
          <w:szCs w:val="21"/>
          <w:b w:val="1"/>
          <w:bCs w:val="1"/>
          <w:i w:val="1"/>
          <w:iCs w:val="1"/>
          <w:color w:val="auto"/>
        </w:rPr>
        <w:t>10b5-1 Arrangement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w:t>
      </w:r>
    </w:p>
    <w:p>
      <w:pPr>
        <w:spacing w:after="0" w:line="55" w:lineRule="exact"/>
        <w:rPr>
          <w:rFonts w:ascii="Times New Roman" w:cs="Times New Roman" w:eastAsia="Times New Roman" w:hAnsi="Times New Roman"/>
          <w:sz w:val="21"/>
          <w:szCs w:val="21"/>
          <w:b w:val="1"/>
          <w:bCs w:val="1"/>
          <w:color w:val="auto"/>
        </w:rPr>
      </w:pPr>
    </w:p>
    <w:p>
      <w:pPr>
        <w:jc w:val="both"/>
        <w:ind w:firstLine="1937"/>
        <w:spacing w:after="0" w:line="253" w:lineRule="auto"/>
        <w:tabs>
          <w:tab w:leader="none" w:pos="2438" w:val="left"/>
        </w:tabs>
        <w:numPr>
          <w:ilvl w:val="2"/>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71" w:lineRule="exact"/>
        <w:rPr>
          <w:sz w:val="20"/>
          <w:szCs w:val="20"/>
          <w:color w:val="auto"/>
        </w:rPr>
      </w:pPr>
    </w:p>
    <w:p>
      <w:pPr>
        <w:jc w:val="both"/>
        <w:ind w:firstLine="1945"/>
        <w:spacing w:after="0" w:line="251" w:lineRule="auto"/>
        <w:rPr>
          <w:sz w:val="20"/>
          <w:szCs w:val="20"/>
          <w:color w:val="auto"/>
        </w:rPr>
      </w:pPr>
      <w:r>
        <w:rPr>
          <w:rFonts w:ascii="Times New Roman" w:cs="Times New Roman" w:eastAsia="Times New Roman" w:hAnsi="Times New Roman"/>
          <w:sz w:val="22"/>
          <w:szCs w:val="22"/>
          <w:u w:val="single" w:color="auto"/>
          <w:color w:val="auto"/>
        </w:rPr>
        <w:t>then</w:t>
      </w:r>
      <w:r>
        <w:rPr>
          <w:rFonts w:ascii="Times New Roman" w:cs="Times New Roman" w:eastAsia="Times New Roman" w:hAnsi="Times New Roman"/>
          <w:sz w:val="22"/>
          <w:szCs w:val="22"/>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2"/>
          <w:szCs w:val="22"/>
          <w:u w:val="single" w:color="auto"/>
          <w:color w:val="auto"/>
        </w:rPr>
        <w:t>if and only if</w:t>
      </w:r>
      <w:r>
        <w:rPr>
          <w:rFonts w:ascii="Times New Roman" w:cs="Times New Roman" w:eastAsia="Times New Roman" w:hAnsi="Times New Roman"/>
          <w:sz w:val="22"/>
          <w:szCs w:val="22"/>
          <w:color w:val="auto"/>
        </w:rPr>
        <w:t xml:space="preserve"> permitted in a manner that complies with Treasury Regulations Section 1.409A-1(b)(4), no later than the date that is the 15th day of the third calendar month of the applicable</w:t>
      </w:r>
    </w:p>
    <w:p>
      <w:pPr>
        <w:sectPr>
          <w:pgSz w:w="11900" w:h="16838" w:orient="portrait"/>
          <w:cols w:equalWidth="0" w:num="1">
            <w:col w:w="11080"/>
          </w:cols>
          <w:pgMar w:left="480" w:top="58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year following the year in which the shares of Common Stock under this Award are no longer subject to a “substantial risk of forfeiture” within the meaning of Treasury Regulations Section 1.409A-1(d).</w:t>
      </w:r>
    </w:p>
    <w:p>
      <w:pPr>
        <w:spacing w:after="0" w:line="46" w:lineRule="exact"/>
        <w:rPr>
          <w:sz w:val="20"/>
          <w:szCs w:val="20"/>
          <w:color w:val="auto"/>
        </w:rPr>
      </w:pPr>
    </w:p>
    <w:p>
      <w:pPr>
        <w:ind w:firstLine="640"/>
        <w:spacing w:after="0" w:line="287"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Except as otherwise provided in the Plan, your RSU Award is not transferable, except by will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applicable laws of descent and distribution</w:t>
      </w:r>
    </w:p>
    <w:p>
      <w:pPr>
        <w:spacing w:after="0" w:line="29" w:lineRule="exact"/>
        <w:rPr>
          <w:rFonts w:ascii="Times New Roman" w:cs="Times New Roman" w:eastAsia="Times New Roman" w:hAnsi="Times New Roman"/>
          <w:sz w:val="22"/>
          <w:szCs w:val="22"/>
          <w:b w:val="1"/>
          <w:bCs w:val="1"/>
          <w:color w:val="auto"/>
        </w:rPr>
      </w:pPr>
    </w:p>
    <w:p>
      <w:pPr>
        <w:jc w:val="both"/>
        <w:ind w:right="20" w:firstLine="640"/>
        <w:spacing w:after="0" w:line="277" w:lineRule="auto"/>
        <w:tabs>
          <w:tab w:leader="none" w:pos="1148"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Corporate Transaction. </w:t>
      </w:r>
      <w:r>
        <w:rPr>
          <w:rFonts w:ascii="Times New Roman" w:cs="Times New Roman" w:eastAsia="Times New Roman" w:hAnsi="Times New Roman"/>
          <w:sz w:val="21"/>
          <w:szCs w:val="21"/>
          <w:color w:val="auto"/>
        </w:rPr>
        <w:t>Your RSU Award is subject to the terms of any agreement governing a Corporate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41" w:lineRule="exact"/>
        <w:rPr>
          <w:rFonts w:ascii="Times New Roman" w:cs="Times New Roman" w:eastAsia="Times New Roman" w:hAnsi="Times New Roman"/>
          <w:sz w:val="21"/>
          <w:szCs w:val="21"/>
          <w:b w:val="1"/>
          <w:bCs w:val="1"/>
          <w:color w:val="auto"/>
        </w:rPr>
      </w:pPr>
    </w:p>
    <w:p>
      <w:pPr>
        <w:jc w:val="both"/>
        <w:ind w:firstLine="640"/>
        <w:spacing w:after="0" w:line="254"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Liability for Taxes</w:t>
      </w:r>
      <w:r>
        <w:rPr>
          <w:rFonts w:ascii="Times New Roman" w:cs="Times New Roman" w:eastAsia="Times New Roman" w:hAnsi="Times New Roman"/>
          <w:sz w:val="22"/>
          <w:szCs w:val="22"/>
          <w:color w:val="auto"/>
        </w:rPr>
        <w:t>. As a condition to accepting the RSU Award, you hereby (a) agree to not make any claim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65" w:lineRule="exact"/>
        <w:rPr>
          <w:rFonts w:ascii="Times New Roman" w:cs="Times New Roman" w:eastAsia="Times New Roman" w:hAnsi="Times New Roman"/>
          <w:sz w:val="22"/>
          <w:szCs w:val="22"/>
          <w:b w:val="1"/>
          <w:bCs w:val="1"/>
          <w:color w:val="auto"/>
        </w:rPr>
      </w:pPr>
    </w:p>
    <w:p>
      <w:pPr>
        <w:jc w:val="both"/>
        <w:ind w:firstLine="640"/>
        <w:spacing w:after="0" w:line="254"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part of this Agreement or the Plan is declared by any court or governmental authority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5" w:lineRule="exact"/>
        <w:rPr>
          <w:rFonts w:ascii="Times New Roman" w:cs="Times New Roman" w:eastAsia="Times New Roman" w:hAnsi="Times New Roman"/>
          <w:sz w:val="22"/>
          <w:szCs w:val="22"/>
          <w:b w:val="1"/>
          <w:bCs w:val="1"/>
          <w:color w:val="auto"/>
        </w:rPr>
      </w:pPr>
    </w:p>
    <w:p>
      <w:pPr>
        <w:jc w:val="both"/>
        <w:ind w:firstLine="640"/>
        <w:spacing w:after="0" w:line="265"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Documents. </w:t>
      </w:r>
      <w:r>
        <w:rPr>
          <w:rFonts w:ascii="Times New Roman" w:cs="Times New Roman" w:eastAsia="Times New Roman" w:hAnsi="Times New Roman"/>
          <w:sz w:val="22"/>
          <w:szCs w:val="22"/>
          <w:color w:val="auto"/>
        </w:rPr>
        <w:t>You hereby acknowledge receipt of or the right to receive a document providing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required by Rule 428(b)(1) promulgated under the Securities Act, which includes the Prospectus. In addition, you acknowledge receipt of the Company’s Trading Policy.</w:t>
      </w:r>
    </w:p>
    <w:p>
      <w:pPr>
        <w:spacing w:after="0" w:line="53" w:lineRule="exact"/>
        <w:rPr>
          <w:rFonts w:ascii="Times New Roman" w:cs="Times New Roman" w:eastAsia="Times New Roman" w:hAnsi="Times New Roman"/>
          <w:sz w:val="22"/>
          <w:szCs w:val="22"/>
          <w:b w:val="1"/>
          <w:bCs w:val="1"/>
          <w:color w:val="auto"/>
        </w:rPr>
      </w:pPr>
    </w:p>
    <w:p>
      <w:pPr>
        <w:ind w:firstLine="640"/>
        <w:spacing w:after="0" w:line="275" w:lineRule="auto"/>
        <w:tabs>
          <w:tab w:leader="none" w:pos="1136"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Choice of Law. </w:t>
      </w:r>
      <w:r>
        <w:rPr>
          <w:rFonts w:ascii="Times New Roman" w:cs="Times New Roman" w:eastAsia="Times New Roman" w:hAnsi="Times New Roman"/>
          <w:sz w:val="22"/>
          <w:szCs w:val="22"/>
          <w:color w:val="auto"/>
        </w:rPr>
        <w:t>The interpretation, performance and enforcement of this RSU Award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Delaware without regard to that state’s conflicts of laws rules.</w:t>
      </w:r>
    </w:p>
    <w:p>
      <w:pPr>
        <w:spacing w:after="0" w:line="41" w:lineRule="exact"/>
        <w:rPr>
          <w:rFonts w:ascii="Times New Roman" w:cs="Times New Roman" w:eastAsia="Times New Roman" w:hAnsi="Times New Roman"/>
          <w:sz w:val="22"/>
          <w:szCs w:val="22"/>
          <w:b w:val="1"/>
          <w:bCs w:val="1"/>
          <w:color w:val="auto"/>
        </w:rPr>
      </w:pPr>
    </w:p>
    <w:p>
      <w:pPr>
        <w:jc w:val="both"/>
        <w:ind w:firstLine="640"/>
        <w:spacing w:after="0" w:line="252"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Appendix. </w:t>
      </w:r>
      <w:r>
        <w:rPr>
          <w:rFonts w:ascii="Times New Roman" w:cs="Times New Roman" w:eastAsia="Times New Roman" w:hAnsi="Times New Roman"/>
          <w:sz w:val="22"/>
          <w:szCs w:val="22"/>
          <w:color w:val="auto"/>
        </w:rPr>
        <w:t>Notwithstanding any provisions in this RSU Award Agreement, if you are resident, subject to tax,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 outside the U.S., your RSU Award shall be subject to the general non-US terms and the special terms and conditions for your country set forth in the Appendix attached hereto. Moreover, if you relocate outside the U.S. and/or to one of the countries included therein, the terms and conditions for such country will apply to you to the extent the Company determines that the application of such terms and conditions is necessary or advisable for legal or administrative reasons. The Appendix constitutes part of this RSU Award Agreement.</w:t>
      </w:r>
    </w:p>
    <w:p>
      <w:pPr>
        <w:spacing w:after="0" w:line="66" w:lineRule="exact"/>
        <w:rPr>
          <w:rFonts w:ascii="Times New Roman" w:cs="Times New Roman" w:eastAsia="Times New Roman" w:hAnsi="Times New Roman"/>
          <w:sz w:val="22"/>
          <w:szCs w:val="22"/>
          <w:b w:val="1"/>
          <w:bCs w:val="1"/>
          <w:color w:val="auto"/>
        </w:rPr>
      </w:pPr>
    </w:p>
    <w:p>
      <w:pPr>
        <w:ind w:firstLine="640"/>
        <w:spacing w:after="0" w:line="275" w:lineRule="auto"/>
        <w:tabs>
          <w:tab w:leader="none" w:pos="1148"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Questions. </w:t>
      </w:r>
      <w:r>
        <w:rPr>
          <w:rFonts w:ascii="Times New Roman" w:cs="Times New Roman" w:eastAsia="Times New Roman" w:hAnsi="Times New Roman"/>
          <w:sz w:val="22"/>
          <w:szCs w:val="22"/>
          <w:color w:val="auto"/>
        </w:rPr>
        <w:t>If you have questions regarding these or any other terms and conditions applicable to your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including a summary of the tax consequences please see the Prospectus.</w:t>
      </w:r>
    </w:p>
    <w:p>
      <w:pPr>
        <w:sectPr>
          <w:pgSz w:w="11900" w:h="16838" w:orient="portrait"/>
          <w:cols w:equalWidth="0" w:num="1">
            <w:col w:w="11080"/>
          </w:cols>
          <w:pgMar w:left="480" w:top="58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00" w:lineRule="exact"/>
        <w:rPr>
          <w:sz w:val="20"/>
          <w:szCs w:val="20"/>
          <w:color w:val="auto"/>
        </w:rPr>
      </w:pPr>
    </w:p>
    <w:p>
      <w:pPr>
        <w:spacing w:after="0" w:line="2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Appendix includes general terms and conditions that govern the RSU Award granted to you under the Plan if you are resident, subject to tax, or work outside the U.S. and specific terms and conditions that apply if you are resident, subject to tax or work in any country listed herein.</w:t>
      </w:r>
    </w:p>
    <w:p>
      <w:pPr>
        <w:spacing w:after="0" w:line="5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information contained herein is general in nature and may not apply to your particular situation, and you are advised to seek appropriate professional advice as to how the relevant laws in your country may apply to your situation.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your employer shall include any entity that engages your services.</w:t>
      </w: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GENERAL NON-U.S. TERMS</w:t>
      </w:r>
    </w:p>
    <w:p>
      <w:pPr>
        <w:spacing w:after="0" w:line="112" w:lineRule="exact"/>
        <w:rPr>
          <w:sz w:val="20"/>
          <w:szCs w:val="20"/>
          <w:color w:val="auto"/>
        </w:rPr>
      </w:pPr>
    </w:p>
    <w:p>
      <w:pPr>
        <w:ind w:left="1140" w:hanging="500"/>
        <w:spacing w:after="0"/>
        <w:tabs>
          <w:tab w:leader="none" w:pos="11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t>
      </w:r>
      <w:r>
        <w:rPr>
          <w:rFonts w:ascii="Times New Roman" w:cs="Times New Roman" w:eastAsia="Times New Roman" w:hAnsi="Times New Roman"/>
          <w:sz w:val="22"/>
          <w:szCs w:val="22"/>
          <w:color w:val="auto"/>
        </w:rPr>
        <w:t>All references in the RSU Award Agreement to tax shall, to the extent applicable, include social security.</w:t>
      </w:r>
    </w:p>
    <w:p>
      <w:pPr>
        <w:spacing w:after="0" w:line="111"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Date of Issuance. </w:t>
      </w:r>
      <w:r>
        <w:rPr>
          <w:rFonts w:ascii="Times New Roman" w:cs="Times New Roman" w:eastAsia="Times New Roman" w:hAnsi="Times New Roman"/>
          <w:sz w:val="22"/>
          <w:szCs w:val="22"/>
          <w:color w:val="auto"/>
        </w:rPr>
        <w:t>Section 5 of the RSU Award Agreement (Date of Issuance) is deleted and replaced with the</w:t>
      </w:r>
    </w:p>
    <w:p>
      <w:pPr>
        <w:spacing w:after="0" w:line="33"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following:</w:t>
      </w:r>
    </w:p>
    <w:p>
      <w:pPr>
        <w:spacing w:after="0" w:line="99" w:lineRule="exact"/>
        <w:rPr>
          <w:rFonts w:ascii="Times New Roman" w:cs="Times New Roman" w:eastAsia="Times New Roman" w:hAnsi="Times New Roman"/>
          <w:sz w:val="22"/>
          <w:szCs w:val="22"/>
          <w:b w:val="1"/>
          <w:bCs w:val="1"/>
          <w:color w:val="auto"/>
        </w:rPr>
      </w:pPr>
    </w:p>
    <w:p>
      <w:pPr>
        <w:jc w:val="both"/>
        <w:ind w:firstLine="1288"/>
        <w:spacing w:after="0" w:line="253" w:lineRule="auto"/>
        <w:tabs>
          <w:tab w:leader="none" w:pos="1791"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u w:val="single" w:color="auto"/>
          <w:color w:val="auto"/>
        </w:rPr>
        <w:t>If you are subject to tax in the U.S.,</w:t>
      </w:r>
      <w:r>
        <w:rPr>
          <w:rFonts w:ascii="Times New Roman" w:cs="Times New Roman" w:eastAsia="Times New Roman" w:hAnsi="Times New Roman"/>
          <w:sz w:val="22"/>
          <w:szCs w:val="22"/>
          <w:color w:val="auto"/>
        </w:rPr>
        <w:t xml:space="preserve"> 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Each issuance date determined by this paragraph is referred to as an “</w:t>
      </w:r>
      <w:r>
        <w:rPr>
          <w:rFonts w:ascii="Times New Roman" w:cs="Times New Roman" w:eastAsia="Times New Roman" w:hAnsi="Times New Roman"/>
          <w:sz w:val="22"/>
          <w:szCs w:val="22"/>
          <w:b w:val="1"/>
          <w:bCs w:val="1"/>
          <w:color w:val="auto"/>
        </w:rPr>
        <w:t>Original Issuance Date</w:t>
      </w:r>
      <w:r>
        <w:rPr>
          <w:rFonts w:ascii="Times New Roman" w:cs="Times New Roman" w:eastAsia="Times New Roman" w:hAnsi="Times New Roman"/>
          <w:sz w:val="22"/>
          <w:szCs w:val="22"/>
          <w:color w:val="auto"/>
        </w:rPr>
        <w:t>.</w:t>
      </w:r>
    </w:p>
    <w:p>
      <w:pPr>
        <w:spacing w:after="0" w:line="70" w:lineRule="exact"/>
        <w:rPr>
          <w:rFonts w:ascii="Times New Roman" w:cs="Times New Roman" w:eastAsia="Times New Roman" w:hAnsi="Times New Roman"/>
          <w:sz w:val="22"/>
          <w:szCs w:val="22"/>
          <w:b w:val="1"/>
          <w:bCs w:val="1"/>
          <w:color w:val="auto"/>
        </w:rPr>
      </w:pPr>
    </w:p>
    <w:p>
      <w:pPr>
        <w:ind w:firstLine="1288"/>
        <w:spacing w:after="0" w:line="271" w:lineRule="auto"/>
        <w:tabs>
          <w:tab w:leader="none" w:pos="1789"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Original Issuance Date falls on a date that is not a business day, delivery shall instead occur on the next following business day. In addition, if:</w:t>
      </w:r>
    </w:p>
    <w:p>
      <w:pPr>
        <w:spacing w:after="0" w:line="49" w:lineRule="exact"/>
        <w:rPr>
          <w:rFonts w:ascii="Times New Roman" w:cs="Times New Roman" w:eastAsia="Times New Roman" w:hAnsi="Times New Roman"/>
          <w:sz w:val="22"/>
          <w:szCs w:val="22"/>
          <w:b w:val="1"/>
          <w:bCs w:val="1"/>
          <w:color w:val="auto"/>
        </w:rPr>
      </w:pPr>
    </w:p>
    <w:p>
      <w:pPr>
        <w:jc w:val="both"/>
        <w:ind w:firstLine="1937"/>
        <w:spacing w:after="0" w:line="248" w:lineRule="auto"/>
        <w:tabs>
          <w:tab w:leader="none" w:pos="2446"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2"/>
          <w:szCs w:val="22"/>
          <w:b w:val="1"/>
          <w:bCs w:val="1"/>
          <w:color w:val="auto"/>
        </w:rPr>
        <w:t>10b5-1 Arrangement</w:t>
      </w:r>
      <w:r>
        <w:rPr>
          <w:rFonts w:ascii="Times New Roman" w:cs="Times New Roman" w:eastAsia="Times New Roman" w:hAnsi="Times New Roman"/>
          <w:sz w:val="22"/>
          <w:szCs w:val="22"/>
          <w:color w:val="auto"/>
        </w:rPr>
        <w:t>)), and 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then the shares that would otherwise be issued to you on the Original Issuance Date will not be delivered on such Original Issuance Date and will instead be delivered on the first business day when you are not prohibited from selling shares of the</w:t>
      </w:r>
    </w:p>
    <w:p>
      <w:pPr>
        <w:sectPr>
          <w:pgSz w:w="11900" w:h="16838" w:orient="portrait"/>
          <w:cols w:equalWidth="0" w:num="1">
            <w:col w:w="11080"/>
          </w:cols>
          <w:pgMar w:left="480" w:top="58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Company’s Common Stock in the open public market, but (if you are subject to tax in the U.S.) in no event later than December 31 of the calendar year in which the Original Issuance Date occurs (that is, the last day of your taxable year in which the Original Issuance Date occurs), or, if and only if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69" w:lineRule="exact"/>
        <w:rPr>
          <w:sz w:val="20"/>
          <w:szCs w:val="20"/>
          <w:color w:val="auto"/>
        </w:rPr>
      </w:pPr>
    </w:p>
    <w:p>
      <w:pPr>
        <w:ind w:firstLine="640"/>
        <w:spacing w:after="0" w:line="275" w:lineRule="auto"/>
        <w:tabs>
          <w:tab w:leader="none" w:pos="114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Transferability. </w:t>
      </w:r>
      <w:r>
        <w:rPr>
          <w:rFonts w:ascii="Times New Roman" w:cs="Times New Roman" w:eastAsia="Times New Roman" w:hAnsi="Times New Roman"/>
          <w:sz w:val="22"/>
          <w:szCs w:val="22"/>
          <w:color w:val="auto"/>
        </w:rPr>
        <w:t>Notwithstanding Section 6 of the RSU Award Agreement, your RSU Award is not transferable,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to your personal representative on your death.</w:t>
      </w:r>
    </w:p>
    <w:p>
      <w:pPr>
        <w:spacing w:after="0" w:line="54"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not a Service Contract</w:t>
      </w:r>
      <w:r>
        <w:rPr>
          <w:rFonts w:ascii="Times New Roman" w:cs="Times New Roman" w:eastAsia="Times New Roman" w:hAnsi="Times New Roman"/>
          <w:sz w:val="22"/>
          <w:szCs w:val="22"/>
          <w:color w:val="auto"/>
        </w:rPr>
        <w:t>. By accepting your RSU Award, you acknowledge, understand and agree that:</w:t>
      </w:r>
    </w:p>
    <w:p>
      <w:pPr>
        <w:spacing w:after="0" w:line="115" w:lineRule="exact"/>
        <w:rPr>
          <w:rFonts w:ascii="Times New Roman" w:cs="Times New Roman" w:eastAsia="Times New Roman" w:hAnsi="Times New Roman"/>
          <w:sz w:val="22"/>
          <w:szCs w:val="22"/>
          <w:b w:val="1"/>
          <w:bCs w:val="1"/>
          <w:color w:val="auto"/>
        </w:rPr>
      </w:pPr>
    </w:p>
    <w:p>
      <w:pPr>
        <w:ind w:right="20" w:firstLine="1288"/>
        <w:spacing w:after="0" w:line="271" w:lineRule="auto"/>
        <w:tabs>
          <w:tab w:leader="none" w:pos="1791"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under the Plan;</w:t>
      </w:r>
    </w:p>
    <w:p>
      <w:pPr>
        <w:spacing w:after="0" w:line="49" w:lineRule="exact"/>
        <w:rPr>
          <w:rFonts w:ascii="Times New Roman" w:cs="Times New Roman" w:eastAsia="Times New Roman" w:hAnsi="Times New Roman"/>
          <w:sz w:val="22"/>
          <w:szCs w:val="22"/>
          <w:b w:val="1"/>
          <w:bCs w:val="1"/>
          <w:color w:val="auto"/>
        </w:rPr>
      </w:pPr>
    </w:p>
    <w:p>
      <w:pPr>
        <w:jc w:val="both"/>
        <w:ind w:firstLine="1288"/>
        <w:spacing w:after="0" w:line="257" w:lineRule="auto"/>
        <w:tabs>
          <w:tab w:leader="none" w:pos="1789"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 of your RSU Award is voluntary and occasional and does not create any contractual or other right to receive future grants of awards (whether on the same or different terms), or benefits in lieu of awards, even if awards have been granted in the past;</w:t>
      </w:r>
    </w:p>
    <w:p>
      <w:pPr>
        <w:spacing w:after="0" w:line="78" w:lineRule="exact"/>
        <w:rPr>
          <w:rFonts w:ascii="Times New Roman" w:cs="Times New Roman" w:eastAsia="Times New Roman" w:hAnsi="Times New Roman"/>
          <w:sz w:val="22"/>
          <w:szCs w:val="22"/>
          <w:b w:val="1"/>
          <w:bCs w:val="1"/>
          <w:color w:val="auto"/>
        </w:rPr>
      </w:pPr>
    </w:p>
    <w:p>
      <w:pPr>
        <w:jc w:val="both"/>
        <w:ind w:firstLine="1288"/>
        <w:spacing w:after="0" w:line="252" w:lineRule="auto"/>
        <w:tabs>
          <w:tab w:leader="none" w:pos="1792"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your RSU Award and any shares of Common Stock acquired under the Plan, and the income and value of same, are not part of normal or expected compensation for any purpose, including, without limitation, calculating any severance, resignation, termination, redundancy, dismissal, end-of-service payments, bonuses, holiday pay, long-service awards, pension or retirement or welfare benefits or similar payments;</w:t>
      </w:r>
    </w:p>
    <w:p>
      <w:pPr>
        <w:spacing w:after="0" w:line="71" w:lineRule="exact"/>
        <w:rPr>
          <w:rFonts w:ascii="Times New Roman" w:cs="Times New Roman" w:eastAsia="Times New Roman" w:hAnsi="Times New Roman"/>
          <w:sz w:val="22"/>
          <w:szCs w:val="22"/>
          <w:b w:val="1"/>
          <w:bCs w:val="1"/>
          <w:color w:val="auto"/>
        </w:rPr>
      </w:pPr>
    </w:p>
    <w:p>
      <w:pPr>
        <w:ind w:right="20" w:firstLine="1288"/>
        <w:spacing w:after="0" w:line="284" w:lineRule="auto"/>
        <w:tabs>
          <w:tab w:leader="none" w:pos="1789"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future value of the shares of Common Stock underlying the RSU Award is unknown, indeterminable, and cannot be predicted with certainty;</w:t>
      </w:r>
    </w:p>
    <w:p>
      <w:pPr>
        <w:spacing w:after="0" w:line="35" w:lineRule="exact"/>
        <w:rPr>
          <w:rFonts w:ascii="Times New Roman" w:cs="Times New Roman" w:eastAsia="Times New Roman" w:hAnsi="Times New Roman"/>
          <w:sz w:val="22"/>
          <w:szCs w:val="22"/>
          <w:b w:val="1"/>
          <w:bCs w:val="1"/>
          <w:color w:val="auto"/>
        </w:rPr>
      </w:pPr>
    </w:p>
    <w:p>
      <w:pPr>
        <w:jc w:val="both"/>
        <w:ind w:firstLine="1288"/>
        <w:spacing w:after="0" w:line="257" w:lineRule="auto"/>
        <w:tabs>
          <w:tab w:leader="none" w:pos="1792"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neither the Company nor any Affiliate shall be liable for any foreign exchange rate fluctuation between your local currency and the United States Dollar that may affect the value of your RSU Award or of any amounts due to you pursuant to the vesting of your RSU Award or the subsequent sale of any shares of Common Stock received;</w:t>
      </w:r>
    </w:p>
    <w:p>
      <w:pPr>
        <w:spacing w:after="0" w:line="64" w:lineRule="exact"/>
        <w:rPr>
          <w:rFonts w:ascii="Times New Roman" w:cs="Times New Roman" w:eastAsia="Times New Roman" w:hAnsi="Times New Roman"/>
          <w:sz w:val="22"/>
          <w:szCs w:val="22"/>
          <w:b w:val="1"/>
          <w:bCs w:val="1"/>
          <w:color w:val="auto"/>
        </w:rPr>
      </w:pPr>
    </w:p>
    <w:p>
      <w:pPr>
        <w:jc w:val="both"/>
        <w:ind w:firstLine="1288"/>
        <w:spacing w:after="0" w:line="264" w:lineRule="auto"/>
        <w:tabs>
          <w:tab w:leader="none" w:pos="1795" w:val="left"/>
        </w:tabs>
        <w:numPr>
          <w:ilvl w:val="1"/>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 claim or entitlement to compensation or damages shall arise from forfeiture of this RSU Award resulting from the termination of your Continuous Service (for any reason whatsoever, whether or not later found to be invalid or in breach of employment laws in the jurisdiction where you are employed or the terms of your employment or service agreement, if any), and in consideration of the grant of this RSU Award to which you are otherwise not entitled, you irrevocably agree never to institute any claim against the Company or any Affiliate, waive your ability, if any, to bring any such claim, and release the Company and any Affiliate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57" w:lineRule="exact"/>
        <w:rPr>
          <w:rFonts w:ascii="Times New Roman" w:cs="Times New Roman" w:eastAsia="Times New Roman" w:hAnsi="Times New Roman"/>
          <w:sz w:val="21"/>
          <w:szCs w:val="21"/>
          <w:b w:val="1"/>
          <w:bCs w:val="1"/>
          <w:color w:val="auto"/>
        </w:rPr>
      </w:pPr>
    </w:p>
    <w:p>
      <w:pPr>
        <w:ind w:left="1280" w:hanging="639"/>
        <w:spacing w:after="0"/>
        <w:tabs>
          <w:tab w:leader="none" w:pos="128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Data Privacy.</w:t>
      </w:r>
    </w:p>
    <w:p>
      <w:pPr>
        <w:spacing w:after="0" w:line="115" w:lineRule="exact"/>
        <w:rPr>
          <w:rFonts w:ascii="Times New Roman" w:cs="Times New Roman" w:eastAsia="Times New Roman" w:hAnsi="Times New Roman"/>
          <w:sz w:val="22"/>
          <w:szCs w:val="22"/>
          <w:b w:val="1"/>
          <w:bCs w:val="1"/>
          <w:color w:val="auto"/>
        </w:rPr>
      </w:pPr>
    </w:p>
    <w:p>
      <w:pPr>
        <w:ind w:right="20" w:firstLine="1288"/>
        <w:spacing w:after="0" w:line="271" w:lineRule="auto"/>
        <w:tabs>
          <w:tab w:leader="none" w:pos="1791"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You explicitly and unambiguously acknowledge and consent to the collection, use and transfer, in electronic or other form, of your personal data as described in this document by and</w:t>
      </w:r>
    </w:p>
    <w:p>
      <w:pPr>
        <w:sectPr>
          <w:pgSz w:w="11900" w:h="16838" w:orient="portrait"/>
          <w:cols w:equalWidth="0" w:num="1">
            <w:col w:w="11080"/>
          </w:cols>
          <w:pgMar w:left="480" w:top="58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among, as applicable, your employer, the Company and its Affiliates for the exclusive purpose of implementing, administering and managing your participation in the Plan. You understand that the Company, its Affiliates and your employer hold certain personal information about you,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awarded, canceled,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You understand that the Data may be transferred to any third parties assisting in the implementation, administration and management of the Plan, that these recipients may be located in your country or elsewhere, in particular in the US, and that the recipient country may have different data privacy laws providing less protections of your personal data than your country.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acknowledge that the recipients may receive, possess, process,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of Common Stock acquired upon the vesting of your RSU Award. You understand that Data will be held only as long as is necessary to implement, administer and manage your participation in the Plan. You may, at any time, view the Data, request additional information about the storage and processing of the Data, require any necessary amendments to the Data or refuse or withdraw the consents herein, in any case without cost, by contacting the Stock Plan Administrator in writing.</w:t>
      </w:r>
    </w:p>
    <w:p>
      <w:pPr>
        <w:spacing w:after="0" w:line="79" w:lineRule="exact"/>
        <w:rPr>
          <w:sz w:val="20"/>
          <w:szCs w:val="20"/>
          <w:color w:val="auto"/>
        </w:rPr>
      </w:pPr>
    </w:p>
    <w:p>
      <w:pPr>
        <w:ind w:firstLine="1288"/>
        <w:spacing w:after="0" w:line="309" w:lineRule="auto"/>
        <w:tabs>
          <w:tab w:leader="none" w:pos="1789" w:val="left"/>
        </w:tabs>
        <w:numPr>
          <w:ilvl w:val="1"/>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the purposes of operating the Plan in the European Union, Switzerland, and the United Kingdom, the Company will collect and process information relating to you in accordance with the privacy notice from time to time in force.</w:t>
      </w:r>
    </w:p>
    <w:p>
      <w:pPr>
        <w:spacing w:after="0" w:line="8" w:lineRule="exact"/>
        <w:rPr>
          <w:rFonts w:ascii="Times New Roman" w:cs="Times New Roman" w:eastAsia="Times New Roman" w:hAnsi="Times New Roman"/>
          <w:sz w:val="21"/>
          <w:szCs w:val="21"/>
          <w:b w:val="1"/>
          <w:bCs w:val="1"/>
          <w:color w:val="auto"/>
        </w:rPr>
      </w:pPr>
    </w:p>
    <w:p>
      <w:pPr>
        <w:jc w:val="both"/>
        <w:ind w:firstLine="640"/>
        <w:spacing w:after="0" w:line="253" w:lineRule="auto"/>
        <w:tabs>
          <w:tab w:leader="none" w:pos="114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Advice Regarding Grant. </w:t>
      </w:r>
      <w:r>
        <w:rPr>
          <w:rFonts w:ascii="Times New Roman" w:cs="Times New Roman" w:eastAsia="Times New Roman" w:hAnsi="Times New Roman"/>
          <w:sz w:val="22"/>
          <w:szCs w:val="22"/>
          <w:color w:val="auto"/>
        </w:rPr>
        <w:t>The Company is not providing any tax, legal or financial advice, nor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making any recommendations regarding your participation in the Plan, or your acquisition or sale of the underlying shares of Common Stock. You should consult with your own personal tax, legal and financial advisors regarding your participation in the Plan before taking any action related to the Plan.</w:t>
      </w:r>
    </w:p>
    <w:p>
      <w:pPr>
        <w:spacing w:after="0" w:line="80" w:lineRule="exact"/>
        <w:rPr>
          <w:rFonts w:ascii="Times New Roman" w:cs="Times New Roman" w:eastAsia="Times New Roman" w:hAnsi="Times New Roman"/>
          <w:sz w:val="22"/>
          <w:szCs w:val="22"/>
          <w:b w:val="1"/>
          <w:bCs w:val="1"/>
          <w:color w:val="auto"/>
        </w:rPr>
      </w:pPr>
    </w:p>
    <w:p>
      <w:pPr>
        <w:jc w:val="both"/>
        <w:ind w:firstLine="640"/>
        <w:spacing w:after="0" w:line="251" w:lineRule="auto"/>
        <w:tabs>
          <w:tab w:leader="none" w:pos="1148"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Language. </w:t>
      </w:r>
      <w:r>
        <w:rPr>
          <w:rFonts w:ascii="Times New Roman" w:cs="Times New Roman" w:eastAsia="Times New Roman" w:hAnsi="Times New Roman"/>
          <w:sz w:val="22"/>
          <w:szCs w:val="22"/>
          <w:color w:val="auto"/>
        </w:rPr>
        <w:t>You acknowledge that you are sufficiently proficient in the English language, or have consulted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advisor who is sufficiently proficient in English, so as to allow you to understand the terms and conditions of this Agreement. If you have received this Agreement, or any other document related to this RSU Award and/or the Plan translated into a language other than English and if the meaning of the translated version is different than the English version, the English version will control.</w:t>
      </w:r>
    </w:p>
    <w:p>
      <w:pPr>
        <w:spacing w:after="0" w:line="67" w:lineRule="exact"/>
        <w:rPr>
          <w:rFonts w:ascii="Times New Roman" w:cs="Times New Roman" w:eastAsia="Times New Roman" w:hAnsi="Times New Roman"/>
          <w:sz w:val="22"/>
          <w:szCs w:val="22"/>
          <w:b w:val="1"/>
          <w:bCs w:val="1"/>
          <w:color w:val="auto"/>
        </w:rPr>
      </w:pPr>
    </w:p>
    <w:p>
      <w:pPr>
        <w:ind w:left="1140" w:hanging="500"/>
        <w:spacing w:after="0"/>
        <w:tabs>
          <w:tab w:leader="none" w:pos="11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Foreign Asset/Account, Exchange Control and Tax Reporting. You</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may be subject to foreign 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w:t>
      </w:r>
    </w:p>
    <w:p>
      <w:pPr>
        <w:sectPr>
          <w:pgSz w:w="11900" w:h="16838" w:orient="portrait"/>
          <w:cols w:equalWidth="0" w:num="1">
            <w:col w:w="11080"/>
          </w:cols>
          <w:pgMar w:left="480" w:top="58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57" w:lineRule="exact"/>
        <w:rPr>
          <w:sz w:val="20"/>
          <w:szCs w:val="20"/>
          <w:color w:val="auto"/>
        </w:rPr>
      </w:pPr>
    </w:p>
    <w:p>
      <w:pPr>
        <w:ind w:left="1140" w:hanging="500"/>
        <w:spacing w:after="0"/>
        <w:tabs>
          <w:tab w:leader="none" w:pos="11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At-Will Employment</w:t>
      </w:r>
      <w:r>
        <w:rPr>
          <w:rFonts w:ascii="Times New Roman" w:cs="Times New Roman" w:eastAsia="Times New Roman" w:hAnsi="Times New Roman"/>
          <w:sz w:val="22"/>
          <w:szCs w:val="22"/>
          <w:color w:val="auto"/>
        </w:rPr>
        <w:t>. In Section 9(e) of the Plan, references to “at will” employment are deleted.</w:t>
      </w:r>
    </w:p>
    <w:p>
      <w:pPr>
        <w:sectPr>
          <w:pgSz w:w="11900" w:h="16838" w:orient="portrait"/>
          <w:cols w:equalWidth="0" w:num="1">
            <w:col w:w="11080"/>
          </w:cols>
          <w:pgMar w:left="480" w:top="585"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COUNTRY SPECIFIC TERMS</w:t>
      </w:r>
    </w:p>
    <w:p>
      <w:pPr>
        <w:spacing w:after="0" w:line="35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33"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Breach of Law. </w:t>
      </w:r>
      <w:r>
        <w:rPr>
          <w:rFonts w:ascii="Times New Roman" w:cs="Times New Roman" w:eastAsia="Times New Roman" w:hAnsi="Times New Roman"/>
          <w:sz w:val="22"/>
          <w:szCs w:val="22"/>
          <w:color w:val="auto"/>
        </w:rPr>
        <w:t>Notwithstanding anything else in the Plan or the RSU Award Agreement, you will not be entitled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claim any benefit (including without limitation a legal right) under the Plan if the provision of such benefit would give rise to a breach of Part 2D.2 of the Australian Corporations Act 2001 (Cth) (“</w:t>
      </w:r>
      <w:r>
        <w:rPr>
          <w:rFonts w:ascii="Times New Roman" w:cs="Times New Roman" w:eastAsia="Times New Roman" w:hAnsi="Times New Roman"/>
          <w:sz w:val="22"/>
          <w:szCs w:val="22"/>
          <w:b w:val="1"/>
          <w:bCs w:val="1"/>
          <w:i w:val="1"/>
          <w:iCs w:val="1"/>
          <w:color w:val="auto"/>
        </w:rPr>
        <w:t>Corporations Act</w:t>
      </w:r>
      <w:r>
        <w:rPr>
          <w:rFonts w:ascii="Times New Roman" w:cs="Times New Roman" w:eastAsia="Times New Roman" w:hAnsi="Times New Roman"/>
          <w:sz w:val="22"/>
          <w:szCs w:val="22"/>
          <w:color w:val="auto"/>
        </w:rPr>
        <w:t>”), any other provision of the Corporations Act, or any other applicable statute, rule or regulation which limits or restricts the giving of such benefits. Further, the Company is under no obligation to seek or obtain the approval of its shareholders in general meeting for the purpose of overcoming any such limitation or restriction.</w:t>
      </w:r>
    </w:p>
    <w:p>
      <w:pPr>
        <w:spacing w:after="0" w:line="67"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Securities Law Information. </w:t>
      </w:r>
      <w:r>
        <w:rPr>
          <w:rFonts w:ascii="Times New Roman" w:cs="Times New Roman" w:eastAsia="Times New Roman" w:hAnsi="Times New Roman"/>
          <w:sz w:val="22"/>
          <w:szCs w:val="22"/>
          <w:color w:val="auto"/>
        </w:rPr>
        <w:t>The grant of the RSU Award is made without disclosure under the Corporations Act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reliance on case by case relief provided to the Company under an instrument issued by the Australian Securities and Investments Commission (“</w:t>
      </w:r>
      <w:r>
        <w:rPr>
          <w:rFonts w:ascii="Times New Roman" w:cs="Times New Roman" w:eastAsia="Times New Roman" w:hAnsi="Times New Roman"/>
          <w:sz w:val="22"/>
          <w:szCs w:val="22"/>
          <w:b w:val="1"/>
          <w:bCs w:val="1"/>
          <w:i w:val="1"/>
          <w:iCs w:val="1"/>
          <w:color w:val="auto"/>
        </w:rPr>
        <w:t>ASIC Instrument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53"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Advice. </w:t>
      </w:r>
      <w:r>
        <w:rPr>
          <w:rFonts w:ascii="Times New Roman" w:cs="Times New Roman" w:eastAsia="Times New Roman" w:hAnsi="Times New Roman"/>
          <w:sz w:val="22"/>
          <w:szCs w:val="22"/>
          <w:color w:val="auto"/>
        </w:rPr>
        <w:t>Any advice given to you by the Company, or a representative of the Company, in relation to the RSU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not be considered as investment advice and does not take into account your objectives, financial situation, or needs.</w:t>
      </w:r>
    </w:p>
    <w:p>
      <w:pPr>
        <w:spacing w:after="0" w:line="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Australian law normally requires persons who offer financial products to give information to investors before they invest. This requires those offering financial products to have disclosed information that is material for investors to make an informed decision. The usual rules do not apply to this offer because it is made under an employee incentive scheme and in reliance on the ASIC Instrument. As a result, you may not be given all of the information normally expected when receiving an offer of financial products in Australia. You will also have fewer other legal protections for this investment.</w:t>
      </w:r>
    </w:p>
    <w:p>
      <w:pPr>
        <w:spacing w:after="0" w:line="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You should consider obtaining your own financial product advice from a person who is licenced by the Australian Securities and Investments Commission (“</w:t>
      </w:r>
      <w:r>
        <w:rPr>
          <w:rFonts w:ascii="Times New Roman" w:cs="Times New Roman" w:eastAsia="Times New Roman" w:hAnsi="Times New Roman"/>
          <w:sz w:val="22"/>
          <w:szCs w:val="22"/>
          <w:b w:val="1"/>
          <w:bCs w:val="1"/>
          <w:i w:val="1"/>
          <w:iCs w:val="1"/>
          <w:color w:val="auto"/>
        </w:rPr>
        <w:t>ASIC</w:t>
      </w:r>
      <w:r>
        <w:rPr>
          <w:rFonts w:ascii="Times New Roman" w:cs="Times New Roman" w:eastAsia="Times New Roman" w:hAnsi="Times New Roman"/>
          <w:sz w:val="22"/>
          <w:szCs w:val="22"/>
          <w:color w:val="auto"/>
        </w:rPr>
        <w:t>”) to give such advice before accepting the RSU Award.</w:t>
      </w:r>
    </w:p>
    <w:p>
      <w:pPr>
        <w:spacing w:after="0" w:line="59"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Risks. </w:t>
      </w:r>
      <w:r>
        <w:rPr>
          <w:rFonts w:ascii="Times New Roman" w:cs="Times New Roman" w:eastAsia="Times New Roman" w:hAnsi="Times New Roman"/>
          <w:sz w:val="22"/>
          <w:szCs w:val="22"/>
          <w:color w:val="auto"/>
        </w:rPr>
        <w:t>There are risks associated with the Company and a number of general risks associated with an investment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and the underlying shares of the Company’s Common Stock. These risks may individually or in combination materially and adversely affect the future operating and financial performance of the Company and, accordingly, the value of shares of the Company’s Common Stock. There can be no guarantee that the Company will achieve its stated objectives. Before agreeing to participate in the Plan, you should be satisfied that you have a sufficient understanding of the risks involved in making an investment in the Company and whether it is a suitable investment, having regard to your objectives, financial situation, and needs.</w:t>
      </w:r>
    </w:p>
    <w:p>
      <w:pPr>
        <w:spacing w:after="0" w:line="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RSU Award will only vest on the satisfaction of the conditions (if any) set out in the enclosed Grant Notice and the issue of the RSU Award to you is subject to the terms of the enclosed RSU Award Agreement and Plan. There is a chance that any conditions attaching to the RSU Award may never be fulfilled and that the RSU Award will not vest.</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Further risks and rights with respect to holding an RSU Award are set out in the enclosed RSU Award Agreement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ectPr>
          <w:pgSz w:w="11900" w:h="16838" w:orient="portrait"/>
          <w:cols w:equalWidth="0" w:num="1">
            <w:col w:w="11080"/>
          </w:cols>
          <w:pgMar w:left="480" w:top="585"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Stock price and currency information. </w:t>
      </w:r>
      <w:r>
        <w:rPr>
          <w:rFonts w:ascii="Times New Roman" w:cs="Times New Roman" w:eastAsia="Times New Roman" w:hAnsi="Times New Roman"/>
          <w:sz w:val="22"/>
          <w:szCs w:val="22"/>
          <w:color w:val="auto"/>
        </w:rPr>
        <w:t>Shares of the Company’s Common Stock are quoted on the NYSE and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valued in U.S. dollars – see https://</w:t>
      </w:r>
      <w:r>
        <w:rPr>
          <w:rFonts w:ascii="Times New Roman" w:cs="Times New Roman" w:eastAsia="Times New Roman" w:hAnsi="Times New Roman"/>
          <w:sz w:val="22"/>
          <w:szCs w:val="22"/>
          <w:u w:val="single" w:color="auto"/>
          <w:color w:val="000080"/>
        </w:rPr>
        <w:t>www.nyse.com/listings_directory/stock.</w:t>
      </w:r>
      <w:r>
        <w:rPr>
          <w:rFonts w:ascii="Times New Roman" w:cs="Times New Roman" w:eastAsia="Times New Roman" w:hAnsi="Times New Roman"/>
          <w:sz w:val="22"/>
          <w:szCs w:val="22"/>
          <w:color w:val="auto"/>
        </w:rPr>
        <w:t xml:space="preserve"> The equivalent stock price in Australian dollars can be calculated by taking the NYSE market price in</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U.S. dollars and applying the prevailing U.S.$ / A$ exchange rate to the market price. Alternatively, if necessary, the Company will provide you with the market price of the Company’s shares on the NYSE (in Australian dollars) upon written request to the Company. Such information will be provided to you as soon as practicable following the request.</w:t>
      </w:r>
    </w:p>
    <w:p>
      <w:pPr>
        <w:spacing w:after="0" w:line="61"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Exchange control reporting is required for cash transactions exceeding A$10,000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international fund transfers. You understand that the Australian bank assisting with the transaction may file the report on your behalf. If there is no Australian bank involved in the transfer, you will be required to file the report. You should consult with your personal advisor to ensure proper compliance with applicable reporting requirements in Australia.</w:t>
      </w:r>
    </w:p>
    <w:p>
      <w:pPr>
        <w:spacing w:after="0" w:line="60"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Tax Information. </w:t>
      </w:r>
      <w:r>
        <w:rPr>
          <w:rFonts w:ascii="Times New Roman" w:cs="Times New Roman" w:eastAsia="Times New Roman" w:hAnsi="Times New Roman"/>
          <w:sz w:val="22"/>
          <w:szCs w:val="22"/>
          <w:color w:val="auto"/>
        </w:rPr>
        <w:t>This Plan is a plan to which Subdivision 83A-C of the Income Tax Assessment Act 1997 (Cth) applies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conditions in that Act).</w:t>
      </w:r>
    </w:p>
    <w:p>
      <w:pPr>
        <w:spacing w:after="0" w:line="41" w:lineRule="exact"/>
        <w:rPr>
          <w:sz w:val="20"/>
          <w:szCs w:val="20"/>
          <w:color w:val="auto"/>
        </w:rPr>
      </w:pPr>
    </w:p>
    <w:p>
      <w:pPr>
        <w:ind w:left="200"/>
        <w:spacing w:after="0"/>
        <w:tabs>
          <w:tab w:leader="none" w:pos="1660" w:val="left"/>
        </w:tabs>
        <w:rPr>
          <w:sz w:val="20"/>
          <w:szCs w:val="20"/>
          <w:color w:val="auto"/>
        </w:rPr>
      </w:pPr>
      <w:r>
        <w:rPr>
          <w:rFonts w:ascii="Times New Roman" w:cs="Times New Roman" w:eastAsia="Times New Roman" w:hAnsi="Times New Roman"/>
          <w:sz w:val="22"/>
          <w:szCs w:val="22"/>
          <w:b w:val="1"/>
          <w:bCs w:val="1"/>
          <w:color w:val="auto"/>
        </w:rPr>
        <w:t>Data Privacy.</w:t>
      </w:r>
      <w:r>
        <w:rPr>
          <w:sz w:val="20"/>
          <w:szCs w:val="20"/>
          <w:color w:val="auto"/>
        </w:rPr>
        <w:tab/>
      </w:r>
      <w:r>
        <w:rPr>
          <w:rFonts w:ascii="Times New Roman" w:cs="Times New Roman" w:eastAsia="Times New Roman" w:hAnsi="Times New Roman"/>
          <w:sz w:val="21"/>
          <w:szCs w:val="21"/>
          <w:color w:val="auto"/>
        </w:rPr>
        <w:t>Section 5 of this Appendix (Data Privacy) is deleted and replaced with the following:</w:t>
      </w:r>
    </w:p>
    <w:p>
      <w:pPr>
        <w:spacing w:after="0" w:line="116" w:lineRule="exact"/>
        <w:rPr>
          <w:sz w:val="20"/>
          <w:szCs w:val="20"/>
          <w:color w:val="auto"/>
        </w:rPr>
      </w:pPr>
    </w:p>
    <w:p>
      <w:pPr>
        <w:jc w:val="both"/>
        <w:ind w:left="640"/>
        <w:spacing w:after="0" w:line="247" w:lineRule="auto"/>
        <w:rPr>
          <w:sz w:val="20"/>
          <w:szCs w:val="20"/>
          <w:color w:val="auto"/>
        </w:rPr>
      </w:pPr>
      <w:r>
        <w:rPr>
          <w:rFonts w:ascii="Times New Roman" w:cs="Times New Roman" w:eastAsia="Times New Roman" w:hAnsi="Times New Roman"/>
          <w:sz w:val="22"/>
          <w:szCs w:val="22"/>
          <w:color w:val="auto"/>
        </w:rPr>
        <w:t>You explicitly and unambiguously consent to the collection, holding, use and disclosure, in electronic or other form, of your personal information (as that term is defined in the Privacy Act 1988 (Cth)) as described in this document by and among, as applicable, your employer, the Company and its Affiliates for the purpose of implementing, administering and managing your participation in the Plan. You understand that the Company, its Affiliates and your employer hold certain personal information about you, including, but not limited to, name, home address and telephone number, email address and other contact details, date of birth, tax file number (or other identification number), salary, nationality, job title, any shares of Common Stock or directorships held in the Company, details of all options or any other entitlement to shares of Common Stock awarded, canceled, purchased, exercised, vested, unvested or outstanding in your favor for the purpose of implementing, managing and administering the Plan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The collection of this information may be required for compliance with various legislation, including the Corporations Act 2001 (Cth) and applicable taxation legislation. You understand that the Data may be transferred to any third parties assisting in the implementation, administration and management of the Plan, that these recipients may be located in Australia or elsewhere, in particular in the United States, and that the recipient country may have different data privacy laws providing less protection of your personal data than your country. You may request a list with the names and addresses of any potential recipients of the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authorize the recipients to collect, hold, use and disclose the Data, in electronic or other form, for the purposes of implementing, administering and managing your participation in the Plan, including any requisite transfer of such Data, as may be required to a broker or other third party (that may or may not be located in Australia or elsewhere) with whom you may elect to deposit any shares of the Common Stock acquired upon the vesting of the RSU Award. You understand that Data will be held only as long as is necessary to implement, administer and manage your participation in the Plan or for the period required by law, whichever is the longer. You may, at any time, refuse or withdraw the consents herein, in any case without cost,</w:t>
      </w:r>
    </w:p>
    <w:p>
      <w:pPr>
        <w:sectPr>
          <w:pgSz w:w="11900" w:h="16838" w:orient="portrait"/>
          <w:cols w:equalWidth="0" w:num="1">
            <w:col w:w="11080"/>
          </w:cols>
          <w:pgMar w:left="480" w:top="58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40"/>
        <w:spacing w:after="0" w:line="251" w:lineRule="auto"/>
        <w:rPr>
          <w:sz w:val="20"/>
          <w:szCs w:val="20"/>
          <w:color w:val="auto"/>
        </w:rPr>
      </w:pPr>
      <w:r>
        <w:rPr>
          <w:rFonts w:ascii="Times New Roman" w:cs="Times New Roman" w:eastAsia="Times New Roman" w:hAnsi="Times New Roman"/>
          <w:sz w:val="22"/>
          <w:szCs w:val="22"/>
          <w:color w:val="auto"/>
        </w:rPr>
        <w:t>by contacting the Stock Plan Administrator in writing. You understand that refusing or withdrawing consent may affect your ability to participate in the Plan. You acknowledge that further information on how your employer, the Company and its Affiliates collect, hold, use and disclose Data and personal information (and how you can access, correct or complain about the handling of that Data or personal information by your employer, the Company and its Affiliates) can be found at Asanapedia in the privacy policies of your employer, the Company and its Affiliates or the manager of the Plan (as applicable).</w:t>
      </w: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supplements Section 12 (Data Privacy) of this Appendix:</w:t>
      </w:r>
    </w:p>
    <w:p>
      <w:pPr>
        <w:spacing w:after="0" w:line="129" w:lineRule="exact"/>
        <w:rPr>
          <w:sz w:val="20"/>
          <w:szCs w:val="20"/>
          <w:color w:val="auto"/>
        </w:rPr>
      </w:pPr>
    </w:p>
    <w:p>
      <w:pPr>
        <w:jc w:val="both"/>
        <w:ind w:left="640"/>
        <w:spacing w:after="0" w:line="250" w:lineRule="auto"/>
        <w:rPr>
          <w:sz w:val="20"/>
          <w:szCs w:val="20"/>
          <w:color w:val="auto"/>
        </w:rPr>
      </w:pPr>
      <w:r>
        <w:rPr>
          <w:rFonts w:ascii="Times New Roman" w:cs="Times New Roman" w:eastAsia="Times New Roman" w:hAnsi="Times New Roman"/>
          <w:sz w:val="22"/>
          <w:szCs w:val="22"/>
          <w:color w:val="auto"/>
        </w:rPr>
        <w:t>You hereby authorize the Company and its representatives to discuss with and obtain all relevant information from all personnel, professional or not, involved in the administration and operation of the Plan. You further authorize the Company, any Affiliates and any stock plan service provider that may be selected by the Company to assist with the Plan to disclose and discuss the Plan with their respective advisors. You further authorize the Company and any Affiliates to record such information and to keep such information in your employee file.</w:t>
      </w:r>
    </w:p>
    <w:p>
      <w:pPr>
        <w:spacing w:after="0" w:line="69"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acknowledge that it is their express wish that the RSU Award Agreement, as well as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notices and legal proceedings entered into, given or instituted pursuant hereto or relating directly or indirectly hereto, be drawn up in English.</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Les parties reconnaissent avoir exigé la rédaction en anglais de cette convention («Agreement»), ainsi que cette Annexe, ainsi que de tous documents, avis et procédures judiciaires, exécutés, donnés ou intentés en vertu de, ou liés directement ou indirectement à, la présente convention.</w:t>
      </w:r>
    </w:p>
    <w:p>
      <w:pPr>
        <w:spacing w:after="0" w:line="72" w:lineRule="exact"/>
        <w:rPr>
          <w:sz w:val="20"/>
          <w:szCs w:val="20"/>
          <w:color w:val="auto"/>
        </w:rPr>
      </w:pPr>
    </w:p>
    <w:p>
      <w:pPr>
        <w:jc w:val="both"/>
        <w:ind w:firstLine="504"/>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Continuous Service. </w:t>
      </w:r>
      <w:r>
        <w:rPr>
          <w:rFonts w:ascii="Times New Roman" w:cs="Times New Roman" w:eastAsia="Times New Roman" w:hAnsi="Times New Roman"/>
          <w:sz w:val="21"/>
          <w:szCs w:val="21"/>
          <w:color w:val="auto"/>
        </w:rPr>
        <w:t>Notwithstanding anything else in the Plan or the RSU Award Agreement, your Continuous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deemed to end on the date when you cease to be actively providing services to the Company or an Affiliate, regardless of whether the cessation of your employment was lawful, and shall not include any period of statutory, contractual, common law, civil law or other reasonable notice of termination of employment or any period of salary continuance or deemed employment. As a result, if you receive notice of termination for a reason other than Cause, and the Company or its Affiliate does not require you to continue to attend at work and elects to provide you with a payment in lieu of notice, your Continuous Service will end on the date you receive such notice, as opposed any later date when severance payments to you cease.</w:t>
      </w:r>
    </w:p>
    <w:p>
      <w:pPr>
        <w:spacing w:after="0" w:line="58"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Employment Matters. </w:t>
      </w:r>
      <w:r>
        <w:rPr>
          <w:rFonts w:ascii="Times New Roman" w:cs="Times New Roman" w:eastAsia="Times New Roman" w:hAnsi="Times New Roman"/>
          <w:sz w:val="22"/>
          <w:szCs w:val="22"/>
          <w:color w:val="auto"/>
        </w:rPr>
        <w:t>The definition of “Cause” is modified such that the following supplements the existing definition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Plan:</w:t>
      </w:r>
    </w:p>
    <w:p>
      <w:pPr>
        <w:spacing w:after="0" w:line="39" w:lineRule="exact"/>
        <w:rPr>
          <w:sz w:val="20"/>
          <w:szCs w:val="20"/>
          <w:color w:val="auto"/>
        </w:rPr>
      </w:pPr>
    </w:p>
    <w:p>
      <w:pPr>
        <w:jc w:val="both"/>
        <w:ind w:left="500" w:firstLine="50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(iv) such Participant’s gross misconduct; or (v) any other serious act or omission</w:t>
      </w:r>
    </w:p>
    <w:p>
      <w:pPr>
        <w:sectPr>
          <w:pgSz w:w="11900" w:h="16838" w:orient="portrait"/>
          <w:cols w:equalWidth="0" w:num="1">
            <w:col w:w="11080"/>
          </w:cols>
          <w:pgMar w:left="480" w:top="58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9" w:lineRule="exact"/>
        <w:rPr>
          <w:sz w:val="20"/>
          <w:szCs w:val="20"/>
          <w:color w:val="auto"/>
        </w:rPr>
      </w:pPr>
    </w:p>
    <w:p>
      <w:pPr>
        <w:jc w:val="both"/>
        <w:ind w:left="16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 Fractions. </w:t>
      </w:r>
      <w:r>
        <w:rPr>
          <w:rFonts w:ascii="Times New Roman" w:cs="Times New Roman" w:eastAsia="Times New Roman" w:hAnsi="Times New Roman"/>
          <w:sz w:val="22"/>
          <w:szCs w:val="22"/>
          <w:color w:val="auto"/>
        </w:rPr>
        <w:t>No fractional shares of Common Stock shall be issued under the RSU Award Agreement and no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shall be payable in respect thereof.</w:t>
      </w:r>
    </w:p>
    <w:p>
      <w:pPr>
        <w:spacing w:after="0" w:line="55" w:lineRule="exact"/>
        <w:rPr>
          <w:sz w:val="20"/>
          <w:szCs w:val="20"/>
          <w:color w:val="auto"/>
        </w:rPr>
      </w:pPr>
    </w:p>
    <w:p>
      <w:pPr>
        <w:jc w:val="both"/>
        <w:ind w:left="160"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Voluntary Participation. </w:t>
      </w:r>
      <w:r>
        <w:rPr>
          <w:rFonts w:ascii="Times New Roman" w:cs="Times New Roman" w:eastAsia="Times New Roman" w:hAnsi="Times New Roman"/>
          <w:sz w:val="22"/>
          <w:szCs w:val="22"/>
          <w:color w:val="auto"/>
        </w:rPr>
        <w:t>Your participation in the Plan is voluntary, and you acknowledge and agree that you have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induced to enter into the RSU Award Agreement or acquire any RSU Award or shares of Common Stock by expectation of employment, engagement or appointment or continued employment, engagement or appointment.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definition of “Affiliate” is modified such that the following supplements the existing definition in the Plan:</w:t>
      </w:r>
    </w:p>
    <w:p>
      <w:pPr>
        <w:spacing w:after="0" w:line="112" w:lineRule="exact"/>
        <w:rPr>
          <w:sz w:val="20"/>
          <w:szCs w:val="20"/>
          <w:color w:val="auto"/>
        </w:rPr>
      </w:pPr>
    </w:p>
    <w:p>
      <w:pPr>
        <w:jc w:val="both"/>
        <w:ind w:left="800"/>
        <w:spacing w:after="0" w:line="251" w:lineRule="auto"/>
        <w:rPr>
          <w:sz w:val="20"/>
          <w:szCs w:val="20"/>
          <w:color w:val="auto"/>
        </w:rPr>
      </w:pPr>
      <w:r>
        <w:rPr>
          <w:rFonts w:ascii="Times New Roman" w:cs="Times New Roman" w:eastAsia="Times New Roman" w:hAnsi="Times New Roman"/>
          <w:sz w:val="22"/>
          <w:szCs w:val="22"/>
          <w:color w:val="auto"/>
        </w:rPr>
        <w:t>“For purposes of issuances of securities under the Plan to Directors, Employees and Consultants in Canada, an Affiliate means a person (which includes a corporation) that controls the Company or is controlled by the Company or is controlled by the same person that controls the Company. For this purpose, a person (first person) is considered to control a person (second person) if the first person, directly or indirectly, has the power to direct the management and policies of the second person by virtue of ownership of or direction over voting securities in the second person (over 50%); or a written agreement or indenture.”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definition of “Consultant” is modified such that the following supplements the existing definition in the Plan:</w:t>
      </w:r>
    </w:p>
    <w:p>
      <w:pPr>
        <w:spacing w:after="0" w:line="112" w:lineRule="exact"/>
        <w:rPr>
          <w:sz w:val="20"/>
          <w:szCs w:val="20"/>
          <w:color w:val="auto"/>
        </w:rPr>
      </w:pPr>
    </w:p>
    <w:p>
      <w:pPr>
        <w:jc w:val="both"/>
        <w:ind w:left="800"/>
        <w:spacing w:after="0" w:line="261" w:lineRule="auto"/>
        <w:rPr>
          <w:sz w:val="20"/>
          <w:szCs w:val="20"/>
          <w:color w:val="auto"/>
        </w:rPr>
      </w:pPr>
      <w:r>
        <w:rPr>
          <w:rFonts w:ascii="Times New Roman" w:cs="Times New Roman" w:eastAsia="Times New Roman" w:hAnsi="Times New Roman"/>
          <w:sz w:val="21"/>
          <w:szCs w:val="21"/>
          <w:color w:val="auto"/>
        </w:rPr>
        <w:t>“For purposes of issuances of securities under the Plan to Consultants in Canada, a Consultant means a person, other than an employee, executive officer or director of the Company or an Affiliate that (a) is engaged to provide services to the Company or an Affiliate, other than services provided in relation to a distribution; (b) provides the services under a written contract with the Company or an Affiliate; and (c) spends or will spend a significant amount of time and attention on the affairs and business of the Company or an Affiliate and includes (d) for an individual consultant, a corporation of which the individual consultant is an employee or shareholder, and a partnership of which the individual consultant is an employee or partner, and (e) for a consultant that is not an individual, an employee, executive officer, or director of the consultant, provided that the individual employee, executive officer, or director spends or will spend a significant amount of time and attention on the affairs and business of the Company or an Affiliate.”</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You understand that you are permitted to sell the shares of Common Stock acquired pursuant to any RSU Awards, provided that the Company is a “foreign issuer” that is not a public company in any jurisdiction of Canada and the sale of the shares of Common Stock acquired pursuant to the Plan takes</w:t>
      </w:r>
    </w:p>
    <w:p>
      <w:pPr>
        <w:sectPr>
          <w:pgSz w:w="11900" w:h="16838" w:orient="portrait"/>
          <w:cols w:equalWidth="0" w:num="1">
            <w:col w:w="11240"/>
          </w:cols>
          <w:pgMar w:left="320" w:top="58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place: (i) through an exchange, or a market, outside of Canada on the distribution date; or (ii) to a person or company outside of Canada. For purposes hereof, in addition to not being a reporting issuer in any jurisdiction of Canada, a “foreign issuer” is an issuer that: (i) is not incorporated or existing pursuant to the laws of Canada or any jurisdiction of Canada; (ii) does not have its head office in Canada; and (iii) does not have a majority of its executive officers or directors ordinarily resident in Canada. If any designated broker is appointed under the Plan, you shall sell such securities through the designated broker.</w:t>
      </w:r>
    </w:p>
    <w:p>
      <w:pPr>
        <w:spacing w:after="0" w:line="6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Canadian residents are required to report any foreign property on form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T1135 (Foreign Income Verification Statement) if the total cost of their foreign property exceeds C$100,000 at any time in the year. It is your responsibility to comply with these reporting obligations, and you should consult with your own personal tax advisor in this regard.</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Section 4 of the RSU Award Agreement is deleted and replaced with the following:</w:t>
      </w:r>
    </w:p>
    <w:p>
      <w:pPr>
        <w:spacing w:after="0" w:line="116" w:lineRule="exact"/>
        <w:rPr>
          <w:sz w:val="20"/>
          <w:szCs w:val="20"/>
          <w:color w:val="auto"/>
        </w:rPr>
      </w:pPr>
    </w:p>
    <w:p>
      <w:pPr>
        <w:jc w:val="both"/>
        <w:ind w:left="800" w:firstLine="503"/>
        <w:spacing w:after="0" w:line="259" w:lineRule="auto"/>
        <w:rPr>
          <w:sz w:val="20"/>
          <w:szCs w:val="20"/>
          <w:color w:val="auto"/>
        </w:rPr>
      </w:pPr>
      <w:r>
        <w:rPr>
          <w:rFonts w:ascii="Times New Roman" w:cs="Times New Roman" w:eastAsia="Times New Roman" w:hAnsi="Times New Roman"/>
          <w:sz w:val="21"/>
          <w:szCs w:val="21"/>
          <w:color w:val="auto"/>
        </w:rPr>
        <w:t>On or before the time you receive a distribution of the shares of Common Stock underlying your Restricted Stock Units (or their cash equivalent), and at any other time as reasonably requested by the Company in accordance with applicable tax laws, you agree to make adequate arrangements satisfactory to the Company or adequate provision in cash for any sums required to satisfy the federal, state, local and foreign tax withholding and source deduction obligations of the Company or any Affiliate that arise in connection with your RSU Award (the “</w:t>
      </w:r>
      <w:r>
        <w:rPr>
          <w:rFonts w:ascii="Times New Roman" w:cs="Times New Roman" w:eastAsia="Times New Roman" w:hAnsi="Times New Roman"/>
          <w:sz w:val="21"/>
          <w:szCs w:val="21"/>
          <w:b w:val="1"/>
          <w:bCs w:val="1"/>
          <w:i w:val="1"/>
          <w:iCs w:val="1"/>
          <w:color w:val="auto"/>
        </w:rPr>
        <w:t>Withholding Taxes</w:t>
      </w:r>
      <w:r>
        <w:rPr>
          <w:rFonts w:ascii="Times New Roman" w:cs="Times New Roman" w:eastAsia="Times New Roman" w:hAnsi="Times New Roman"/>
          <w:sz w:val="21"/>
          <w:szCs w:val="21"/>
          <w:color w:val="auto"/>
        </w:rPr>
        <w:t>”). Additionally, the Company or any Affiliate may satisfy all or any portion of the Withholding Taxes obligation relating to your RSU Award by any of the following means or by a combination of such means: (i) withholding from any compensation otherwise payable to you by the Company or an Affiliate; (ii) causing you to tender a cash payment; (iii) permitting you to enter into a “same day sale” commitment, if applicable, with a broker-dealer (subject to your written consent) whereby you irrevocably elect to sell a portion of the shares of Common Stock to be delivered in connection with your Restricted Stock Units to satisfy the Withholding Taxes and whereby the broker-dealer irrevocably commits to forward the proceeds necessary to satisfy the Withholding Taxes directly to the Company or its Affiliates; or (iv) permitting you (subject to your written consent) to surrender Restricted Stock Units to the Company for a cash payment which shall be used to satisfy the Withholding Taxes, whereby the number of Restricted Stock Units that may be surrendered for a cash payment shall be equal to the Withholding Taxes divided by a Fair Market Value (measured as of the date shares of Common Stock are otherwise issuable to you pursuant to Section 5). However, the Company does not guarantee that you will be able to satisfy the Withholding Taxes through any of the methods described in the preceding provisions and in all circumstances you remain responsible for timely and fully satisfying the Withholding Taxes.</w:t>
      </w:r>
    </w:p>
    <w:p>
      <w:pPr>
        <w:spacing w:after="0" w:line="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Section 3 of the RSU Award Agreement is deleted and replaced with the following:</w:t>
      </w:r>
    </w:p>
    <w:p>
      <w:pPr>
        <w:spacing w:after="0" w:line="116" w:lineRule="exact"/>
        <w:rPr>
          <w:sz w:val="20"/>
          <w:szCs w:val="20"/>
          <w:color w:val="auto"/>
        </w:rPr>
      </w:pPr>
    </w:p>
    <w:p>
      <w:pPr>
        <w:jc w:val="both"/>
        <w:ind w:left="660" w:firstLine="504"/>
        <w:spacing w:after="0" w:line="253" w:lineRule="auto"/>
        <w:rPr>
          <w:sz w:val="20"/>
          <w:szCs w:val="20"/>
          <w:color w:val="auto"/>
        </w:rPr>
      </w:pPr>
      <w:r>
        <w:rPr>
          <w:rFonts w:ascii="Times New Roman" w:cs="Times New Roman" w:eastAsia="Times New Roman" w:hAnsi="Times New Roman"/>
          <w:sz w:val="22"/>
          <w:szCs w:val="22"/>
          <w:color w:val="auto"/>
        </w:rPr>
        <w:t>You may become entitled to be granted additional Restricted Stock Units equal to any cash dividends and other distributions paid with respect to a corresponding number of shares of Common Stock in respect of the Restricted Stock Units covered by your RSU Award. In such event, you will automatically be granted additional Restricted Stock Units subject to the RSU Award (the “</w:t>
      </w:r>
      <w:r>
        <w:rPr>
          <w:rFonts w:ascii="Times New Roman" w:cs="Times New Roman" w:eastAsia="Times New Roman" w:hAnsi="Times New Roman"/>
          <w:sz w:val="22"/>
          <w:szCs w:val="22"/>
          <w:b w:val="1"/>
          <w:bCs w:val="1"/>
          <w:i w:val="1"/>
          <w:iCs w:val="1"/>
          <w:color w:val="auto"/>
        </w:rPr>
        <w:t>Dividend Units</w:t>
      </w:r>
      <w:r>
        <w:rPr>
          <w:rFonts w:ascii="Times New Roman" w:cs="Times New Roman" w:eastAsia="Times New Roman" w:hAnsi="Times New Roman"/>
          <w:sz w:val="22"/>
          <w:szCs w:val="22"/>
          <w:color w:val="auto"/>
        </w:rPr>
        <w:t>”), and such Dividend Units shall be subject to the same forfeiture restrictions and restrictions on transferability, and same timing requirements for issuance of</w:t>
      </w:r>
    </w:p>
    <w:p>
      <w:pPr>
        <w:sectPr>
          <w:pgSz w:w="11900" w:h="16838" w:orient="portrait"/>
          <w:cols w:equalWidth="0" w:num="1">
            <w:col w:w="11240"/>
          </w:cols>
          <w:pgMar w:left="320" w:top="58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shares, as apply to the Restricted Stock Units subject to the RSU Award with respect to which the Dividend Units relate.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of Issuance</w:t>
      </w:r>
      <w:r>
        <w:rPr>
          <w:rFonts w:ascii="Times New Roman" w:cs="Times New Roman" w:eastAsia="Times New Roman" w:hAnsi="Times New Roman"/>
          <w:sz w:val="22"/>
          <w:szCs w:val="22"/>
          <w:color w:val="auto"/>
        </w:rPr>
        <w:t>. Section 5(a) of the RSU Award Agreement is deleted and replaced with the following:</w:t>
      </w:r>
    </w:p>
    <w:p>
      <w:pPr>
        <w:spacing w:after="0" w:line="116" w:lineRule="exact"/>
        <w:rPr>
          <w:sz w:val="20"/>
          <w:szCs w:val="20"/>
          <w:color w:val="auto"/>
        </w:rPr>
      </w:pPr>
    </w:p>
    <w:p>
      <w:pPr>
        <w:jc w:val="both"/>
        <w:ind w:left="660" w:firstLine="504"/>
        <w:spacing w:after="0" w:line="251" w:lineRule="auto"/>
        <w:rPr>
          <w:sz w:val="20"/>
          <w:szCs w:val="20"/>
          <w:color w:val="auto"/>
        </w:rPr>
      </w:pPr>
      <w:r>
        <w:rPr>
          <w:rFonts w:ascii="Times New Roman" w:cs="Times New Roman" w:eastAsia="Times New Roman" w:hAnsi="Times New Roman"/>
          <w:sz w:val="22"/>
          <w:szCs w:val="22"/>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and the Board determines to settle your vested Restricted Stock Units with Common Stock, the Company shall issue to you, in accordance with the Issuance Schedule on the Grant Notice, one (1) share of Common Stock for each vested Restricted Stock Unit. Each issuance date determined by this paragraph is referred to as an “Original Issuance Date.”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00" w:lineRule="exact"/>
        <w:rPr>
          <w:sz w:val="20"/>
          <w:szCs w:val="20"/>
          <w:color w:val="auto"/>
        </w:rPr>
      </w:pPr>
    </w:p>
    <w:p>
      <w:pPr>
        <w:spacing w:after="0" w:line="263" w:lineRule="exact"/>
        <w:rPr>
          <w:sz w:val="20"/>
          <w:szCs w:val="20"/>
          <w:color w:val="auto"/>
        </w:rPr>
      </w:pPr>
    </w:p>
    <w:p>
      <w:pPr>
        <w:jc w:val="both"/>
        <w:ind w:left="160"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parties to the RSU Award Agreement acknowledge that it is their express wish that the RSU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as well as all documents, notices, and legal proceedings entered into, given or instituted pursuant hereto or relating directly or indirectly hereto, be drawn up in English.</w:t>
      </w:r>
    </w:p>
    <w:p>
      <w:pPr>
        <w:spacing w:after="0" w:line="56" w:lineRule="exact"/>
        <w:rPr>
          <w:sz w:val="20"/>
          <w:szCs w:val="20"/>
          <w:color w:val="auto"/>
        </w:rPr>
      </w:pPr>
    </w:p>
    <w:p>
      <w:pPr>
        <w:jc w:val="both"/>
        <w:ind w:left="160" w:firstLine="504"/>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Consentement relatif à la langue utilisée. </w:t>
      </w:r>
      <w:r>
        <w:rPr>
          <w:rFonts w:ascii="Times New Roman" w:cs="Times New Roman" w:eastAsia="Times New Roman" w:hAnsi="Times New Roman"/>
          <w:sz w:val="22"/>
          <w:szCs w:val="22"/>
          <w:i w:val="1"/>
          <w:iCs w:val="1"/>
          <w:color w:val="auto"/>
        </w:rPr>
        <w:t>Les parties reconnaissent avoir exigé que cette convention («Agreement») soit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rédigée en anglais, ainsi que tous les documents, avis et procédures judiciaires, éxécutés, donnés ou intentés en vertu de, ou liés directement ou indirectement à la présente.</w:t>
      </w:r>
    </w:p>
    <w:p>
      <w:pPr>
        <w:spacing w:after="0" w:line="52" w:lineRule="exact"/>
        <w:rPr>
          <w:sz w:val="20"/>
          <w:szCs w:val="20"/>
          <w:color w:val="auto"/>
        </w:rPr>
      </w:pPr>
    </w:p>
    <w:p>
      <w:pPr>
        <w:jc w:val="both"/>
        <w:ind w:left="160"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Information. </w:t>
      </w:r>
      <w:r>
        <w:rPr>
          <w:rFonts w:ascii="Times New Roman" w:cs="Times New Roman" w:eastAsia="Times New Roman" w:hAnsi="Times New Roman"/>
          <w:sz w:val="22"/>
          <w:szCs w:val="22"/>
          <w:color w:val="auto"/>
        </w:rPr>
        <w:t>If you are a French resident and maintain a foreign bank account,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must report such account to the French tax authorities when filing your annual tax return. Failure to comply with this requirement could trigger significant penalties and you should consult with your personal advisor to ensure proper compliance with applicable reporting requirements in France.</w:t>
      </w:r>
    </w:p>
    <w:p>
      <w:pPr>
        <w:spacing w:after="0" w:line="81" w:lineRule="exact"/>
        <w:rPr>
          <w:sz w:val="20"/>
          <w:szCs w:val="20"/>
          <w:color w:val="auto"/>
        </w:rPr>
      </w:pPr>
    </w:p>
    <w:p>
      <w:pPr>
        <w:jc w:val="both"/>
        <w:ind w:left="160"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towards or from another EU member in excess of €10,000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reported to the French Custom Authorities. However, this reporting obligation does not apply to wire transfers made via banks or financial institutions. So, given that the Plan is established by a US company and that, in any case, all money transfers will be made through banks or financial institutions, this reporting obligation should not apply here.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0" w:lineRule="exact"/>
        <w:rPr>
          <w:sz w:val="20"/>
          <w:szCs w:val="20"/>
          <w:color w:val="auto"/>
        </w:rPr>
      </w:pPr>
    </w:p>
    <w:p>
      <w:pPr>
        <w:spacing w:after="0" w:line="276" w:lineRule="exact"/>
        <w:rPr>
          <w:sz w:val="20"/>
          <w:szCs w:val="20"/>
          <w:color w:val="auto"/>
        </w:rPr>
      </w:pPr>
    </w:p>
    <w:p>
      <w:pPr>
        <w:jc w:val="both"/>
        <w:ind w:left="16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Securities Disclaimer. </w:t>
      </w:r>
      <w:r>
        <w:rPr>
          <w:rFonts w:ascii="Times New Roman" w:cs="Times New Roman" w:eastAsia="Times New Roman" w:hAnsi="Times New Roman"/>
          <w:sz w:val="22"/>
          <w:szCs w:val="22"/>
          <w:color w:val="auto"/>
        </w:rPr>
        <w:t>The participation in the Plan is exempt or excluded from the requirement to publish a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EU Prospectus Directive as implemented in Germany.</w:t>
      </w:r>
    </w:p>
    <w:p>
      <w:pPr>
        <w:spacing w:after="0" w:line="41" w:lineRule="exact"/>
        <w:rPr>
          <w:sz w:val="20"/>
          <w:szCs w:val="20"/>
          <w:color w:val="auto"/>
        </w:rPr>
      </w:pPr>
    </w:p>
    <w:p>
      <w:pPr>
        <w:jc w:val="both"/>
        <w:ind w:left="160" w:right="2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Cross-border payments in excess of €12,500 must be reported monthly to the German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the event that you make or receive a payment</w:t>
      </w:r>
    </w:p>
    <w:p>
      <w:pPr>
        <w:sectPr>
          <w:pgSz w:w="11900" w:h="16838" w:orient="portrait"/>
          <w:cols w:equalWidth="0" w:num="1">
            <w:col w:w="11240"/>
          </w:cols>
          <w:pgMar w:left="320" w:top="585"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excess of this amount, you are required to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available via Bundesbank’s website (www.bundesbank.de).</w:t>
      </w:r>
    </w:p>
    <w:p>
      <w:pPr>
        <w:spacing w:after="0" w:line="46"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Tax Reporting. </w:t>
      </w:r>
      <w:r>
        <w:rPr>
          <w:rFonts w:ascii="Times New Roman" w:cs="Times New Roman" w:eastAsia="Times New Roman" w:hAnsi="Times New Roman"/>
          <w:sz w:val="22"/>
          <w:szCs w:val="22"/>
          <w:color w:val="auto"/>
        </w:rPr>
        <w:t>You must report and pay any capital gains tax liability that arises in connection with the sale of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acquired under the Plan. In general the statutory deadline of filing annual income tax returns for taxpayers is 31 July of the calendar year following the respective fiscal year. Payment periods of due tax amounts are determined in view of the competent tax office. You should consult with your personal tax advisor to ensure that you are properly complying with applicable reporting requirements in Germany.</w:t>
      </w:r>
    </w:p>
    <w:p>
      <w:pPr>
        <w:spacing w:after="0" w:line="200" w:lineRule="exact"/>
        <w:rPr>
          <w:sz w:val="20"/>
          <w:szCs w:val="20"/>
          <w:color w:val="auto"/>
        </w:rPr>
      </w:pP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00" w:lineRule="exact"/>
        <w:rPr>
          <w:sz w:val="20"/>
          <w:szCs w:val="20"/>
          <w:color w:val="auto"/>
        </w:rPr>
      </w:pPr>
    </w:p>
    <w:p>
      <w:pPr>
        <w:spacing w:after="0" w:line="276"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You should consult with your personal advisor to ensure compliance with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control regulations in Iceland as such regulations are subject to frequent change. You are responsible for ensuring compliance with all exchange control laws in Iceland.</w:t>
      </w:r>
    </w:p>
    <w:p>
      <w:pPr>
        <w:spacing w:after="0" w:line="58"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Upon the issuance of shares of Common Stock to you in settling RSUs the market value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is subject to withholding at the tax rate applicable to wages at the time of issuance. The withholding amount will be subtracted from your net wage payment following issuance. If such net wage payment does not suffice for payment of the withholding amount you are required to provide the company with enough funds as needed for the withholding amount.</w:t>
      </w: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49"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Directors, shadow directors and secretaries of the Company’s Irish Affiliates whose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in the Company represents more than 1% of the Company’s voting share capital are subject to certain notification requirements under Part 5, Chapter 5 of the Companies Act 2014. Directors, shadow directors and secretaries must notify the Irish Affiliates in writing of their interest in the Company (e.g., RSUs, shares of Common Stock, etc.) and the number and class of shares or rights to which the interest relates within five days of the acquisition or disposal of shares or within five days of becoming aware of the event giving rise to the notification. This notification requirement also applies with respect to the interests of a spouse or children under the age of 18 (whose interests will be attributed to the director, shadow director or secretary).</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Section 5 (Data Privacy) of this Appendix is deleted and replaced with the following:</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This section is intended to provide information about the collection and processing of your personal data by the Company.</w:t>
      </w:r>
    </w:p>
    <w:p>
      <w:pPr>
        <w:spacing w:after="0" w:line="123" w:lineRule="exact"/>
        <w:rPr>
          <w:sz w:val="20"/>
          <w:szCs w:val="20"/>
          <w:color w:val="auto"/>
        </w:rPr>
      </w:pPr>
    </w:p>
    <w:p>
      <w:pPr>
        <w:ind w:left="500" w:firstLine="644"/>
        <w:spacing w:after="0" w:line="271" w:lineRule="auto"/>
        <w:tabs>
          <w:tab w:leader="none" w:pos="147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Collection and Usage. The Company collect, process and use certain personal information about you, including, but not limited to, your name, home address, telephone</w:t>
      </w:r>
    </w:p>
    <w:p>
      <w:pPr>
        <w:sectPr>
          <w:pgSz w:w="11900" w:h="16838" w:orient="portrait"/>
          <w:cols w:equalWidth="0" w:num="1">
            <w:col w:w="11080"/>
          </w:cols>
          <w:pgMar w:left="480" w:top="585"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1"/>
          <w:szCs w:val="21"/>
          <w:color w:val="auto"/>
        </w:rPr>
        <w:t>number, email address, date of birth, social insurance number or other identification number, salary, nationality, job title, any shares or directorships held in the Company and details of all options or any other entitlement to shares of Common Stock awarded, cancelled, purchased, exercised, vested, unvested or outstanding in your favor for the purpose of implementing, managing and administering the Plan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1"/>
          <w:szCs w:val="21"/>
          <w:color w:val="auto"/>
        </w:rPr>
        <w:t>”), for purposes of implementing, administering and managing the Plan and for compliance with the Company’s legal obligations. The Company is the controller of such Data. The legal basis, where required, for the processing of Data is that the processing is contractually necessary for the performance of the Plan. The Company will share Data with third parties, including brokers or any other third party with whom you elect to deposit any shares of Common Stock acquired upon the exercise of your choice under the Plan, law firms, accountants and information technology service providers, for purposes of implementing, administering and managing the Plan. You may request a list with the names and addresses of any potential recipients of the Data by contacting the stock plan administrator at the Company (the “</w:t>
      </w:r>
      <w:r>
        <w:rPr>
          <w:rFonts w:ascii="Times New Roman" w:cs="Times New Roman" w:eastAsia="Times New Roman" w:hAnsi="Times New Roman"/>
          <w:sz w:val="21"/>
          <w:szCs w:val="21"/>
          <w:b w:val="1"/>
          <w:bCs w:val="1"/>
          <w:i w:val="1"/>
          <w:iCs w:val="1"/>
          <w:color w:val="auto"/>
        </w:rPr>
        <w:t>Stock Plan Administrator</w:t>
      </w:r>
      <w:r>
        <w:rPr>
          <w:rFonts w:ascii="Times New Roman" w:cs="Times New Roman" w:eastAsia="Times New Roman" w:hAnsi="Times New Roman"/>
          <w:sz w:val="21"/>
          <w:szCs w:val="21"/>
          <w:color w:val="auto"/>
        </w:rPr>
        <w:t xml:space="preserve">”). The Company is based in the United States, which means the recipients of Data may be located in the United States or elsewhere. Participants acknowledge and understand that Data will be transferred, processed and stored in the United States, as it is necessary for the performance of the Plan. Where required for purposes of implementing, administering and managing the Plan, the Company may transfer data elsewhere and on the basis of standard contractual clauses. For more information or to obtain a copy of the standard contractual clauses, you can contact the Stock Plan Administrator. The Company will hold and use Data for as long as is necessary to implement, administer and manage your participation in the Plan; as required to comply with legal or regulatory obligations, including under tax, exchange control, labour and securities laws; and as otherwise necessary in connection with legal rights, claims or proceedings. This period may extend beyond the period of your employment with the Company. When the Company no longer needs Data for any of the above purposes, it will cease processing it in this context and remove it from all of its systems used for such purposes to the fullest extent practicable. The Participants may have a number of rights under </w:t>
      </w:r>
      <w:r>
        <w:rPr>
          <w:rFonts w:ascii="Times New Roman" w:cs="Times New Roman" w:eastAsia="Times New Roman" w:hAnsi="Times New Roman"/>
          <w:sz w:val="21"/>
          <w:szCs w:val="21"/>
          <w:i w:val="1"/>
          <w:iCs w:val="1"/>
          <w:color w:val="auto"/>
        </w:rPr>
        <w:t>Regulation (EU) 2016/679 of the European Parliament and of the Council of 27 April 2016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on the protection of natural persons with regard to the processing of personal data and on the free movement of such data, and repealing Directive 95/46/EC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GDPR</w:t>
      </w:r>
      <w:r>
        <w:rPr>
          <w:rFonts w:ascii="Times New Roman" w:cs="Times New Roman" w:eastAsia="Times New Roman" w:hAnsi="Times New Roman"/>
          <w:sz w:val="21"/>
          <w:szCs w:val="21"/>
          <w:color w:val="auto"/>
        </w:rPr>
        <w:t>”) and applicable Irish data protection legislation. Such rights include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right to (i) request access to Data the Company processes, (ii) request rectification of inaccurate Data, (iii) request the deletion of Data, (iv) request the restriction of processing of Data, (v) request the portability of Data, and (vi) lodge a complaint with the Irish Data Protection Commission or any competent supervisory authority. To receive clarification regarding these rights or to exercise these rights, you can contact the Stock Plan Administrator.</w:t>
      </w:r>
    </w:p>
    <w:p>
      <w:pPr>
        <w:spacing w:after="0" w:line="89" w:lineRule="exact"/>
        <w:rPr>
          <w:sz w:val="20"/>
          <w:szCs w:val="20"/>
          <w:color w:val="auto"/>
        </w:rPr>
      </w:pPr>
    </w:p>
    <w:p>
      <w:pPr>
        <w:ind w:right="440" w:firstLine="504"/>
        <w:spacing w:after="0" w:line="271" w:lineRule="auto"/>
        <w:rPr>
          <w:sz w:val="20"/>
          <w:szCs w:val="20"/>
          <w:color w:val="auto"/>
        </w:rPr>
      </w:pPr>
      <w:r>
        <w:rPr>
          <w:rFonts w:ascii="Times New Roman" w:cs="Times New Roman" w:eastAsia="Times New Roman" w:hAnsi="Times New Roman"/>
          <w:sz w:val="22"/>
          <w:szCs w:val="22"/>
          <w:color w:val="auto"/>
        </w:rPr>
        <w:t>For the purposes of operating the Plan in Ireland, the Company will collect and process information relating to you in accordance with the privacy notice from time to time in force.</w:t>
      </w:r>
    </w:p>
    <w:p>
      <w:pPr>
        <w:spacing w:after="0" w:line="5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Securities Disclosure. </w:t>
      </w:r>
      <w:r>
        <w:rPr>
          <w:rFonts w:ascii="Times New Roman" w:cs="Times New Roman" w:eastAsia="Times New Roman" w:hAnsi="Times New Roman"/>
          <w:sz w:val="22"/>
          <w:szCs w:val="22"/>
          <w:color w:val="auto"/>
        </w:rPr>
        <w:t>The Common Stock have not been registered under the Financial Instruments and Exchange Act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Japan (</w:t>
      </w:r>
      <w:r>
        <w:rPr>
          <w:rFonts w:ascii="Times New Roman" w:cs="Times New Roman" w:eastAsia="Times New Roman" w:hAnsi="Times New Roman"/>
          <w:sz w:val="22"/>
          <w:szCs w:val="22"/>
          <w:i w:val="1"/>
          <w:iCs w:val="1"/>
          <w:color w:val="auto"/>
        </w:rPr>
        <w:t>kinyuu shouhin torihiki hou</w:t>
      </w:r>
      <w:r>
        <w:rPr>
          <w:rFonts w:ascii="Times New Roman" w:cs="Times New Roman" w:eastAsia="Times New Roman" w:hAnsi="Times New Roman"/>
          <w:sz w:val="22"/>
          <w:szCs w:val="22"/>
          <w:color w:val="auto"/>
        </w:rPr>
        <w:t>) (Law No. 25 of 1948, as amended) (the “</w:t>
      </w:r>
      <w:r>
        <w:rPr>
          <w:rFonts w:ascii="Times New Roman" w:cs="Times New Roman" w:eastAsia="Times New Roman" w:hAnsi="Times New Roman"/>
          <w:sz w:val="22"/>
          <w:szCs w:val="22"/>
          <w:b w:val="1"/>
          <w:bCs w:val="1"/>
          <w:i w:val="1"/>
          <w:iCs w:val="1"/>
          <w:color w:val="auto"/>
        </w:rPr>
        <w:t>FIEA</w:t>
      </w:r>
      <w:r>
        <w:rPr>
          <w:rFonts w:ascii="Times New Roman" w:cs="Times New Roman" w:eastAsia="Times New Roman" w:hAnsi="Times New Roman"/>
          <w:sz w:val="22"/>
          <w:szCs w:val="22"/>
          <w:color w:val="auto"/>
        </w:rPr>
        <w:t>”). The shares of Common Stock may not be offered or sold in Japan or to, or for</w:t>
      </w:r>
    </w:p>
    <w:p>
      <w:pPr>
        <w:sectPr>
          <w:pgSz w:w="11900" w:h="16838" w:orient="portrait"/>
          <w:cols w:equalWidth="0" w:num="1">
            <w:col w:w="11080"/>
          </w:cols>
          <w:pgMar w:left="480" w:top="585"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22"/>
          <w:szCs w:val="22"/>
          <w:color w:val="auto"/>
        </w:rPr>
        <w:t>the benefit of, any resident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As used herein, the term “resident of Japan” means any natural person having his place of domicile or residence in Japan, or any corporation or other entity organized under the laws of Japan or having its main office in Japan.</w:t>
      </w:r>
    </w:p>
    <w:p>
      <w:pPr>
        <w:spacing w:after="0" w:line="67" w:lineRule="exact"/>
        <w:rPr>
          <w:sz w:val="20"/>
          <w:szCs w:val="20"/>
          <w:color w:val="auto"/>
        </w:rPr>
      </w:pPr>
    </w:p>
    <w:p>
      <w:pPr>
        <w:jc w:val="both"/>
        <w:ind w:left="8" w:firstLine="504"/>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Foreign Asset / Account Reporting. </w:t>
      </w:r>
      <w:r>
        <w:rPr>
          <w:rFonts w:ascii="Times New Roman" w:cs="Times New Roman" w:eastAsia="Times New Roman" w:hAnsi="Times New Roman"/>
          <w:sz w:val="22"/>
          <w:szCs w:val="22"/>
          <w:color w:val="auto"/>
        </w:rPr>
        <w:t>If you hold assets outside of Japan (e.g., shares of Common Stock acquired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with a value exceeding ¥50,000,000 (as of December 31 each year), you are required to comply with annual tax reporting obligations with respect to such assets. Such report will be due by March 15 each year. You should consult with your personal tax advisor to ensure that you are properly complying with applicable reporting requirements in Japan.</w:t>
      </w:r>
    </w:p>
    <w:p>
      <w:pPr>
        <w:spacing w:after="0" w:line="200" w:lineRule="exact"/>
        <w:rPr>
          <w:sz w:val="20"/>
          <w:szCs w:val="20"/>
          <w:color w:val="auto"/>
        </w:rPr>
      </w:pPr>
    </w:p>
    <w:p>
      <w:pPr>
        <w:spacing w:after="0" w:line="211"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112" w:lineRule="exact"/>
        <w:rPr>
          <w:sz w:val="20"/>
          <w:szCs w:val="20"/>
          <w:color w:val="auto"/>
        </w:rPr>
      </w:pPr>
    </w:p>
    <w:p>
      <w:pPr>
        <w:jc w:val="both"/>
        <w:ind w:left="8"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Polish residents holding foreign securities which are not connected with their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shares of Common Stock)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You should consult with your personal legal advisor to determine whether you will be required to submit reports to the National Bank of Poland.</w:t>
      </w:r>
    </w:p>
    <w:p>
      <w:pPr>
        <w:spacing w:after="0" w:line="71" w:lineRule="exact"/>
        <w:rPr>
          <w:sz w:val="20"/>
          <w:szCs w:val="20"/>
          <w:color w:val="auto"/>
        </w:rPr>
      </w:pPr>
    </w:p>
    <w:p>
      <w:pPr>
        <w:jc w:val="both"/>
        <w:ind w:left="8" w:firstLine="648"/>
        <w:spacing w:after="0" w:line="266" w:lineRule="auto"/>
        <w:rPr>
          <w:sz w:val="20"/>
          <w:szCs w:val="20"/>
          <w:color w:val="auto"/>
        </w:rPr>
      </w:pPr>
      <w:r>
        <w:rPr>
          <w:rFonts w:ascii="Times New Roman" w:cs="Times New Roman" w:eastAsia="Times New Roman" w:hAnsi="Times New Roman"/>
          <w:sz w:val="21"/>
          <w:szCs w:val="21"/>
          <w:color w:val="auto"/>
        </w:rPr>
        <w:t>Polish entrepreneurs are also required to transfer funds through a bank account or payment institution in Poland if: (i) the payment is connected with their business, and (ii) the transferred amount in any single transaction exceeds PLN 15,000, and</w:t>
      </w:r>
    </w:p>
    <w:p>
      <w:pPr>
        <w:spacing w:after="0" w:line="2" w:lineRule="exact"/>
        <w:rPr>
          <w:sz w:val="20"/>
          <w:szCs w:val="20"/>
          <w:color w:val="auto"/>
        </w:rPr>
      </w:pPr>
    </w:p>
    <w:p>
      <w:pPr>
        <w:jc w:val="both"/>
        <w:ind w:left="8" w:hanging="8"/>
        <w:spacing w:after="0" w:line="246" w:lineRule="auto"/>
        <w:tabs>
          <w:tab w:leader="none" w:pos="40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party to the transaction is also an entrepreneur.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5 years from the end of the year in which such transaction was made. Penalties may apply for failure to comply with exchange control requirements. You understand that you are required to store all documents connected with any foreign exchange transactions you engage in for a period of five years, as measured from the end of the year in which such transaction occurred.</w:t>
      </w:r>
    </w:p>
    <w:p>
      <w:pPr>
        <w:spacing w:after="0" w:line="90" w:lineRule="exact"/>
        <w:rPr>
          <w:sz w:val="20"/>
          <w:szCs w:val="20"/>
          <w:color w:val="auto"/>
        </w:rPr>
      </w:pPr>
    </w:p>
    <w:p>
      <w:pPr>
        <w:jc w:val="both"/>
        <w:ind w:left="8"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RSU Award does not constitute an "offer of securities to the public” in Poland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therefore it is not subject to securities registration in Poland. No document or material related to the Plan has been or will be filed with, approved or supervised by any Polish regulatory authority. No such document or material may be made publicly available in Poland.</w:t>
      </w:r>
    </w:p>
    <w:p>
      <w:pPr>
        <w:spacing w:after="0" w:line="67" w:lineRule="exact"/>
        <w:rPr>
          <w:sz w:val="20"/>
          <w:szCs w:val="20"/>
          <w:color w:val="auto"/>
        </w:rPr>
      </w:pPr>
    </w:p>
    <w:p>
      <w:pPr>
        <w:jc w:val="both"/>
        <w:ind w:left="8"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Employment Matters. </w:t>
      </w:r>
      <w:r>
        <w:rPr>
          <w:rFonts w:ascii="Times New Roman" w:cs="Times New Roman" w:eastAsia="Times New Roman" w:hAnsi="Times New Roman"/>
          <w:sz w:val="22"/>
          <w:szCs w:val="22"/>
          <w:color w:val="auto"/>
        </w:rPr>
        <w:t>The definition of “Cause” is modified such that the following supplements the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definition in the Plan:</w:t>
      </w:r>
    </w:p>
    <w:p>
      <w:pPr>
        <w:spacing w:after="0" w:line="53" w:lineRule="exact"/>
        <w:rPr>
          <w:sz w:val="20"/>
          <w:szCs w:val="20"/>
          <w:color w:val="auto"/>
        </w:rPr>
      </w:pPr>
    </w:p>
    <w:p>
      <w:pPr>
        <w:jc w:val="both"/>
        <w:ind w:left="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has the meaning ascribed to such term in any written agreement between the Participant and the Company (or the Affiliate) defining such term and, in the absence of such agreement, such term means, with respect to a Participant, the occurrence of any of the following events: (i) such Participant commits a crime while bound by the employment contract, which prevents further employment of the Participant in the occupied position, if the</w:t>
      </w:r>
    </w:p>
    <w:p>
      <w:pPr>
        <w:sectPr>
          <w:pgSz w:w="11900" w:h="16838" w:orient="portrait"/>
          <w:cols w:equalWidth="0" w:num="1">
            <w:col w:w="11088"/>
          </w:cols>
          <w:pgMar w:left="472" w:top="58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640"/>
        <w:spacing w:after="0" w:line="249" w:lineRule="auto"/>
        <w:rPr>
          <w:sz w:val="20"/>
          <w:szCs w:val="20"/>
          <w:color w:val="auto"/>
        </w:rPr>
      </w:pPr>
      <w:r>
        <w:rPr>
          <w:rFonts w:ascii="Times New Roman" w:cs="Times New Roman" w:eastAsia="Times New Roman" w:hAnsi="Times New Roman"/>
          <w:sz w:val="22"/>
          <w:szCs w:val="22"/>
          <w:color w:val="auto"/>
        </w:rPr>
        <w:t>crime is obvious or has been declared by a court in a final and unappealable judgment(ii) such Participant’s gross violation of basic employee duties; (iii) such Participant’s unauthorized use or disclosure of the Company’s (or the Affiliate’s) confidential information or trade secrets; (iv) such Participant is absent from work for three months while on detention awaiting trial, or (v) any other serious act or omission that amounts to just cause at law.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Tax Matters. </w:t>
      </w:r>
      <w:r>
        <w:rPr>
          <w:rFonts w:ascii="Times New Roman" w:cs="Times New Roman" w:eastAsia="Times New Roman" w:hAnsi="Times New Roman"/>
          <w:sz w:val="22"/>
          <w:szCs w:val="22"/>
          <w:color w:val="auto"/>
        </w:rPr>
        <w:t>The detailed tax matters are described in the Plan prospectus.</w:t>
      </w:r>
    </w:p>
    <w:p>
      <w:pPr>
        <w:spacing w:after="0" w:line="200" w:lineRule="exact"/>
        <w:rPr>
          <w:sz w:val="20"/>
          <w:szCs w:val="20"/>
          <w:color w:val="auto"/>
        </w:rPr>
      </w:pPr>
    </w:p>
    <w:p>
      <w:pPr>
        <w:spacing w:after="0" w:line="26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125" w:lineRule="exact"/>
        <w:rPr>
          <w:sz w:val="20"/>
          <w:szCs w:val="20"/>
          <w:color w:val="auto"/>
        </w:rPr>
      </w:pPr>
    </w:p>
    <w:p>
      <w:pPr>
        <w:jc w:val="both"/>
        <w:ind w:firstLine="504"/>
        <w:spacing w:after="0" w:line="280" w:lineRule="auto"/>
        <w:rPr>
          <w:sz w:val="20"/>
          <w:szCs w:val="20"/>
          <w:color w:val="auto"/>
        </w:rPr>
      </w:pPr>
      <w:r>
        <w:rPr>
          <w:rFonts w:ascii="Times New Roman" w:cs="Times New Roman" w:eastAsia="Times New Roman" w:hAnsi="Times New Roman"/>
          <w:sz w:val="22"/>
          <w:szCs w:val="22"/>
          <w:b w:val="1"/>
          <w:bCs w:val="1"/>
          <w:color w:val="auto"/>
        </w:rPr>
        <w:t>Restriction on Sale of Shares</w:t>
      </w:r>
      <w:r>
        <w:rPr>
          <w:rFonts w:ascii="Times New Roman" w:cs="Times New Roman" w:eastAsia="Times New Roman" w:hAnsi="Times New Roman"/>
          <w:sz w:val="22"/>
          <w:szCs w:val="22"/>
          <w:color w:val="auto"/>
        </w:rPr>
        <w:t>. Shares of Common Stock acquired under the Plan prior to the six (6) month anniversary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date of grant may not be sold or otherwise offered for sale in Singapore, unless such sale or offer is made (i) more than six months after the date of grant; or (ii) pursuant to the exemptions under Part XIII Division (1) Subdivision (4) (other than section 280) of the Singapore Securities and Futures Act (Chapter 289) of Singapore (“</w:t>
      </w:r>
      <w:r>
        <w:rPr>
          <w:rFonts w:ascii="Times New Roman" w:cs="Times New Roman" w:eastAsia="Times New Roman" w:hAnsi="Times New Roman"/>
          <w:sz w:val="22"/>
          <w:szCs w:val="22"/>
          <w:b w:val="1"/>
          <w:bCs w:val="1"/>
          <w:i w:val="1"/>
          <w:iCs w:val="1"/>
          <w:color w:val="auto"/>
        </w:rPr>
        <w:t>SFA</w:t>
      </w:r>
      <w:r>
        <w:rPr>
          <w:rFonts w:ascii="Times New Roman" w:cs="Times New Roman" w:eastAsia="Times New Roman" w:hAnsi="Times New Roman"/>
          <w:sz w:val="22"/>
          <w:szCs w:val="22"/>
          <w:color w:val="auto"/>
        </w:rPr>
        <w:t>”) or pursuant to, and in accordance with the conditions of, any other applicable provision(s) of the SFA.</w:t>
      </w:r>
    </w:p>
    <w:p>
      <w:pPr>
        <w:spacing w:after="0" w:line="63"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Award is being granted to you pursuant to the “qualifying person” exemption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273(1)(i), read with section 273(4)of the SFA. The Plan has not been, nor will it be, lodged or registered as a prospectus with the Monetary Authority of Singapore.</w:t>
      </w:r>
    </w:p>
    <w:p>
      <w:pPr>
        <w:spacing w:after="0" w:line="58"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b w:val="1"/>
          <w:bCs w:val="1"/>
          <w:color w:val="auto"/>
        </w:rPr>
        <w:t>Chief Executive Officer and Director Notification Obligation</w:t>
      </w:r>
      <w:r>
        <w:rPr>
          <w:rFonts w:ascii="Times New Roman" w:cs="Times New Roman" w:eastAsia="Times New Roman" w:hAnsi="Times New Roman"/>
          <w:sz w:val="22"/>
          <w:szCs w:val="22"/>
          <w:color w:val="auto"/>
        </w:rPr>
        <w:t>. You acknowledge that if you are the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or a director, as defined under the Companies Act (Chapter 50) of Singapore (“</w:t>
      </w:r>
      <w:r>
        <w:rPr>
          <w:rFonts w:ascii="Times New Roman" w:cs="Times New Roman" w:eastAsia="Times New Roman" w:hAnsi="Times New Roman"/>
          <w:sz w:val="22"/>
          <w:szCs w:val="22"/>
          <w:b w:val="1"/>
          <w:bCs w:val="1"/>
          <w:i w:val="1"/>
          <w:iCs w:val="1"/>
          <w:color w:val="auto"/>
        </w:rPr>
        <w:t>Singapore Companies Act</w:t>
      </w:r>
      <w:r>
        <w:rPr>
          <w:rFonts w:ascii="Times New Roman" w:cs="Times New Roman" w:eastAsia="Times New Roman" w:hAnsi="Times New Roman"/>
          <w:sz w:val="22"/>
          <w:szCs w:val="22"/>
          <w:color w:val="auto"/>
        </w:rPr>
        <w:t>”) of a Singapore Subsidiary, you are subject to certain disclosure requirements under the Singapore Companies Act. Among these requirements is an obligation to notify the Singapore Subsidiary in writing of any interest in shares, debentures, rights or options (e.g., Awards or shares of Common Stock) in the Singapore Subsidiary and/or its “related corporation” as defined under the Singapore Companies Act, within two business days of (i) its acquisition or disposal, (ii) any change in previously 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when the shares of Common Stock are sold), or (iii) becoming a CEO or a director.</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Section 5(a) (Data Privacy) of this Appendix is deleted and replaced with the following:</w:t>
      </w:r>
    </w:p>
    <w:p>
      <w:pPr>
        <w:spacing w:after="0" w:line="129" w:lineRule="exact"/>
        <w:rPr>
          <w:sz w:val="20"/>
          <w:szCs w:val="20"/>
          <w:color w:val="auto"/>
        </w:rPr>
      </w:pPr>
    </w:p>
    <w:p>
      <w:pPr>
        <w:jc w:val="both"/>
        <w:ind w:left="500" w:firstLine="648"/>
        <w:spacing w:after="0" w:line="250" w:lineRule="auto"/>
        <w:rPr>
          <w:sz w:val="20"/>
          <w:szCs w:val="20"/>
          <w:color w:val="auto"/>
        </w:rPr>
      </w:pPr>
      <w:r>
        <w:rPr>
          <w:rFonts w:ascii="Times New Roman" w:cs="Times New Roman" w:eastAsia="Times New Roman" w:hAnsi="Times New Roman"/>
          <w:sz w:val="22"/>
          <w:szCs w:val="22"/>
          <w:color w:val="auto"/>
        </w:rPr>
        <w:t>“You explicitly and unambiguously acknowledge and consent to the collection, use, disclosure and transfer, in electronic or other form, of your Personal Data as described in this document by and among, as applicable, your employer, the Company and its Affiliates for the exclusive purpose of implementing, administering and managing your participation in the Plan. You understand that the Personal Data may be transferred to any third parties assisting in the implementation, administration and management of the Plan, that these recipients may be located</w:t>
      </w:r>
    </w:p>
    <w:p>
      <w:pPr>
        <w:sectPr>
          <w:pgSz w:w="11900" w:h="16838" w:orient="portrait"/>
          <w:cols w:equalWidth="0" w:num="1">
            <w:col w:w="11080"/>
          </w:cols>
          <w:pgMar w:left="480" w:top="58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48" w:lineRule="auto"/>
        <w:rPr>
          <w:sz w:val="20"/>
          <w:szCs w:val="20"/>
          <w:color w:val="auto"/>
        </w:rPr>
      </w:pPr>
      <w:r>
        <w:rPr>
          <w:rFonts w:ascii="Times New Roman" w:cs="Times New Roman" w:eastAsia="Times New Roman" w:hAnsi="Times New Roman"/>
          <w:sz w:val="22"/>
          <w:szCs w:val="22"/>
          <w:color w:val="auto"/>
        </w:rPr>
        <w:t>in your country or elsewhere, in particular in the US, and that the recipient country may have different data privacy laws providing less protections of your Personal Data than Singapore, in which case the Company will ensure that such recipient(s) provide a standard of protection to such Personal Data so transferred that is comparable to the protection under the Singapore Personal Data Protection Act 2012 (No. 26 of 2012) (“</w:t>
      </w:r>
      <w:r>
        <w:rPr>
          <w:rFonts w:ascii="Times New Roman" w:cs="Times New Roman" w:eastAsia="Times New Roman" w:hAnsi="Times New Roman"/>
          <w:sz w:val="22"/>
          <w:szCs w:val="22"/>
          <w:b w:val="1"/>
          <w:bCs w:val="1"/>
          <w:i w:val="1"/>
          <w:iCs w:val="1"/>
          <w:color w:val="auto"/>
        </w:rPr>
        <w:t>PDPA</w:t>
      </w:r>
      <w:r>
        <w:rPr>
          <w:rFonts w:ascii="Times New Roman" w:cs="Times New Roman" w:eastAsia="Times New Roman" w:hAnsi="Times New Roman"/>
          <w:sz w:val="22"/>
          <w:szCs w:val="22"/>
          <w:color w:val="auto"/>
        </w:rPr>
        <w:t>”). You may request a list with the names and addresses of any potential recipients of the Personal Data by contacting the stock plan administrator at the Company (the “</w:t>
      </w:r>
      <w:r>
        <w:rPr>
          <w:rFonts w:ascii="Times New Roman" w:cs="Times New Roman" w:eastAsia="Times New Roman" w:hAnsi="Times New Roman"/>
          <w:sz w:val="22"/>
          <w:szCs w:val="22"/>
          <w:b w:val="1"/>
          <w:bCs w:val="1"/>
          <w:i w:val="1"/>
          <w:iCs w:val="1"/>
          <w:color w:val="auto"/>
        </w:rPr>
        <w:t>Stock Plan Administrator</w:t>
      </w:r>
      <w:r>
        <w:rPr>
          <w:rFonts w:ascii="Times New Roman" w:cs="Times New Roman" w:eastAsia="Times New Roman" w:hAnsi="Times New Roman"/>
          <w:sz w:val="22"/>
          <w:szCs w:val="22"/>
          <w:color w:val="auto"/>
        </w:rPr>
        <w:t>”). You acknowledge that the recipients may receive, possess, process, use, retain and transfer the Personal Data, in electronic or other form, for the purposes of implementing, administering and managing your participation in the Plan, including any requisite transfer of such Personal Data, as may be required to a broker or other third party with whom you may elect to deposit any shares of Common Stock acquired upon the vesting of your RSU Award. You understand that Personal Data will be held only as long as is necessary to implement, administer and manage your participation in the Plan. You understand that the purposes for which your Personal Data will be collected or held may continue to apply even in situations where your employment with your employer has been terminated or altered. You may, at any time, view the Personal Data, request additional information about the storage and processing of the Personal Data, require any necessary amendments to the Personal Data or refuse or withdraw the consents herein, in any case without cost, by contacting the Stock Plan Administrator in writing.</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For the purposes of this clause, “Personal Data” has the same meaning as set out in the PDPA.”</w:t>
      </w: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South Korea</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 xml:space="preserve">Data Privacy. </w:t>
      </w:r>
      <w:r>
        <w:rPr>
          <w:rFonts w:ascii="Times New Roman" w:cs="Times New Roman" w:eastAsia="Times New Roman" w:hAnsi="Times New Roman"/>
          <w:sz w:val="22"/>
          <w:szCs w:val="22"/>
          <w:color w:val="auto"/>
        </w:rPr>
        <w:t>The following provision supplements Section 5 (Data Privacy) of the General Non-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Terms of the RSU Award Agreement:</w:t>
      </w:r>
    </w:p>
    <w:p>
      <w:pPr>
        <w:spacing w:after="0" w:line="146" w:lineRule="exact"/>
        <w:rPr>
          <w:sz w:val="20"/>
          <w:szCs w:val="20"/>
          <w:color w:val="auto"/>
        </w:rPr>
      </w:pPr>
    </w:p>
    <w:p>
      <w:pPr>
        <w:ind w:left="500" w:right="740"/>
        <w:spacing w:after="0" w:line="328" w:lineRule="auto"/>
        <w:rPr>
          <w:sz w:val="20"/>
          <w:szCs w:val="20"/>
          <w:color w:val="auto"/>
        </w:rPr>
      </w:pPr>
      <w:r>
        <w:rPr>
          <w:rFonts w:ascii="Times New Roman" w:cs="Times New Roman" w:eastAsia="Times New Roman" w:hAnsi="Times New Roman"/>
          <w:sz w:val="21"/>
          <w:szCs w:val="21"/>
          <w:color w:val="auto"/>
        </w:rPr>
        <w:t>Under the Personal Information Protection Act (“</w:t>
      </w:r>
      <w:r>
        <w:rPr>
          <w:rFonts w:ascii="Times New Roman" w:cs="Times New Roman" w:eastAsia="Times New Roman" w:hAnsi="Times New Roman"/>
          <w:sz w:val="21"/>
          <w:szCs w:val="21"/>
          <w:b w:val="1"/>
          <w:bCs w:val="1"/>
          <w:i w:val="1"/>
          <w:iCs w:val="1"/>
          <w:color w:val="auto"/>
        </w:rPr>
        <w:t>PIPA</w:t>
      </w:r>
      <w:r>
        <w:rPr>
          <w:rFonts w:ascii="Times New Roman" w:cs="Times New Roman" w:eastAsia="Times New Roman" w:hAnsi="Times New Roman"/>
          <w:sz w:val="21"/>
          <w:szCs w:val="21"/>
          <w:color w:val="auto"/>
        </w:rPr>
        <w:t>”), the Company must obtain written consent from you in a prescribed manner in order to process (i.e., collect, use, and transfer to third parties) your personal information.</w:t>
      </w:r>
    </w:p>
    <w:p>
      <w:pPr>
        <w:spacing w:after="0" w:line="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Foreign Asset / Account Reporting</w:t>
      </w:r>
      <w:r>
        <w:rPr>
          <w:rFonts w:ascii="Times New Roman" w:cs="Times New Roman" w:eastAsia="Times New Roman" w:hAnsi="Times New Roman"/>
          <w:sz w:val="22"/>
          <w:szCs w:val="22"/>
          <w:color w:val="auto"/>
        </w:rPr>
        <w:t>. Korean residents must declare all foreign financial accounts (e.g., non-Korean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brokerage accounts holding shares of Common Stock, etc.) to the Korean tax authority and file a report with respect to such accounts where the aggregate balance of accounts held in an offshore financial institution on any end date of each month during a calendar year exceeds KRW 0.5 billion (or an equivalent amount in foreign currency). You should consult your personal tax advisor regarding reporting requirements in Korea.</w:t>
      </w:r>
    </w:p>
    <w:p>
      <w:pPr>
        <w:spacing w:after="0" w:line="65"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Dividends. </w:t>
      </w:r>
      <w:r>
        <w:rPr>
          <w:rFonts w:ascii="Times New Roman" w:cs="Times New Roman" w:eastAsia="Times New Roman" w:hAnsi="Times New Roman"/>
          <w:sz w:val="22"/>
          <w:szCs w:val="22"/>
          <w:color w:val="auto"/>
        </w:rPr>
        <w:t>The term “cash dividend” and “stock dividend” under Section 3 of the Agreement shall include any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Accordingly, you will not receive any benefit or adjustment to your RSU Award with respect to any dividend equivalents.</w:t>
      </w:r>
    </w:p>
    <w:p>
      <w:pPr>
        <w:spacing w:after="0" w:line="53" w:lineRule="exact"/>
        <w:rPr>
          <w:sz w:val="20"/>
          <w:szCs w:val="20"/>
          <w:color w:val="auto"/>
        </w:rPr>
      </w:pPr>
    </w:p>
    <w:p>
      <w:pPr>
        <w:jc w:val="both"/>
        <w:ind w:right="20"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The terms “Withholding Taxes” and “tax liabilities” (as used in Section 8 of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include applicable social security in Korea.</w:t>
      </w:r>
    </w:p>
    <w:p>
      <w:pPr>
        <w:sectPr>
          <w:pgSz w:w="11900" w:h="16838" w:orient="portrait"/>
          <w:cols w:equalWidth="0" w:num="1">
            <w:col w:w="11080"/>
          </w:cols>
          <w:pgMar w:left="480" w:top="585"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Language Acknowledgement. </w:t>
      </w:r>
      <w:r>
        <w:rPr>
          <w:rFonts w:ascii="Times New Roman" w:cs="Times New Roman" w:eastAsia="Times New Roman" w:hAnsi="Times New Roman"/>
          <w:sz w:val="22"/>
          <w:szCs w:val="22"/>
          <w:color w:val="auto"/>
        </w:rPr>
        <w:t>You confirm that you have read and understood the documents relating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RSU Award Agreement, with all terms and conditions included therein, which were provided in the English language only. You confirm that you have sufficient language capabilities to understand these terms and conditions in full.</w:t>
      </w:r>
    </w:p>
    <w:p>
      <w:pPr>
        <w:spacing w:after="0" w:line="72" w:lineRule="exact"/>
        <w:rPr>
          <w:sz w:val="20"/>
          <w:szCs w:val="20"/>
          <w:color w:val="auto"/>
        </w:rPr>
      </w:pPr>
    </w:p>
    <w:p>
      <w:pPr>
        <w:jc w:val="both"/>
        <w:ind w:firstLine="504"/>
        <w:spacing w:after="0" w:line="279" w:lineRule="exact"/>
        <w:rPr>
          <w:sz w:val="20"/>
          <w:szCs w:val="20"/>
          <w:color w:val="auto"/>
        </w:rPr>
      </w:pPr>
      <w:r>
        <w:rPr>
          <w:rFonts w:ascii="Arial Unicode MS" w:cs="Arial Unicode MS" w:eastAsia="Arial Unicode MS" w:hAnsi="Arial Unicode MS"/>
          <w:sz w:val="22"/>
          <w:szCs w:val="22"/>
          <w:color w:val="auto"/>
          <w:highlight w:val="black"/>
        </w:rPr>
        <w:t>언어</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귀하는</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부여 계약을 포함하여</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w:t>
      </w:r>
      <w:r>
        <w:rPr>
          <w:rFonts w:ascii="Arial Unicode MS" w:cs="Arial Unicode MS" w:eastAsia="Arial Unicode MS" w:hAnsi="Arial Unicode MS"/>
          <w:sz w:val="22"/>
          <w:szCs w:val="22"/>
          <w:color w:val="auto"/>
        </w:rPr>
        <w:t>에 관계된 영문자료 내 포함된 제반 조건들 읽고 이해하였다는 점에</w:t>
      </w:r>
      <w:r>
        <w:rPr>
          <w:rFonts w:ascii="Times New Roman" w:cs="Times New Roman" w:eastAsia="Times New Roman" w:hAnsi="Times New Roman"/>
          <w:sz w:val="22"/>
          <w:szCs w:val="22"/>
          <w:b w:val="1"/>
          <w:bCs w:val="1"/>
          <w:color w:val="auto"/>
        </w:rPr>
        <w:t xml:space="preserve"> </w:t>
      </w:r>
      <w:r>
        <w:rPr>
          <w:rFonts w:ascii="Arial Unicode MS" w:cs="Arial Unicode MS" w:eastAsia="Arial Unicode MS" w:hAnsi="Arial Unicode MS"/>
          <w:sz w:val="22"/>
          <w:szCs w:val="22"/>
          <w:color w:val="auto"/>
        </w:rPr>
        <w:t>대해 확인합니다</w:t>
      </w:r>
      <w:r>
        <w:rPr>
          <w:rFonts w:ascii="Times New Roman" w:cs="Times New Roman" w:eastAsia="Times New Roman" w:hAnsi="Times New Roman"/>
          <w:sz w:val="22"/>
          <w:szCs w:val="22"/>
          <w:color w:val="auto"/>
        </w:rPr>
        <w:t xml:space="preserve">. </w:t>
      </w:r>
      <w:r>
        <w:rPr>
          <w:rFonts w:ascii="Arial Unicode MS" w:cs="Arial Unicode MS" w:eastAsia="Arial Unicode MS" w:hAnsi="Arial Unicode MS"/>
          <w:sz w:val="22"/>
          <w:szCs w:val="22"/>
          <w:color w:val="auto"/>
        </w:rPr>
        <w:t>귀사는 귀사가 해당 조건들에 대해 완전히 이해할 언어능력을 갖추었다는 점에 대해서도 확인합니</w:t>
      </w:r>
      <w:r>
        <w:rPr>
          <w:rFonts w:ascii="Times New Roman" w:cs="Times New Roman" w:eastAsia="Times New Roman" w:hAnsi="Times New Roman"/>
          <w:sz w:val="22"/>
          <w:szCs w:val="22"/>
          <w:color w:val="auto"/>
        </w:rPr>
        <w:t xml:space="preserve"> </w:t>
      </w:r>
      <w:r>
        <w:rPr>
          <w:rFonts w:ascii="Arial Unicode MS" w:cs="Arial Unicode MS" w:eastAsia="Arial Unicode MS" w:hAnsi="Arial Unicode MS"/>
          <w:sz w:val="22"/>
          <w:szCs w:val="22"/>
          <w:color w:val="auto"/>
        </w:rPr>
        <w:t>다</w:t>
      </w:r>
      <w:r>
        <w:rPr>
          <w:rFonts w:ascii="Times New Roman" w:cs="Times New Roman" w:eastAsia="Times New Roman" w:hAnsi="Times New Roman"/>
          <w:sz w:val="22"/>
          <w:szCs w:val="22"/>
          <w:color w:val="auto"/>
        </w:rPr>
        <w:t>.</w:t>
      </w:r>
    </w:p>
    <w:p>
      <w:pPr>
        <w:spacing w:after="0" w:line="95"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“Cause” shall include, but not be limited to, all reasons entitling to a summary dismissal pursuant to Articles 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24 of the Labor Standard Act, without limiting the definition of Cause as outlined in the Plan.</w:t>
      </w:r>
    </w:p>
    <w:p>
      <w:pPr>
        <w:spacing w:after="0" w:line="41" w:lineRule="exact"/>
        <w:rPr>
          <w:sz w:val="20"/>
          <w:szCs w:val="20"/>
          <w:color w:val="auto"/>
        </w:rPr>
      </w:pPr>
    </w:p>
    <w:p>
      <w:pPr>
        <w:jc w:val="both"/>
        <w:ind w:firstLine="50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No Right against Employer. </w:t>
      </w:r>
      <w:r>
        <w:rPr>
          <w:rFonts w:ascii="Times New Roman" w:cs="Times New Roman" w:eastAsia="Times New Roman" w:hAnsi="Times New Roman"/>
          <w:sz w:val="22"/>
          <w:szCs w:val="22"/>
          <w:color w:val="auto"/>
        </w:rPr>
        <w:t>You expressly acknowledge that you shall not have any right or claim under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Award, the Grant Notice and this RSU Award Agreement against the Affiliate under which you are employed.</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Wage</w:t>
      </w:r>
      <w:r>
        <w:rPr>
          <w:rFonts w:ascii="Times New Roman" w:cs="Times New Roman" w:eastAsia="Times New Roman" w:hAnsi="Times New Roman"/>
          <w:sz w:val="22"/>
          <w:szCs w:val="22"/>
          <w:color w:val="auto"/>
        </w:rPr>
        <w:t>. You expressly agree that any RSU Awards will not constitute wage under Korean laws.</w:t>
      </w:r>
    </w:p>
    <w:p>
      <w:pPr>
        <w:spacing w:after="0" w:line="112"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Term “Company”. </w:t>
      </w:r>
      <w:r>
        <w:rPr>
          <w:rFonts w:ascii="Times New Roman" w:cs="Times New Roman" w:eastAsia="Times New Roman" w:hAnsi="Times New Roman"/>
          <w:sz w:val="22"/>
          <w:szCs w:val="22"/>
          <w:color w:val="auto"/>
        </w:rPr>
        <w:t>The term “Company” as used in Section 8(b) and 8(c) of the Plan shall include the Company as well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its Affiliates.</w:t>
      </w:r>
    </w:p>
    <w:p>
      <w:pPr>
        <w:spacing w:after="0" w:line="3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112"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No Entitlement for Claims or Compensation. </w:t>
      </w:r>
      <w:r>
        <w:rPr>
          <w:rFonts w:ascii="Times New Roman" w:cs="Times New Roman" w:eastAsia="Times New Roman" w:hAnsi="Times New Roman"/>
          <w:sz w:val="22"/>
          <w:szCs w:val="22"/>
          <w:color w:val="auto"/>
        </w:rPr>
        <w:t>The following provision supplements Section 4 of the General Non-U.S.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in this Appendix to the RSU Award Agreement that clarify that the grant, vesting, or settlement of your RSU Award does not give you a right to continued service/employment:</w:t>
      </w:r>
    </w:p>
    <w:p>
      <w:pPr>
        <w:spacing w:after="0" w:line="57" w:lineRule="exact"/>
        <w:rPr>
          <w:sz w:val="20"/>
          <w:szCs w:val="20"/>
          <w:color w:val="auto"/>
        </w:rPr>
      </w:pPr>
    </w:p>
    <w:p>
      <w:pPr>
        <w:jc w:val="both"/>
        <w:ind w:left="500" w:firstLine="648"/>
        <w:spacing w:after="0" w:line="271" w:lineRule="auto"/>
        <w:rPr>
          <w:sz w:val="20"/>
          <w:szCs w:val="20"/>
          <w:color w:val="auto"/>
        </w:rPr>
      </w:pPr>
      <w:r>
        <w:rPr>
          <w:rFonts w:ascii="Times New Roman" w:cs="Times New Roman" w:eastAsia="Times New Roman" w:hAnsi="Times New Roman"/>
          <w:sz w:val="22"/>
          <w:szCs w:val="22"/>
          <w:color w:val="auto"/>
        </w:rPr>
        <w:t>By accepting the grant of the RSU Award, you consent to participation in the Plan and acknowledge that you have received a copy of the Plan document.</w:t>
      </w:r>
    </w:p>
    <w:p>
      <w:pPr>
        <w:spacing w:after="0" w:line="50" w:lineRule="exact"/>
        <w:rPr>
          <w:sz w:val="20"/>
          <w:szCs w:val="20"/>
          <w:color w:val="auto"/>
        </w:rPr>
      </w:pPr>
    </w:p>
    <w:p>
      <w:pPr>
        <w:jc w:val="both"/>
        <w:ind w:left="500" w:firstLine="648"/>
        <w:spacing w:after="0" w:line="248" w:lineRule="auto"/>
        <w:rPr>
          <w:sz w:val="20"/>
          <w:szCs w:val="20"/>
          <w:color w:val="auto"/>
        </w:rPr>
      </w:pPr>
      <w:r>
        <w:rPr>
          <w:rFonts w:ascii="Times New Roman" w:cs="Times New Roman" w:eastAsia="Times New Roman" w:hAnsi="Times New Roman"/>
          <w:sz w:val="22"/>
          <w:szCs w:val="22"/>
          <w:color w:val="auto"/>
        </w:rPr>
        <w:t>You understand that the Company has unilaterally, gratuitously and in its sole discretion decided to make grants of RSU Awards under the Plan to individuals who may be Employees, Directors and Consultants throughout the world. The decision is limited and entered into based upon the express assumption and condition that any RSU Awards will not economically or otherwise bind the Company or any Affiliate, including your employer, on an ongoing basis, other than as expressly set forth in the RSU Award Agreement. Consequently, you understand that the grant of RSU Awards is made on the assumption and condition that the RSU Awards shall not become part of any employment contract (whether with the Company or any Affiliate, including your employer) and shall not be considered a mandatory benefit, salary for any purpose (including severance compensation) or any other right whatsoever. Furthermore, you understand and freely accept that there is no guarantee that any benefit whatsoever shall arise from the RSU Awards , which are gratuitous and discretionary, since the future value of the RSU Awards and the underlying shares of Common Stock is unknown and unpredictable.</w:t>
      </w:r>
    </w:p>
    <w:p>
      <w:pPr>
        <w:spacing w:after="0" w:line="81" w:lineRule="exact"/>
        <w:rPr>
          <w:sz w:val="20"/>
          <w:szCs w:val="20"/>
          <w:color w:val="auto"/>
        </w:rPr>
      </w:pPr>
    </w:p>
    <w:p>
      <w:pPr>
        <w:jc w:val="both"/>
        <w:ind w:left="500" w:firstLine="648"/>
        <w:spacing w:after="0" w:line="263" w:lineRule="auto"/>
        <w:rPr>
          <w:sz w:val="20"/>
          <w:szCs w:val="20"/>
          <w:color w:val="auto"/>
        </w:rPr>
      </w:pPr>
      <w:r>
        <w:rPr>
          <w:rFonts w:ascii="Times New Roman" w:cs="Times New Roman" w:eastAsia="Times New Roman" w:hAnsi="Times New Roman"/>
          <w:sz w:val="22"/>
          <w:szCs w:val="22"/>
          <w:color w:val="auto"/>
        </w:rPr>
        <w:t>You understand and agree that, as a condition of the grant of the RSU Awards , your termination of Continuous Service for any reason (including for the reasons listed below) will automatically result in the cancellation and loss of any RSU Awards that may have been granted</w:t>
      </w:r>
    </w:p>
    <w:p>
      <w:pPr>
        <w:sectPr>
          <w:pgSz w:w="11900" w:h="16838" w:orient="portrait"/>
          <w:cols w:equalWidth="0" w:num="1">
            <w:col w:w="11080"/>
          </w:cols>
          <w:pgMar w:left="480" w:top="585"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500"/>
        <w:spacing w:after="0" w:line="262" w:lineRule="auto"/>
        <w:rPr>
          <w:sz w:val="20"/>
          <w:szCs w:val="20"/>
          <w:color w:val="auto"/>
        </w:rPr>
      </w:pPr>
      <w:r>
        <w:rPr>
          <w:rFonts w:ascii="Times New Roman" w:cs="Times New Roman" w:eastAsia="Times New Roman" w:hAnsi="Times New Roman"/>
          <w:sz w:val="21"/>
          <w:szCs w:val="21"/>
          <w:color w:val="auto"/>
        </w:rPr>
        <w:t>to you and that were not fully vested on the date of termination of your Continuous Service. In particular, you understand and agree that, unless otherwise expressly provided for by the Company at the Date of Grant, the RSU Awards will be cancelled without entitlement to the shares or to any amount as indemnification if you terminate employment by reason of, including, but not limited to: resignation, death, disability, retirement, disciplinary dismissal adjudged to be with cause, disciplinary dismissal adjudged or recognized to be without cause,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78" w:lineRule="exact"/>
        <w:rPr>
          <w:sz w:val="20"/>
          <w:szCs w:val="20"/>
          <w:color w:val="auto"/>
        </w:rPr>
      </w:pPr>
    </w:p>
    <w:p>
      <w:pPr>
        <w:jc w:val="both"/>
        <w:ind w:left="500" w:firstLine="648"/>
        <w:spacing w:after="0" w:line="252" w:lineRule="auto"/>
        <w:rPr>
          <w:sz w:val="20"/>
          <w:szCs w:val="20"/>
          <w:color w:val="auto"/>
        </w:rPr>
      </w:pPr>
      <w:r>
        <w:rPr>
          <w:rFonts w:ascii="Times New Roman" w:cs="Times New Roman" w:eastAsia="Times New Roman" w:hAnsi="Times New Roman"/>
          <w:sz w:val="22"/>
          <w:szCs w:val="22"/>
          <w:color w:val="auto"/>
        </w:rPr>
        <w:t>You also understand that this grant of a RSU Award would not be made but for the assumptions and conditions set forth hereinabove; thus, you understand, acknowledge and freely accept that, should any or all of the assumptions be mistaken or any of the conditions not be met for any reason, the grant, the RSU Award and any right to the underlying shares of Common Stock shall be null and void.</w:t>
      </w:r>
    </w:p>
    <w:p>
      <w:pPr>
        <w:spacing w:after="0" w:line="67" w:lineRule="exact"/>
        <w:rPr>
          <w:sz w:val="20"/>
          <w:szCs w:val="20"/>
          <w:color w:val="auto"/>
        </w:rPr>
      </w:pPr>
    </w:p>
    <w:p>
      <w:pPr>
        <w:jc w:val="both"/>
        <w:ind w:firstLine="50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Securities Law Information. </w:t>
      </w:r>
      <w:r>
        <w:rPr>
          <w:rFonts w:ascii="Times New Roman" w:cs="Times New Roman" w:eastAsia="Times New Roman" w:hAnsi="Times New Roman"/>
          <w:sz w:val="21"/>
          <w:szCs w:val="21"/>
          <w:color w:val="auto"/>
        </w:rPr>
        <w:t>The Restricted Stock Units described in the RSU Award Agreement and this Appendix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 qualify under Spanish regulations as securities. No “offer of securities to the public”, as defined under Spanish law, has taken place or will take place in the Spanish territory. The RSU Agreement (including this Appendix) has not been nor will it be registered with the </w:t>
      </w:r>
      <w:r>
        <w:rPr>
          <w:rFonts w:ascii="Times New Roman" w:cs="Times New Roman" w:eastAsia="Times New Roman" w:hAnsi="Times New Roman"/>
          <w:sz w:val="21"/>
          <w:szCs w:val="21"/>
          <w:i w:val="1"/>
          <w:iCs w:val="1"/>
          <w:color w:val="auto"/>
        </w:rPr>
        <w:t>Comisión Nacional del Mercado de Valores</w:t>
      </w:r>
      <w:r>
        <w:rPr>
          <w:rFonts w:ascii="Times New Roman" w:cs="Times New Roman" w:eastAsia="Times New Roman" w:hAnsi="Times New Roman"/>
          <w:sz w:val="21"/>
          <w:szCs w:val="21"/>
          <w:color w:val="auto"/>
        </w:rPr>
        <w:t>, and does not constitute a public offering prospectus.</w:t>
      </w:r>
    </w:p>
    <w:p>
      <w:pPr>
        <w:spacing w:after="0" w:line="45"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Foreign Assets Reporting. </w:t>
      </w:r>
      <w:r>
        <w:rPr>
          <w:rFonts w:ascii="Times New Roman" w:cs="Times New Roman" w:eastAsia="Times New Roman" w:hAnsi="Times New Roman"/>
          <w:sz w:val="22"/>
          <w:szCs w:val="22"/>
          <w:color w:val="auto"/>
        </w:rPr>
        <w:t>You may be subject to certain tax reporting requirements with respect to assets or rights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hold outside of Spain, including bank accounts, securities and real estate if the aggregate value for particular category of assets exceeds €50,000 as of December 31 each year. Shares acquired under the Plan or other equity programs offered by the Company constitute securities for purposes of this requirement, but unvested awards (e.g</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Restricted Stock Units, etc.) are not considered assets or rights for purposes of this reporting requirement.</w:t>
      </w:r>
    </w:p>
    <w:p>
      <w:pPr>
        <w:spacing w:after="0" w:line="69" w:lineRule="exact"/>
        <w:rPr>
          <w:sz w:val="20"/>
          <w:szCs w:val="20"/>
          <w:color w:val="auto"/>
        </w:rPr>
      </w:pPr>
    </w:p>
    <w:p>
      <w:pPr>
        <w:jc w:val="both"/>
        <w:ind w:firstLine="504"/>
        <w:spacing w:after="0" w:line="257" w:lineRule="auto"/>
        <w:rPr>
          <w:sz w:val="20"/>
          <w:szCs w:val="20"/>
          <w:color w:val="auto"/>
        </w:rPr>
      </w:pPr>
      <w:r>
        <w:rPr>
          <w:rFonts w:ascii="Times New Roman" w:cs="Times New Roman" w:eastAsia="Times New Roman" w:hAnsi="Times New Roman"/>
          <w:sz w:val="22"/>
          <w:szCs w:val="22"/>
          <w:color w:val="auto"/>
        </w:rPr>
        <w:t>If applicable, you must report the assets on Form 720 by no later than March 31 following the end of the relevant year. After the rights and/or assets are initially reported, the reporting obligation will only apply if (a) the value of previously-reported rights or assets increases by more than</w:t>
      </w:r>
    </w:p>
    <w:p>
      <w:pPr>
        <w:spacing w:after="0" w:line="78" w:lineRule="exact"/>
        <w:rPr>
          <w:sz w:val="20"/>
          <w:szCs w:val="20"/>
          <w:color w:val="auto"/>
        </w:rPr>
      </w:pPr>
    </w:p>
    <w:p>
      <w:pPr>
        <w:jc w:val="both"/>
        <w:ind w:firstLine="504"/>
        <w:spacing w:after="0" w:line="271" w:lineRule="auto"/>
        <w:rPr>
          <w:sz w:val="20"/>
          <w:szCs w:val="20"/>
          <w:color w:val="auto"/>
        </w:rPr>
      </w:pPr>
      <w:r>
        <w:rPr>
          <w:rFonts w:ascii="Times New Roman" w:cs="Times New Roman" w:eastAsia="Times New Roman" w:hAnsi="Times New Roman"/>
          <w:sz w:val="22"/>
          <w:szCs w:val="22"/>
          <w:color w:val="auto"/>
        </w:rPr>
        <w:t>€20,000 as of each subsequent December 31, or (b) upon disposition of the previously-reported rights or assets. You are encouraged to consult with your personal advisor to determine any obligations in this respect.</w:t>
      </w:r>
    </w:p>
    <w:p>
      <w:pPr>
        <w:spacing w:after="0" w:line="46" w:lineRule="exact"/>
        <w:rPr>
          <w:sz w:val="20"/>
          <w:szCs w:val="20"/>
          <w:color w:val="auto"/>
        </w:rPr>
      </w:pPr>
    </w:p>
    <w:p>
      <w:pPr>
        <w:jc w:val="both"/>
        <w:ind w:firstLine="504"/>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Share Reporting Requirement. </w:t>
      </w:r>
      <w:r>
        <w:rPr>
          <w:rFonts w:ascii="Times New Roman" w:cs="Times New Roman" w:eastAsia="Times New Roman" w:hAnsi="Times New Roman"/>
          <w:sz w:val="22"/>
          <w:szCs w:val="22"/>
          <w:color w:val="auto"/>
        </w:rPr>
        <w:t>You must declare the acquisition, ownership and disposition of Shares to the Spanish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 xml:space="preserve">Dirección General de Comercio e Inversiones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DGCI</w:t>
      </w:r>
      <w:r>
        <w:rPr>
          <w:rFonts w:ascii="Times New Roman" w:cs="Times New Roman" w:eastAsia="Times New Roman" w:hAnsi="Times New Roman"/>
          <w:sz w:val="22"/>
          <w:szCs w:val="22"/>
          <w:color w:val="auto"/>
        </w:rPr>
        <w:t>”) of the Ministry of Economy and Competitiveness on a Form D-6.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Generally, the declaration must be made in January for Shares owned as of December 31 of the prior year and/or shares of Common Stock acquired or disposed of during the prior year; however, if the value of the shares of Common Stock acquired or the amount of the sale proceeds exceeds the threshold in force from time to time (or you hold 10% or more of the share capital of the Company or other such amount that would entitle you to join the Board), the</w:t>
      </w:r>
    </w:p>
    <w:p>
      <w:pPr>
        <w:sectPr>
          <w:pgSz w:w="11900" w:h="16838" w:orient="portrait"/>
          <w:cols w:equalWidth="0" w:num="1">
            <w:col w:w="11080"/>
          </w:cols>
          <w:pgMar w:left="480" w:top="58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declaration must be filed within one month of the acquisition or disposition, as applicable. You should consult with your personal advisor to determine your obligations in this respect.</w:t>
      </w:r>
    </w:p>
    <w:p>
      <w:pPr>
        <w:spacing w:after="0" w:line="46" w:lineRule="exact"/>
        <w:rPr>
          <w:sz w:val="20"/>
          <w:szCs w:val="20"/>
          <w:color w:val="auto"/>
        </w:rPr>
      </w:pPr>
    </w:p>
    <w:p>
      <w:pPr>
        <w:jc w:val="both"/>
        <w:ind w:firstLine="504"/>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Foreign Assets and Transaction Reporting. </w:t>
      </w:r>
      <w:r>
        <w:rPr>
          <w:rFonts w:ascii="Times New Roman" w:cs="Times New Roman" w:eastAsia="Times New Roman" w:hAnsi="Times New Roman"/>
          <w:sz w:val="21"/>
          <w:szCs w:val="21"/>
          <w:color w:val="auto"/>
        </w:rPr>
        <w:t>You may be required to electronically declare to the Bank of Spain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foreign accounts (including brokerage accounts held abroad), any foreign instruments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shares of Common Stock) and any transactions with non-Spanish residents (including any payments of cash or shares made to you by the Company or a U.S. brokerage account) if the balances in such accounts together with the value of such instruments as of December 31, or the volume of transactions with non-Spanish residents during the prior or current year, exceed €1,000,000. Once the €1,000,000 threshold has been surpassed in either respect, you will generally be required to report all of your foreign accounts, foreign instruments and transactions with non-Spanish residents, even if the relevant threshold has not been crossed for an individual item. You will generally only be required to report on an annual basis (by January 20 of each year); however, if the balances in your foreign accounts together with value of your foreign instruments or the volume of transactions with non-Spanish residents exceed €100,000,000, you acknowledge that more frequent reporting will be required.</w:t>
      </w:r>
    </w:p>
    <w:p>
      <w:pPr>
        <w:spacing w:after="0" w:line="200" w:lineRule="exact"/>
        <w:rPr>
          <w:sz w:val="20"/>
          <w:szCs w:val="20"/>
          <w:color w:val="auto"/>
        </w:rPr>
      </w:pPr>
    </w:p>
    <w:p>
      <w:pPr>
        <w:spacing w:after="0" w:line="21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112" w:lineRule="exact"/>
        <w:rPr>
          <w:sz w:val="20"/>
          <w:szCs w:val="20"/>
          <w:color w:val="auto"/>
        </w:rPr>
      </w:pPr>
    </w:p>
    <w:p>
      <w:pPr>
        <w:jc w:val="both"/>
        <w:ind w:firstLine="50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Cash settlement. </w:t>
      </w:r>
      <w:r>
        <w:rPr>
          <w:rFonts w:ascii="Times New Roman" w:cs="Times New Roman" w:eastAsia="Times New Roman" w:hAnsi="Times New Roman"/>
          <w:sz w:val="22"/>
          <w:szCs w:val="22"/>
          <w:color w:val="auto"/>
        </w:rPr>
        <w:t>Notwithstanding any provision of the Plan or the RSU Award Agreement, the RSU Awards may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settled in cash.</w:t>
      </w:r>
    </w:p>
    <w:p>
      <w:pPr>
        <w:spacing w:after="0" w:line="29"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Exchange Control. </w:t>
      </w:r>
      <w:r>
        <w:rPr>
          <w:rFonts w:ascii="Times New Roman" w:cs="Times New Roman" w:eastAsia="Times New Roman" w:hAnsi="Times New Roman"/>
          <w:sz w:val="22"/>
          <w:szCs w:val="22"/>
          <w:color w:val="auto"/>
        </w:rPr>
        <w:t>You understand and agree that foreign and local banks, financial institutions (including brokers)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others engaged in cross-border transactions generally may be required to report any payments to or from a foreign country exceeding a certain amount, to Swedish authorities (e.g. the Swedish Tax Agency). This requirement may apply even if you have a brokerage account with a foreign broker.</w:t>
      </w:r>
    </w:p>
    <w:p>
      <w:pPr>
        <w:spacing w:after="0" w:line="81"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Upon vesting and settlement of the RSU Awards the benefit, i.e. the fair market value of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 awards at the time of vesting and settlement minus the total price paid for the restricted stock unit awards, is taxed as employment income at progressive rates, depending on your yearly income and municipal residency. Your employer will take the benefit into account for withholding tax purposes.</w:t>
      </w:r>
    </w:p>
    <w:p>
      <w:pPr>
        <w:spacing w:after="0" w:line="71"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22"/>
          <w:szCs w:val="22"/>
          <w:color w:val="auto"/>
        </w:rPr>
        <w:t>The taxable benefit will be added to your salary and other benefits the relevant month in order to determine what amount the employer should withhold. There is only an obligation to withhold tax from cash salary paid to you the relevant month. Should the cash salary not be enough to cover the tax on the benefit, you will be responsible to pay any additional tax to the Swedish Tax Agency.</w:t>
      </w:r>
    </w:p>
    <w:p>
      <w:pPr>
        <w:spacing w:after="0" w:line="6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00" w:lineRule="exact"/>
        <w:rPr>
          <w:sz w:val="20"/>
          <w:szCs w:val="20"/>
          <w:color w:val="auto"/>
        </w:rPr>
      </w:pPr>
    </w:p>
    <w:p>
      <w:pPr>
        <w:spacing w:after="0" w:line="263" w:lineRule="exact"/>
        <w:rPr>
          <w:sz w:val="20"/>
          <w:szCs w:val="20"/>
          <w:color w:val="auto"/>
        </w:rPr>
      </w:pPr>
    </w:p>
    <w:p>
      <w:pPr>
        <w:jc w:val="both"/>
        <w:ind w:firstLine="504"/>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Sole Contact and Contractual Partner Information. </w:t>
      </w:r>
      <w:r>
        <w:rPr>
          <w:rFonts w:ascii="Times New Roman" w:cs="Times New Roman" w:eastAsia="Times New Roman" w:hAnsi="Times New Roman"/>
          <w:sz w:val="21"/>
          <w:szCs w:val="21"/>
          <w:color w:val="auto"/>
        </w:rPr>
        <w:t>You acknowledge that the RSU Award, the Grant Notice, this RSU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Agreement, the Appendix and your participation in the Plan does not create any claims against the Affiliate employing you, either directly or indirectly. To be clear: Your sole contract and sole contractual partner regarding the Plan and the granted RSU Award is the Company and the granted RSU Award does not form part of your contractual compensation.</w:t>
      </w:r>
    </w:p>
    <w:p>
      <w:pPr>
        <w:sectPr>
          <w:pgSz w:w="11900" w:h="16838" w:orient="portrait"/>
          <w:cols w:equalWidth="0" w:num="1">
            <w:col w:w="11080"/>
          </w:cols>
          <w:pgMar w:left="480" w:top="585"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Continuous Service. </w:t>
      </w:r>
      <w:r>
        <w:rPr>
          <w:rFonts w:ascii="Times New Roman" w:cs="Times New Roman" w:eastAsia="Times New Roman" w:hAnsi="Times New Roman"/>
          <w:sz w:val="22"/>
          <w:szCs w:val="22"/>
          <w:color w:val="auto"/>
        </w:rPr>
        <w:t>Notwithstanding anything else in the Plan or the RSU Award Agreement, the Continuous Service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deemed to end on the date when a termination notice is issued, regardless of whether the cessation of the employment was lawful, and shall not include any period notice of termination of employment or any period of salary continuance or deemed employment. As a result, if you receive notice of termination your Continuous Service will end on the date you receive such notice from the Affiliate employing you.</w:t>
      </w:r>
    </w:p>
    <w:p>
      <w:pPr>
        <w:spacing w:after="0" w:line="65"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Award is not intended to be publicly offered in or from Switzerland. Because it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a private offering, it is not subject to securities registration in Switzerland. Neither this document nor any other materials relating to the RSU Award and/or the underlying shares in Common Stock (i) constitutes a prospectus according to articles 35 et seq. of the Swiss Federal Act on Financial Services (“</w:t>
      </w:r>
      <w:r>
        <w:rPr>
          <w:rFonts w:ascii="Times New Roman" w:cs="Times New Roman" w:eastAsia="Times New Roman" w:hAnsi="Times New Roman"/>
          <w:sz w:val="22"/>
          <w:szCs w:val="22"/>
          <w:b w:val="1"/>
          <w:bCs w:val="1"/>
          <w:i w:val="1"/>
          <w:iCs w:val="1"/>
          <w:color w:val="auto"/>
        </w:rPr>
        <w:t>FinSA</w:t>
      </w:r>
      <w:r>
        <w:rPr>
          <w:rFonts w:ascii="Times New Roman" w:cs="Times New Roman" w:eastAsia="Times New Roman" w:hAnsi="Times New Roman"/>
          <w:sz w:val="22"/>
          <w:szCs w:val="22"/>
          <w:color w:val="auto"/>
        </w:rPr>
        <w:t>”); (ii) may be publicly distributed or otherwise made publicly available in Switzerland to any person other than an awardholder; or (iii) has been or will be filed with, approved or supervised by any Swiss reviewing body according to article 51 FinSA or any Swiss regulatory authority, including the Swiss Financial Market Supervisory Authority (“</w:t>
      </w:r>
      <w:r>
        <w:rPr>
          <w:rFonts w:ascii="Times New Roman" w:cs="Times New Roman" w:eastAsia="Times New Roman" w:hAnsi="Times New Roman"/>
          <w:sz w:val="22"/>
          <w:szCs w:val="22"/>
          <w:b w:val="1"/>
          <w:bCs w:val="1"/>
          <w:i w:val="1"/>
          <w:iCs w:val="1"/>
          <w:color w:val="auto"/>
        </w:rPr>
        <w:t>FINMA</w:t>
      </w:r>
      <w:r>
        <w:rPr>
          <w:rFonts w:ascii="Times New Roman" w:cs="Times New Roman" w:eastAsia="Times New Roman" w:hAnsi="Times New Roman"/>
          <w:sz w:val="22"/>
          <w:szCs w:val="22"/>
          <w:color w:val="auto"/>
        </w:rPr>
        <w:t>”).</w:t>
      </w:r>
    </w:p>
    <w:p>
      <w:pPr>
        <w:spacing w:after="0" w:line="72"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Grant of the Award. </w:t>
      </w:r>
      <w:r>
        <w:rPr>
          <w:rFonts w:ascii="Times New Roman" w:cs="Times New Roman" w:eastAsia="Times New Roman" w:hAnsi="Times New Roman"/>
          <w:sz w:val="22"/>
          <w:szCs w:val="22"/>
          <w:color w:val="auto"/>
        </w:rPr>
        <w:t>The RSU Award granted to you is a voluntary gratuity (</w:t>
      </w:r>
      <w:r>
        <w:rPr>
          <w:rFonts w:ascii="Times New Roman" w:cs="Times New Roman" w:eastAsia="Times New Roman" w:hAnsi="Times New Roman"/>
          <w:sz w:val="22"/>
          <w:szCs w:val="22"/>
          <w:i w:val="1"/>
          <w:iCs w:val="1"/>
          <w:color w:val="auto"/>
        </w:rPr>
        <w:t>Gratifikation; gratification</w:t>
      </w:r>
      <w:r>
        <w:rPr>
          <w:rFonts w:ascii="Times New Roman" w:cs="Times New Roman" w:eastAsia="Times New Roman" w:hAnsi="Times New Roman"/>
          <w:sz w:val="22"/>
          <w:szCs w:val="22"/>
          <w:color w:val="auto"/>
        </w:rPr>
        <w:t>) within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 of Article 322d Swiss Code of Obligations (CO) as determined at the Company's sole discretion which you have no entitlement to and which does not constitute an entitlement for a grant of further RSU Awards or other equities in the future.</w:t>
      </w:r>
    </w:p>
    <w:p>
      <w:pPr>
        <w:spacing w:after="0" w:line="53"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You acknowledge and confirm that the RSU Award grant is fully discretionary and that before the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Stuck Unit has vested you shall not have any right in regard to such RSU Award.</w:t>
      </w:r>
    </w:p>
    <w:p>
      <w:pPr>
        <w:spacing w:after="0" w:line="41"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For the avoidance of any doubt,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include, but not be limited to, any permanent disability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the social security laws of Switzerland.</w:t>
      </w:r>
    </w:p>
    <w:p>
      <w:pPr>
        <w:spacing w:after="0" w:line="55"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Social Security and Tax: </w:t>
      </w:r>
      <w:r>
        <w:rPr>
          <w:rFonts w:ascii="Times New Roman" w:cs="Times New Roman" w:eastAsia="Times New Roman" w:hAnsi="Times New Roman"/>
          <w:sz w:val="22"/>
          <w:szCs w:val="22"/>
          <w:color w:val="auto"/>
        </w:rPr>
        <w:t>You herewith directly authorize the Affiliate employing you to make all (if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social security, insurance and tax deductions resulting from the grant and/or vesting of the RSU Award or the sale of shares from any compensation owed to you by the Affiliate employing you, subject to any statutory limitations. If your compensation shall not be sufficient to cover such social security, insurance and tax liabilities, you will indemnify the Affiliate employing you upon first demand.</w:t>
      </w:r>
    </w:p>
    <w:p>
      <w:pPr>
        <w:spacing w:after="0" w:line="81"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“Cause” shall include, but not be limited to, all reasons entitling to a summary dismissal pursuant to article 337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Swiss Code of Obligations (CO) and all justified reasons pursuant to article 340c para. 2 CO, without limiting the definition of Cause as outlined in the Plan. You expressly acknowledge that the definition of Cause as per the Plan shall include any crime or felony under Swiss laws and any breaches against your duties and in respect of the Affiliate employing you or the Affiliate to which you have been assigned, and not only in respect of the Company.</w:t>
      </w:r>
    </w:p>
    <w:p>
      <w:pPr>
        <w:spacing w:after="0" w:line="68"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Language Acknowledgement. </w:t>
      </w:r>
      <w:r>
        <w:rPr>
          <w:rFonts w:ascii="Times New Roman" w:cs="Times New Roman" w:eastAsia="Times New Roman" w:hAnsi="Times New Roman"/>
          <w:sz w:val="22"/>
          <w:szCs w:val="22"/>
          <w:color w:val="auto"/>
        </w:rPr>
        <w:t>You confirm that you have read and understood the documents relating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RSU Award Agreement, with all terms and conditions included therein, which were provided in the English language only. You confirm that you have sufficient language capabilities to understand these terms and conditions in full.</w:t>
      </w:r>
    </w:p>
    <w:p>
      <w:pPr>
        <w:spacing w:after="0" w:line="53" w:lineRule="exact"/>
        <w:rPr>
          <w:sz w:val="20"/>
          <w:szCs w:val="20"/>
          <w:color w:val="auto"/>
        </w:rPr>
      </w:pPr>
    </w:p>
    <w:p>
      <w:pPr>
        <w:jc w:val="both"/>
        <w:ind w:firstLine="504"/>
        <w:spacing w:after="0" w:line="275" w:lineRule="auto"/>
        <w:rPr>
          <w:sz w:val="20"/>
          <w:szCs w:val="20"/>
          <w:color w:val="auto"/>
        </w:rPr>
      </w:pPr>
      <w:r>
        <w:rPr>
          <w:rFonts w:ascii="Times New Roman" w:cs="Times New Roman" w:eastAsia="Times New Roman" w:hAnsi="Times New Roman"/>
          <w:sz w:val="22"/>
          <w:szCs w:val="22"/>
          <w:i w:val="1"/>
          <w:iCs w:val="1"/>
          <w:color w:val="auto"/>
        </w:rPr>
        <w:t>Sie bestätigen, dass Sie den Plan sowie die dazugehörigen Dokumente, inklusive der Vereinbarung, mit all den darin enthaltenen Bedingungen und Voraussetzungen, welche in englischer</w:t>
      </w:r>
    </w:p>
    <w:p>
      <w:pPr>
        <w:sectPr>
          <w:pgSz w:w="11900" w:h="16838" w:orient="portrait"/>
          <w:cols w:equalWidth="0" w:num="1">
            <w:col w:w="11080"/>
          </w:cols>
          <w:pgMar w:left="480" w:top="585"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Sprache verfasst sind, gelesen und verstanden haben. Sie bestätigen, dass Ihre Sprachkenntnisse genügend sind, um die Bedingungen und Voraussetzungen zu verstehen.</w:t>
      </w:r>
    </w:p>
    <w:p>
      <w:pPr>
        <w:spacing w:after="0" w:line="41" w:lineRule="exact"/>
        <w:rPr>
          <w:sz w:val="20"/>
          <w:szCs w:val="20"/>
          <w:color w:val="auto"/>
        </w:rPr>
      </w:pPr>
    </w:p>
    <w:p>
      <w:pPr>
        <w:jc w:val="both"/>
        <w:ind w:firstLine="504"/>
        <w:spacing w:after="0" w:line="265" w:lineRule="auto"/>
        <w:rPr>
          <w:sz w:val="20"/>
          <w:szCs w:val="20"/>
          <w:color w:val="auto"/>
        </w:rPr>
      </w:pPr>
      <w:r>
        <w:rPr>
          <w:rFonts w:ascii="Times New Roman" w:cs="Times New Roman" w:eastAsia="Times New Roman" w:hAnsi="Times New Roman"/>
          <w:sz w:val="22"/>
          <w:szCs w:val="22"/>
          <w:i w:val="1"/>
          <w:iCs w:val="1"/>
          <w:color w:val="auto"/>
        </w:rPr>
        <w:t>Vous confirmez que vous avez lu et compris les documents relatifs au plan, y compris la convention d'attribution, avec toutes les conditions qui y sont incluses, qui ont été fournies en langue anglaise uniquement. Vous confirmez que vous avez des capacités linguistiques suffisantes pour comprendre ces termes et conditions dans leur intégralité.</w:t>
      </w:r>
    </w:p>
    <w:p>
      <w:pPr>
        <w:spacing w:after="0" w:line="53" w:lineRule="exact"/>
        <w:rPr>
          <w:sz w:val="20"/>
          <w:szCs w:val="20"/>
          <w:color w:val="auto"/>
        </w:rPr>
      </w:pPr>
    </w:p>
    <w:p>
      <w:pPr>
        <w:jc w:val="both"/>
        <w:ind w:firstLine="504"/>
        <w:spacing w:after="0" w:line="259" w:lineRule="auto"/>
        <w:rPr>
          <w:sz w:val="20"/>
          <w:szCs w:val="20"/>
          <w:color w:val="auto"/>
        </w:rPr>
      </w:pPr>
      <w:r>
        <w:rPr>
          <w:rFonts w:ascii="Times New Roman" w:cs="Times New Roman" w:eastAsia="Times New Roman" w:hAnsi="Times New Roman"/>
          <w:sz w:val="22"/>
          <w:szCs w:val="22"/>
          <w:i w:val="1"/>
          <w:iCs w:val="1"/>
          <w:color w:val="auto"/>
        </w:rPr>
        <w:t>Confermate di aver letto e compreso i documenti relativi al Piano, compreso l'Accordo di assegnazione RSU, con tutti i termini e le condizioni ivi inclusi, che sono stati forniti solo in lingua inglese. Confermate di avere capacità linguistiche sufficienti per comprendere appieno questi termini e condizioni.</w:t>
      </w:r>
    </w:p>
    <w:p>
      <w:pPr>
        <w:spacing w:after="0" w:line="72"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No Right against Employer. </w:t>
      </w:r>
      <w:r>
        <w:rPr>
          <w:rFonts w:ascii="Times New Roman" w:cs="Times New Roman" w:eastAsia="Times New Roman" w:hAnsi="Times New Roman"/>
          <w:sz w:val="22"/>
          <w:szCs w:val="22"/>
          <w:color w:val="auto"/>
        </w:rPr>
        <w:t>You expressly acknowledge that you shall not have any right or claim under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 Award, the Grant Notice and this RSU Award Agreement against the Affiliate employing you. You expressly acknowledge and agrees that you only have any right and claim against the Company, i.e. Asana, Inc. as set out under the Plan and the RSU Award Agreement.</w:t>
      </w:r>
    </w:p>
    <w:p>
      <w:pPr>
        <w:spacing w:after="0" w:line="67"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Governing Law and Jurisdiction. </w:t>
      </w:r>
      <w:r>
        <w:rPr>
          <w:rFonts w:ascii="Times New Roman" w:cs="Times New Roman" w:eastAsia="Times New Roman" w:hAnsi="Times New Roman"/>
          <w:sz w:val="22"/>
          <w:szCs w:val="22"/>
          <w:color w:val="auto"/>
        </w:rPr>
        <w:t>You expressly acknowledge and agrees to the Choice of Law clause in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RSU Award Agreement and accept that Swiss law does not apply and that Swiss courts do not have any jurisdiction in regard to any claims under the Plan and the RSU Award Agreement. You expressly agree to the laws of the State of Delaware (USA) as governing law and herewith agree to the courts in Delaware having exclusive jurisdiction over any matter in regard to the Plan and the RSU Award Agreement.</w:t>
      </w:r>
    </w:p>
    <w:p>
      <w:pPr>
        <w:spacing w:after="0" w:line="200" w:lineRule="exact"/>
        <w:rPr>
          <w:sz w:val="20"/>
          <w:szCs w:val="20"/>
          <w:color w:val="auto"/>
        </w:rPr>
      </w:pPr>
    </w:p>
    <w:p>
      <w:pPr>
        <w:spacing w:after="0" w:line="2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UK</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b w:val="1"/>
          <w:bCs w:val="1"/>
          <w:color w:val="auto"/>
        </w:rPr>
        <w:t xml:space="preserve">Award Not a Service Contract. </w:t>
      </w:r>
      <w:r>
        <w:rPr>
          <w:rFonts w:ascii="Times New Roman" w:cs="Times New Roman" w:eastAsia="Times New Roman" w:hAnsi="Times New Roman"/>
          <w:sz w:val="21"/>
          <w:szCs w:val="21"/>
          <w:color w:val="auto"/>
        </w:rPr>
        <w:t>The following supplements Section 4 (Award Not a Service Contract) of this Appendix:</w:t>
      </w:r>
    </w:p>
    <w:p>
      <w:pPr>
        <w:spacing w:after="0" w:line="141" w:lineRule="exact"/>
        <w:rPr>
          <w:sz w:val="20"/>
          <w:szCs w:val="20"/>
          <w:color w:val="auto"/>
        </w:rPr>
      </w:pPr>
    </w:p>
    <w:p>
      <w:pPr>
        <w:jc w:val="both"/>
        <w:ind w:firstLine="504"/>
        <w:spacing w:after="0" w:line="250" w:lineRule="auto"/>
        <w:rPr>
          <w:sz w:val="20"/>
          <w:szCs w:val="20"/>
          <w:color w:val="auto"/>
        </w:rPr>
      </w:pPr>
      <w:r>
        <w:rPr>
          <w:rFonts w:ascii="Times New Roman" w:cs="Times New Roman" w:eastAsia="Times New Roman" w:hAnsi="Times New Roman"/>
          <w:sz w:val="22"/>
          <w:szCs w:val="22"/>
          <w:color w:val="auto"/>
        </w:rPr>
        <w:t>You waive all rights to compensation or damages in consequence of the termination of your office or employment with the Company or any Affiliate for any reason whatsoever (whether lawful or unlawful and including, without prejudice to the foregoing, in circumstances giving rise to a claim for wrongful dismissal) in so far as those rights arise or may arise from you ceasing to hold or being able to vest your Award, or from the loss or diminution in value of any rights or entitlements in connection with the Plan.</w:t>
      </w:r>
    </w:p>
    <w:p>
      <w:pPr>
        <w:spacing w:after="0" w:line="177" w:lineRule="exact"/>
        <w:rPr>
          <w:sz w:val="20"/>
          <w:szCs w:val="20"/>
          <w:color w:val="auto"/>
        </w:rPr>
      </w:pPr>
    </w:p>
    <w:p>
      <w:pPr>
        <w:ind w:left="500"/>
        <w:spacing w:after="0" w:line="456" w:lineRule="auto"/>
        <w:rPr>
          <w:sz w:val="20"/>
          <w:szCs w:val="20"/>
          <w:color w:val="auto"/>
        </w:rPr>
      </w:pPr>
      <w:r>
        <w:rPr>
          <w:rFonts w:ascii="Times New Roman" w:cs="Times New Roman" w:eastAsia="Times New Roman" w:hAnsi="Times New Roman"/>
          <w:sz w:val="22"/>
          <w:szCs w:val="22"/>
          <w:b w:val="1"/>
          <w:bCs w:val="1"/>
          <w:color w:val="auto"/>
        </w:rPr>
        <w:t xml:space="preserve">Withholding Obligations. </w:t>
      </w:r>
      <w:r>
        <w:rPr>
          <w:rFonts w:ascii="Times New Roman" w:cs="Times New Roman" w:eastAsia="Times New Roman" w:hAnsi="Times New Roman"/>
          <w:sz w:val="22"/>
          <w:szCs w:val="22"/>
          <w:color w:val="auto"/>
        </w:rPr>
        <w:t>The following supplements Section 4 of the RSU Award Agreement: As a condition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of your RSU Award, you unconditionally and irrevocably agree:</w:t>
      </w:r>
    </w:p>
    <w:p>
      <w:pPr>
        <w:spacing w:after="0" w:line="1" w:lineRule="exact"/>
        <w:rPr>
          <w:sz w:val="20"/>
          <w:szCs w:val="20"/>
          <w:color w:val="auto"/>
        </w:rPr>
      </w:pPr>
    </w:p>
    <w:p>
      <w:pPr>
        <w:jc w:val="both"/>
        <w:ind w:left="1940" w:hanging="651"/>
        <w:spacing w:after="0" w:line="282" w:lineRule="auto"/>
        <w:tabs>
          <w:tab w:leader="none" w:pos="192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place the Company in funds and indemnify the Company in respect of </w:t>
      </w:r>
      <w:r>
        <w:rPr>
          <w:rFonts w:ascii="Times New Roman" w:cs="Times New Roman" w:eastAsia="Times New Roman" w:hAnsi="Times New Roman"/>
          <w:sz w:val="19"/>
          <w:szCs w:val="19"/>
          <w:color w:val="auto"/>
        </w:rPr>
        <w:t>(1) all liability to UK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which the Company is liable to account for on your behalf directly to HM Revenue &amp; Customs; (2) all liability to national insurance contributions which the Company is liable to account for on your behalf to HM Revenue &amp; Customs (including, to the extent permitted by law, secondary class 1 (employer’s) national insurance contributions for which you are liable and hereby agree to bear); and (3) all</w:t>
      </w:r>
    </w:p>
    <w:p>
      <w:pPr>
        <w:sectPr>
          <w:pgSz w:w="11900" w:h="16838" w:orient="portrait"/>
          <w:cols w:equalWidth="0" w:num="1">
            <w:col w:w="11080"/>
          </w:cols>
          <w:pgMar w:left="480" w:top="585"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940"/>
        <w:spacing w:after="0" w:line="311" w:lineRule="auto"/>
        <w:rPr>
          <w:sz w:val="20"/>
          <w:szCs w:val="20"/>
          <w:color w:val="auto"/>
        </w:rPr>
      </w:pPr>
      <w:r>
        <w:rPr>
          <w:rFonts w:ascii="Times New Roman" w:cs="Times New Roman" w:eastAsia="Times New Roman" w:hAnsi="Times New Roman"/>
          <w:sz w:val="20"/>
          <w:szCs w:val="20"/>
          <w:color w:val="auto"/>
        </w:rPr>
        <w:t>liability to national insurance contributions for which the Company is liable and which are formally transferred to you, which arises as a consequence of or in connection with your RSU Award (the “</w:t>
      </w:r>
      <w:r>
        <w:rPr>
          <w:rFonts w:ascii="Times New Roman" w:cs="Times New Roman" w:eastAsia="Times New Roman" w:hAnsi="Times New Roman"/>
          <w:sz w:val="20"/>
          <w:szCs w:val="20"/>
          <w:b w:val="1"/>
          <w:bCs w:val="1"/>
          <w:i w:val="1"/>
          <w:iCs w:val="1"/>
          <w:color w:val="auto"/>
        </w:rPr>
        <w:t>UK Tax Liability</w:t>
      </w:r>
      <w:r>
        <w:rPr>
          <w:rFonts w:ascii="Times New Roman" w:cs="Times New Roman" w:eastAsia="Times New Roman" w:hAnsi="Times New Roman"/>
          <w:sz w:val="20"/>
          <w:szCs w:val="20"/>
          <w:color w:val="auto"/>
        </w:rPr>
        <w:t>”); or</w:t>
      </w:r>
    </w:p>
    <w:p>
      <w:pPr>
        <w:spacing w:after="0" w:line="47" w:lineRule="exact"/>
        <w:rPr>
          <w:sz w:val="20"/>
          <w:szCs w:val="20"/>
          <w:color w:val="auto"/>
        </w:rPr>
      </w:pPr>
    </w:p>
    <w:p>
      <w:pPr>
        <w:jc w:val="both"/>
        <w:ind w:left="1940" w:hanging="651"/>
        <w:spacing w:after="0" w:line="299" w:lineRule="auto"/>
        <w:tabs>
          <w:tab w:leader="none" w:pos="193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permit the Company to sell at the best price which it can reasonably obtain such number of shares of Common Stock allocated or allotted to you following vesting as will provide the Company with an amount equal to the UK Tax Liability; and to permit the Company to withhold an amount not exceeding the UK Tax Liability from any payment made to you (including, but not limited to salary); and</w:t>
      </w:r>
    </w:p>
    <w:p>
      <w:pPr>
        <w:spacing w:after="0" w:line="52" w:lineRule="exact"/>
        <w:rPr>
          <w:rFonts w:ascii="Times New Roman" w:cs="Times New Roman" w:eastAsia="Times New Roman" w:hAnsi="Times New Roman"/>
          <w:sz w:val="21"/>
          <w:szCs w:val="21"/>
          <w:color w:val="auto"/>
        </w:rPr>
      </w:pPr>
    </w:p>
    <w:p>
      <w:pPr>
        <w:jc w:val="both"/>
        <w:ind w:left="1940" w:hanging="651"/>
        <w:spacing w:after="0" w:line="289" w:lineRule="auto"/>
        <w:tabs>
          <w:tab w:leader="none" w:pos="192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required by the Company, and, to the extent permitted by law, to enter into a joint election or other arrangements under which the liability for all or part of such employer’s national insurance contributions liability is transferred to you; and</w:t>
      </w:r>
    </w:p>
    <w:p>
      <w:pPr>
        <w:spacing w:after="0" w:line="58" w:lineRule="exact"/>
        <w:rPr>
          <w:rFonts w:ascii="Times New Roman" w:cs="Times New Roman" w:eastAsia="Times New Roman" w:hAnsi="Times New Roman"/>
          <w:sz w:val="22"/>
          <w:szCs w:val="22"/>
          <w:color w:val="auto"/>
        </w:rPr>
      </w:pPr>
    </w:p>
    <w:p>
      <w:pPr>
        <w:jc w:val="both"/>
        <w:ind w:left="1940" w:hanging="651"/>
        <w:spacing w:after="0" w:line="282" w:lineRule="auto"/>
        <w:tabs>
          <w:tab w:leader="none" w:pos="192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so required by the Company, to enter into a joint election within Section 431 of (UK) Income Tax (Earnings and Pensions) Act 2003 (“</w:t>
      </w:r>
      <w:r>
        <w:rPr>
          <w:rFonts w:ascii="Times New Roman" w:cs="Times New Roman" w:eastAsia="Times New Roman" w:hAnsi="Times New Roman"/>
          <w:sz w:val="22"/>
          <w:szCs w:val="22"/>
          <w:b w:val="1"/>
          <w:bCs w:val="1"/>
          <w:i w:val="1"/>
          <w:iCs w:val="1"/>
          <w:color w:val="auto"/>
        </w:rPr>
        <w:t>ITEPA</w:t>
      </w:r>
      <w:r>
        <w:rPr>
          <w:rFonts w:ascii="Times New Roman" w:cs="Times New Roman" w:eastAsia="Times New Roman" w:hAnsi="Times New Roman"/>
          <w:sz w:val="22"/>
          <w:szCs w:val="22"/>
          <w:color w:val="auto"/>
        </w:rPr>
        <w:t>”) in respect of computing any tax charge on the acquisition of “restricted securities” (as defined in Section 423 and 424 of ITEPA); and</w:t>
      </w:r>
    </w:p>
    <w:p>
      <w:pPr>
        <w:spacing w:after="0" w:line="80" w:lineRule="exact"/>
        <w:rPr>
          <w:rFonts w:ascii="Times New Roman" w:cs="Times New Roman" w:eastAsia="Times New Roman" w:hAnsi="Times New Roman"/>
          <w:sz w:val="22"/>
          <w:szCs w:val="22"/>
          <w:color w:val="auto"/>
        </w:rPr>
      </w:pPr>
    </w:p>
    <w:p>
      <w:pPr>
        <w:jc w:val="both"/>
        <w:ind w:left="1940" w:hanging="651"/>
        <w:spacing w:after="0" w:line="282" w:lineRule="auto"/>
        <w:tabs>
          <w:tab w:leader="none" w:pos="19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sign, promptly, all documents required by the Company to effect the terms of this provision, and references in this provision to “the Company” shall, if applicable, be construed as also referring to any Affiliate.</w:t>
      </w:r>
    </w:p>
    <w:p>
      <w:pPr>
        <w:spacing w:after="0" w:line="49" w:lineRule="exact"/>
        <w:rPr>
          <w:sz w:val="20"/>
          <w:szCs w:val="20"/>
          <w:color w:val="auto"/>
        </w:rPr>
      </w:pPr>
    </w:p>
    <w:p>
      <w:pPr>
        <w:ind w:firstLine="504"/>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Clawback/Recovery. </w:t>
      </w:r>
      <w:r>
        <w:rPr>
          <w:rFonts w:ascii="Times New Roman" w:cs="Times New Roman" w:eastAsia="Times New Roman" w:hAnsi="Times New Roman"/>
          <w:sz w:val="22"/>
          <w:szCs w:val="22"/>
          <w:color w:val="auto"/>
        </w:rPr>
        <w:t>By executing the RSU Award Agreement, you expressly consent in writing to the application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of recoupment to your RSU Award in accordance with the terms of Section 9(i) of the Plan.</w:t>
      </w:r>
    </w:p>
    <w:p>
      <w:pPr>
        <w:sectPr>
          <w:pgSz w:w="11900" w:h="16838" w:orient="portrait"/>
          <w:cols w:equalWidth="0" w:num="1">
            <w:col w:w="11080"/>
          </w:cols>
          <w:pgMar w:left="480" w:top="58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156970" cy="274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1569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(Last Amended March 1, 2023)</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Asana, Inc., a Delaware corporation (“</w:t>
      </w:r>
      <w:r>
        <w:rPr>
          <w:rFonts w:ascii="Times New Roman" w:cs="Times New Roman" w:eastAsia="Times New Roman" w:hAnsi="Times New Roman"/>
          <w:sz w:val="22"/>
          <w:szCs w:val="22"/>
          <w:b w:val="1"/>
          <w:bCs w:val="1"/>
          <w:i w:val="1"/>
          <w:iCs w:val="1"/>
          <w:color w:val="auto"/>
        </w:rPr>
        <w:t>Asana</w:t>
      </w:r>
      <w:r>
        <w:rPr>
          <w:rFonts w:ascii="Times New Roman" w:cs="Times New Roman" w:eastAsia="Times New Roman" w:hAnsi="Times New Roman"/>
          <w:sz w:val="22"/>
          <w:szCs w:val="22"/>
          <w:color w:val="auto"/>
        </w:rPr>
        <w:t>”), has adopted this Insider Trading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in order to take an active role in the prevention of insider trading violations by our officers, directors, employees, and other related individuals.</w:t>
      </w:r>
    </w:p>
    <w:p>
      <w:pPr>
        <w:spacing w:after="0" w:line="165" w:lineRule="exact"/>
        <w:rPr>
          <w:sz w:val="20"/>
          <w:szCs w:val="20"/>
          <w:color w:val="auto"/>
        </w:rPr>
      </w:pPr>
    </w:p>
    <w:p>
      <w:pPr>
        <w:ind w:left="640" w:hanging="632"/>
        <w:spacing w:after="0"/>
        <w:tabs>
          <w:tab w:leader="none" w:pos="64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Why do we have this Policy?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On a regular basis we provide you, our officers, directors, employees and other related individuals, with confidential information regarding many aspects of our business. Under federal and state securities laws, it is illegal to trade in the securities of a company while in possession of material nonpublic information (as defined in the section titled </w:t>
      </w:r>
      <w:r>
        <w:rPr>
          <w:rFonts w:ascii="Times New Roman" w:cs="Times New Roman" w:eastAsia="Times New Roman" w:hAnsi="Times New Roman"/>
          <w:sz w:val="22"/>
          <w:szCs w:val="22"/>
          <w:i w:val="1"/>
          <w:iCs w:val="1"/>
          <w:color w:val="auto"/>
        </w:rPr>
        <w:t>“What does ‘Material Nonpublic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Information’ mean?” below) </w:t>
      </w:r>
      <w:r>
        <w:rPr>
          <w:rFonts w:ascii="Times New Roman" w:cs="Times New Roman" w:eastAsia="Times New Roman" w:hAnsi="Times New Roman"/>
          <w:sz w:val="22"/>
          <w:szCs w:val="22"/>
          <w:color w:val="auto"/>
        </w:rPr>
        <w:t>about that company. Thus, because you will have knowledge of specific confidential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is not disclosed outside of Asana and which will constitute material nonpublic information, your trading in our securities could constitute “insider trading” and violate the law, as could “tipping” (giving material nonpublic information to) others who then trade on the basis of that information. The consequences of insider trading or the tipping of material nonpublic information can be severe. In fact, the person violating the laws, as well as Asana and our individual directors, officers and other supervisory personnel, may be subject to criminal and civil lawsuits and financial penalties in connection with a violation of the insider trading laws.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Nonpublic information about Asana is subject to your Confidential Information and Invention Assignment Agreement with Asana and is not to be used or disclosed outside of Asana, except as necessary to perform your job duties. Unauthorized disclosure or use of nonpublic information, including misuse in securities trading, will subject you to disciplinary action, up to and including termination of employment. We have adopted this Policy to comply with the laws governing (i) trading in our common stock while in possession of material nonpublic information concerning Asana and (ii) tipping or disclosing material nonpublic information to outsiders, as well as to prevent the appearance of improper trading or tipping. We reserve the right to prohibit any transaction from being completed to enforce compliance with this Policy.</w:t>
      </w:r>
    </w:p>
    <w:p>
      <w:pPr>
        <w:spacing w:after="0" w:line="190"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is our policy on Insider Trading?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Do not trade on material nonpublic information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Whether or not the trading window (as described below) is open and except as discussed in the section titled “</w:t>
      </w:r>
      <w:r>
        <w:rPr>
          <w:rFonts w:ascii="Times New Roman" w:cs="Times New Roman" w:eastAsia="Times New Roman" w:hAnsi="Times New Roman"/>
          <w:sz w:val="22"/>
          <w:szCs w:val="22"/>
          <w:i w:val="1"/>
          <w:iCs w:val="1"/>
          <w:color w:val="auto"/>
        </w:rPr>
        <w:t>Are there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exceptions to this Policy?</w:t>
      </w:r>
      <w:r>
        <w:rPr>
          <w:rFonts w:ascii="Times New Roman" w:cs="Times New Roman" w:eastAsia="Times New Roman" w:hAnsi="Times New Roman"/>
          <w:sz w:val="22"/>
          <w:szCs w:val="22"/>
          <w:color w:val="auto"/>
        </w:rPr>
        <w:t>” below, you may not, directly or indirectly through others, engage in any transaction involving Asana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w:t>
      </w:r>
      <w:r>
        <w:rPr>
          <w:rFonts w:ascii="Times New Roman" w:cs="Times New Roman" w:eastAsia="Times New Roman" w:hAnsi="Times New Roman"/>
          <w:sz w:val="22"/>
          <w:szCs w:val="22"/>
          <w:i w:val="1"/>
          <w:iCs w:val="1"/>
          <w:color w:val="auto"/>
        </w:rPr>
        <w:t>while you are aware of</w:t>
      </w:r>
      <w:r>
        <w:rPr>
          <w:rFonts w:ascii="Times New Roman" w:cs="Times New Roman" w:eastAsia="Times New Roman" w:hAnsi="Times New Roman"/>
          <w:sz w:val="22"/>
          <w:szCs w:val="22"/>
          <w:color w:val="auto"/>
        </w:rPr>
        <w:t xml:space="preserve"> material nonpublic information about Asana. It is not an excuse that you did not “use” the information in deciding whether or not to engage in the transaction.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1</w:t>
      </w:r>
    </w:p>
    <w:p>
      <w:pPr>
        <w:sectPr>
          <w:pgSz w:w="11900" w:h="16838" w:orient="portrait"/>
          <w:cols w:equalWidth="0" w:num="1">
            <w:col w:w="11240"/>
          </w:cols>
          <w:pgMar w:left="320" w:top="117" w:right="339" w:bottom="1440" w:gutter="0" w:footer="0" w:header="0"/>
        </w:sectPr>
      </w:pPr>
    </w:p>
    <w:bookmarkStart w:id="172" w:name="page173"/>
    <w:bookmarkEnd w:id="172"/>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Similarly, you may not engage in transactions involving the securities of any other company if you are aware of material nonpublic information about that company. For example, you may be involved in a proposed transaction involving a prospective business relationship or transaction with another company. If information about that transaction constitutes material nonpublic information for that other company, you are prohibited from engaging in transactions involving the securities of that other company. It is important to note that “materiality” is different for different companies. Information that is not material to Asana may be material to another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Do not disclose material nonpublic information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You may not disclose material nonpublic information concerning Asana or any other company to friends, family members or any other person or entity not authorized to receive such information, except directly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in compliance with Asana’s Ethics and Reporting Policy. Any nonpublic information you acquire in the course of your service with Asana may only be used for legitimate business purposes of Asana. In addition, you are required to handle the nonpublic information of others in accordance with the terms of any relevant nondisclosure agreements, including your Confidential Information and Invention Assignment Agreement with Asana, and to limit your use of the nonpublic information to the purpose for which it was disclosed.</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Even if you are not directly disclosing material nonpublic information, you may not make recommendations or express opinions about securities of another company, Asana or otherwise, based on material nonpublic information. In particular, you may not participate, in any manner other than passive observation, in any Internet message board or social media platform that is related to trading in our securities. You are prohibited from engaging in these actions whether or not you derive any profit or personal benefit from doing so. You should know that third parties are known to contact employees of companies to obtain information about Asana under false pretexts.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Do not respond to outside inquiries for information</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you receive an inquiry for information from someone outside of Asana, such as a stock analyst or media personnel, you should refer the inquiry to our General Counsel or, if our General Counsel is unavailable, our Chief Financial Officer. Responding to a request yourself is a violation of this Policy and, in some circumstances, may lead to disciplinary action, up to and including termination, and may also be a violation of the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Take personal responsibility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ultimate responsibility for complying with this Policy and applicable laws rests with you. As we request you do in all aspects of your work with Asana, please use your best judgment at all times and consult with the General Counsel and/or your legal and financial advisors, in confidence, if you have questions.</w:t>
      </w:r>
    </w:p>
    <w:p>
      <w:pPr>
        <w:spacing w:after="0" w:line="169"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Who does this Policy apply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This Policy applies to all directors, officers, employees and agents (such as consultants and independent contractors) of Asana upon the commencement of their relationship with Asana.</w:t>
      </w:r>
    </w:p>
    <w:p>
      <w:pPr>
        <w:spacing w:after="0" w:line="1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References in this Policy to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(as well as general references to directors, officers, employees and agents of Asana) should also be understood to include, to the extent applicable, members of your immediate family, persons with whom you share a household, your dependents and any other individuals or entities whose transactions in securities you influence, direct or control (including, for example, a venture or investment fund, if you influence, direct or control transactions by the fund). You are responsible for making sure that these individuals and entities comply with this Policy. This Policy is confidential and is subject to your Confidential Information and Invention Assignment Agreement with Asana. Nonetheless, you may share this Policy with your spouse or domestic partner, financial planner, tax advisor, or attorney on a need-to-know basis, provided the confidentiality obligations are maintained (i.e., those persons do not use this Policy in any manner other than to advise you, and they do not further disseminate this Policy).</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You are expected to comply with this Policy as long as you hold our securities or possess any material nonpublic information about Asana. This means that, even after you cease to be affiliated with Asana, you must continue to abide by the applicable trading restrictions until you no longer have material nonpublic information. </w:t>
      </w:r>
      <w:r>
        <w:rPr>
          <w:rFonts w:ascii="Times New Roman" w:cs="Times New Roman" w:eastAsia="Times New Roman" w:hAnsi="Times New Roman"/>
          <w:sz w:val="22"/>
          <w:szCs w:val="22"/>
          <w:i w:val="1"/>
          <w:iCs w:val="1"/>
          <w:color w:val="auto"/>
        </w:rPr>
        <w:t>In addition, if you are subject to a closed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window under this Policy at the time you cease to be affiliated with Asana, you are expected to abide by the applicable trading restrictions until at least the end of the relevant closed trading window.</w:t>
      </w:r>
    </w:p>
    <w:p>
      <w:pPr>
        <w:spacing w:after="0" w:line="175"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types of transactions are covered by this Policy?</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Policy applies to all transactions involving our securities. This Policy therefore applies to purchases, sales and other transfers of our common stock, options, restricted stock units, warrants, debt securities and other securities.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Although there are limited exceptions to this Policy (described in “</w:t>
      </w:r>
      <w:r>
        <w:rPr>
          <w:rFonts w:ascii="Times New Roman" w:cs="Times New Roman" w:eastAsia="Times New Roman" w:hAnsi="Times New Roman"/>
          <w:sz w:val="21"/>
          <w:szCs w:val="21"/>
          <w:i w:val="1"/>
          <w:iCs w:val="1"/>
          <w:color w:val="auto"/>
        </w:rPr>
        <w:t>Are there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exceptions to this Policy?</w:t>
      </w:r>
      <w:r>
        <w:rPr>
          <w:rFonts w:ascii="Times New Roman" w:cs="Times New Roman" w:eastAsia="Times New Roman" w:hAnsi="Times New Roman"/>
          <w:sz w:val="21"/>
          <w:szCs w:val="21"/>
          <w:color w:val="auto"/>
        </w:rPr>
        <w:t>” below), please note that there are no exceptions from insider trading laws or this Policy based 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size of the transaction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this policy applies whether a trade involves one or 10,000 shares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Transactions that are Strictly Prohibited or Require Special Consideration</w:t>
      </w:r>
    </w:p>
    <w:p>
      <w:pPr>
        <w:spacing w:after="0" w:line="229" w:lineRule="exact"/>
        <w:rPr>
          <w:sz w:val="20"/>
          <w:szCs w:val="20"/>
          <w:color w:val="auto"/>
        </w:rPr>
      </w:pPr>
    </w:p>
    <w:p>
      <w:pPr>
        <w:jc w:val="both"/>
        <w:ind w:left="660" w:hanging="328"/>
        <w:spacing w:after="0" w:line="253" w:lineRule="auto"/>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 Sales</w:t>
      </w:r>
      <w:r>
        <w:rPr>
          <w:rFonts w:ascii="Times New Roman" w:cs="Times New Roman" w:eastAsia="Times New Roman" w:hAnsi="Times New Roman"/>
          <w:sz w:val="22"/>
          <w:szCs w:val="22"/>
          <w:color w:val="auto"/>
        </w:rPr>
        <w:t>. You may not engage in short sales (i.e.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sale of a security that must be borrowed to make delivery) or “sell short against the box” (i.e.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sell with a delayed delivery) if such sales involve our securities. Short sales may signal to the market possible bad news about Asana or a general lack of confidence in our prospects and an expectation that the value of our securities will decline.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8" w:lineRule="exact"/>
        <w:rPr>
          <w:sz w:val="20"/>
          <w:szCs w:val="20"/>
          <w:color w:val="auto"/>
        </w:rPr>
      </w:pPr>
    </w:p>
    <w:p>
      <w:pPr>
        <w:jc w:val="both"/>
        <w:ind w:left="660" w:hanging="328"/>
        <w:spacing w:after="0" w:line="256" w:lineRule="auto"/>
        <w:tabs>
          <w:tab w:leader="none" w:pos="6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Derivative or Hedging Transactions</w:t>
      </w:r>
      <w:r>
        <w:rPr>
          <w:rFonts w:ascii="Times New Roman" w:cs="Times New Roman" w:eastAsia="Times New Roman" w:hAnsi="Times New Roman"/>
          <w:sz w:val="22"/>
          <w:szCs w:val="22"/>
          <w:color w:val="auto"/>
        </w:rPr>
        <w:t>. You may not engage in derivative securities or hedging transactions. You may not trade in publicly-traded options, such as puts and calls, and other derivative securities with respect to our securities (other than stock options and other compensatory equity awards issued to you by Asana). This includes any hedging or similar transactions designed to decrease the risks associated with holding our common stock.</w:t>
      </w:r>
    </w:p>
    <w:p>
      <w:pPr>
        <w:spacing w:after="0" w:line="17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Collateral</w:t>
      </w:r>
      <w:r>
        <w:rPr>
          <w:rFonts w:ascii="Times New Roman" w:cs="Times New Roman" w:eastAsia="Times New Roman" w:hAnsi="Times New Roman"/>
          <w:sz w:val="21"/>
          <w:szCs w:val="21"/>
          <w:color w:val="auto"/>
        </w:rPr>
        <w:t>. You may not use our securities as collateral for loans. You may not pledge our securities as collateral for loans.</w:t>
      </w:r>
    </w:p>
    <w:p>
      <w:pPr>
        <w:spacing w:after="0" w:line="231" w:lineRule="exact"/>
        <w:rPr>
          <w:rFonts w:ascii="Times New Roman" w:cs="Times New Roman" w:eastAsia="Times New Roman" w:hAnsi="Times New Roman"/>
          <w:sz w:val="21"/>
          <w:szCs w:val="21"/>
          <w:color w:val="auto"/>
        </w:rPr>
      </w:pPr>
    </w:p>
    <w:p>
      <w:pPr>
        <w:ind w:left="660" w:hanging="328"/>
        <w:spacing w:after="0" w:line="271" w:lineRule="auto"/>
        <w:tabs>
          <w:tab w:leader="none" w:pos="6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Accounts</w:t>
      </w:r>
      <w:r>
        <w:rPr>
          <w:rFonts w:ascii="Times New Roman" w:cs="Times New Roman" w:eastAsia="Times New Roman" w:hAnsi="Times New Roman"/>
          <w:sz w:val="22"/>
          <w:szCs w:val="22"/>
          <w:color w:val="auto"/>
        </w:rPr>
        <w:t>. You may not hold our common stock in margin accounts because your broker may sell securities held in the margin account during a closed trading window.</w:t>
      </w:r>
    </w:p>
    <w:p>
      <w:pPr>
        <w:spacing w:after="0" w:line="157" w:lineRule="exact"/>
        <w:rPr>
          <w:rFonts w:ascii="Times New Roman" w:cs="Times New Roman" w:eastAsia="Times New Roman" w:hAnsi="Times New Roman"/>
          <w:sz w:val="22"/>
          <w:szCs w:val="22"/>
          <w:color w:val="auto"/>
        </w:rPr>
      </w:pPr>
    </w:p>
    <w:p>
      <w:pPr>
        <w:jc w:val="both"/>
        <w:ind w:left="660" w:hanging="328"/>
        <w:spacing w:after="0" w:line="256" w:lineRule="auto"/>
        <w:tabs>
          <w:tab w:leader="none" w:pos="66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Open Orders</w:t>
      </w:r>
      <w:r>
        <w:rPr>
          <w:rFonts w:ascii="Times New Roman" w:cs="Times New Roman" w:eastAsia="Times New Roman" w:hAnsi="Times New Roman"/>
          <w:sz w:val="22"/>
          <w:szCs w:val="22"/>
          <w:color w:val="auto"/>
        </w:rPr>
        <w:t>. You should exercise caution when placing open orders, such as limit orders or stop orders, with brokers, particularly where the order is likely to remain outstanding for an extended period of time. Open orders may result in the execution of a trade during a closed trading window, which may result in inadvertent insider trading in violation of this Policy.</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does “Material Nonpublic Information” mean?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Information is “material” if a reasonable investor would consider it important in making a decision to buy, sell, or retain our common stock. In general, any information that could reasonably be expected to affect the market price of our securities is likely to be material. Both positive and negative information may be material.</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Information is “nonpublic” until it has been widely disseminated to the public (through, for example, an SEC filing, press conference, or release), and the public has had a chance to absorb and evaluate it. Unless you have seen material information publicly disseminated, you should assume the information is nonpublic.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Examples of information that would normally be regarded as “material” include, but are not limited to, the following:</w:t>
      </w:r>
    </w:p>
    <w:p>
      <w:pPr>
        <w:spacing w:after="0" w:line="233" w:lineRule="exact"/>
        <w:rPr>
          <w:sz w:val="20"/>
          <w:szCs w:val="20"/>
          <w:color w:val="auto"/>
        </w:rPr>
      </w:pPr>
    </w:p>
    <w:p>
      <w:pPr>
        <w:ind w:left="660" w:hanging="328"/>
        <w:spacing w:after="0" w:line="254" w:lineRule="auto"/>
        <w:tabs>
          <w:tab w:leader="none" w:pos="696"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financial results, financial condition, projections, or forecasts, including, but not limited to, daily, weekly, monthly revenue, churn rate and ARR numbers;</w:t>
      </w: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known but unannounced earnings or losses;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known but unannounced other information periodically disclosed in our SEC filings;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plans to launch new products or features or other market initiatives of a significant nature;</w:t>
      </w:r>
    </w:p>
    <w:p>
      <w:pPr>
        <w:spacing w:after="0" w:line="6"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the status of our progress toward achieving significant financial goals;</w:t>
      </w:r>
    </w:p>
    <w:p>
      <w:pPr>
        <w:spacing w:after="0" w:line="1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developments involving business relationships with customers or other business partners;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corporate events, such as a pending or proposed acquisition;</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new equity or debt offerings;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positive or negative developments in outstanding litigation or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4</w:t>
      </w:r>
    </w:p>
    <w:p>
      <w:pPr>
        <w:sectPr>
          <w:pgSz w:w="11900" w:h="16838" w:orient="portrait"/>
          <w:cols w:equalWidth="0" w:num="1">
            <w:col w:w="11240"/>
          </w:cols>
          <w:pgMar w:left="320" w:top="1440" w:right="339" w:bottom="1440" w:gutter="0" w:footer="0" w:header="0"/>
        </w:sectPr>
      </w:pPr>
    </w:p>
    <w:bookmarkStart w:id="175" w:name="page176"/>
    <w:bookmarkEnd w:id="175"/>
    <w:p>
      <w:pPr>
        <w:ind w:left="660" w:hanging="328"/>
        <w:spacing w:after="0"/>
        <w:tabs>
          <w:tab w:leader="none" w:pos="66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significant breach in security of information technology systems; or</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81"/>
        </w:numPr>
        <w:rPr>
          <w:rFonts w:ascii="Arial" w:cs="Arial" w:eastAsia="Arial" w:hAnsi="Arial"/>
          <w:sz w:val="22"/>
          <w:szCs w:val="22"/>
          <w:color w:val="auto"/>
        </w:rPr>
      </w:pPr>
      <w:r>
        <w:rPr>
          <w:rFonts w:ascii="Times New Roman" w:cs="Times New Roman" w:eastAsia="Times New Roman" w:hAnsi="Times New Roman"/>
          <w:sz w:val="22"/>
          <w:szCs w:val="22"/>
          <w:color w:val="auto"/>
        </w:rPr>
        <w:t>known but unannounced changes in our senior management or our Board of Directors.</w:t>
      </w:r>
    </w:p>
    <w:p>
      <w:pPr>
        <w:spacing w:after="0" w:line="19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Financial information is particularly sensitive. For example, nonpublic information about the results of our operations for even a portion of a quarter might be material in helping an analyst predict our results of operations for the quarter.</w:t>
      </w:r>
    </w:p>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When in doubt, you should assume that the information is both material and nonpublic. If you have any questions as to whether information should be considered material or nonpublic, please consult with the General Counsel.</w:t>
      </w:r>
    </w:p>
    <w:p>
      <w:pPr>
        <w:spacing w:after="0" w:line="154" w:lineRule="exact"/>
        <w:rPr>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may I trade in Asana’s common stock?</w:t>
      </w:r>
    </w:p>
    <w:p>
      <w:pPr>
        <w:spacing w:after="0" w:line="22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Even if you are not in possession of any material nonpublic information, you may only trade in our common stock if all of the following conditions have been met:</w:t>
      </w:r>
    </w:p>
    <w:p>
      <w:pPr>
        <w:spacing w:after="0" w:line="63" w:lineRule="exact"/>
        <w:rPr>
          <w:sz w:val="20"/>
          <w:szCs w:val="20"/>
          <w:color w:val="auto"/>
        </w:rPr>
      </w:pPr>
    </w:p>
    <w:p>
      <w:pPr>
        <w:jc w:val="both"/>
        <w:ind w:left="660" w:hanging="328"/>
        <w:spacing w:after="0" w:line="251" w:lineRule="auto"/>
        <w:tabs>
          <w:tab w:leader="none" w:pos="651" w:val="left"/>
        </w:tabs>
        <w:numPr>
          <w:ilvl w:val="0"/>
          <w:numId w:val="83"/>
        </w:numPr>
        <w:rPr>
          <w:rFonts w:ascii="Arial" w:cs="Arial" w:eastAsia="Arial" w:hAnsi="Arial"/>
          <w:sz w:val="14"/>
          <w:szCs w:val="14"/>
          <w:color w:val="auto"/>
        </w:rPr>
      </w:pPr>
      <w:r>
        <w:rPr>
          <w:rFonts w:ascii="Times New Roman" w:cs="Times New Roman" w:eastAsia="Times New Roman" w:hAnsi="Times New Roman"/>
          <w:sz w:val="22"/>
          <w:szCs w:val="22"/>
          <w:u w:val="single" w:color="auto"/>
          <w:color w:val="auto"/>
        </w:rPr>
        <w:t>Open Trading Window</w:t>
      </w:r>
      <w:r>
        <w:rPr>
          <w:rFonts w:ascii="Times New Roman" w:cs="Times New Roman" w:eastAsia="Times New Roman" w:hAnsi="Times New Roman"/>
          <w:sz w:val="22"/>
          <w:szCs w:val="22"/>
          <w:color w:val="auto"/>
        </w:rPr>
        <w:t>. You may only engage in transactions involving our common stock during an open trading window. Our trading window will typically open at the end of the first full trading day following the date our quarterly financial results are publicly disclosed and continue through the end of the last calendar day of the second month of the quarter. In addition to regular quarterly closed trading windows, there may be additional closed trading windows when appropriate due to certain events. We will notify you whenever a special closed trading window goes into effect that applies to you. See “</w:t>
      </w:r>
      <w:r>
        <w:rPr>
          <w:rFonts w:ascii="Times New Roman" w:cs="Times New Roman" w:eastAsia="Times New Roman" w:hAnsi="Times New Roman"/>
          <w:sz w:val="22"/>
          <w:szCs w:val="22"/>
          <w:i w:val="1"/>
          <w:iCs w:val="1"/>
          <w:color w:val="auto"/>
        </w:rPr>
        <w:t>When is our Open and Closed Trading Window Period?</w:t>
      </w:r>
      <w:r>
        <w:rPr>
          <w:rFonts w:ascii="Times New Roman" w:cs="Times New Roman" w:eastAsia="Times New Roman" w:hAnsi="Times New Roman"/>
          <w:sz w:val="22"/>
          <w:szCs w:val="22"/>
          <w:color w:val="auto"/>
        </w:rPr>
        <w:t>” below.</w:t>
      </w:r>
    </w:p>
    <w:p>
      <w:pPr>
        <w:spacing w:after="0" w:line="113" w:lineRule="exact"/>
        <w:rPr>
          <w:rFonts w:ascii="Arial" w:cs="Arial" w:eastAsia="Arial" w:hAnsi="Arial"/>
          <w:sz w:val="14"/>
          <w:szCs w:val="14"/>
          <w:color w:val="auto"/>
        </w:rPr>
      </w:pPr>
    </w:p>
    <w:p>
      <w:pPr>
        <w:jc w:val="both"/>
        <w:ind w:left="660" w:hanging="328"/>
        <w:spacing w:after="0" w:line="251" w:lineRule="auto"/>
        <w:tabs>
          <w:tab w:leader="none" w:pos="651" w:val="left"/>
        </w:tabs>
        <w:numPr>
          <w:ilvl w:val="0"/>
          <w:numId w:val="83"/>
        </w:numPr>
        <w:rPr>
          <w:rFonts w:ascii="Arial" w:cs="Arial" w:eastAsia="Arial" w:hAnsi="Arial"/>
          <w:sz w:val="14"/>
          <w:szCs w:val="14"/>
          <w:color w:val="auto"/>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xml:space="preserve">. If you are a member of the Board or an executive officer of Asana, you must receive pre-clearance from the General Counsel of your proposed trade (please see attached form). From time to time, the General Counsel may identify other persons who require pre-clearance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the Policy. The General Counsel may not engage in a transaction involving our common stock unless the Chief Financial Officer has pre-cleared the transaction. The General Counsel and the Chief Financial Officer are under no obligation to approve a transaction submitted for pre-clearance and may determine not to permit the transaction.</w:t>
      </w:r>
    </w:p>
    <w:p>
      <w:pPr>
        <w:spacing w:after="0" w:line="113" w:lineRule="exact"/>
        <w:rPr>
          <w:rFonts w:ascii="Arial" w:cs="Arial" w:eastAsia="Arial" w:hAnsi="Arial"/>
          <w:sz w:val="14"/>
          <w:szCs w:val="14"/>
          <w:color w:val="auto"/>
        </w:rPr>
      </w:pPr>
    </w:p>
    <w:p>
      <w:pPr>
        <w:jc w:val="both"/>
        <w:ind w:left="660" w:hanging="328"/>
        <w:spacing w:after="0" w:line="248" w:lineRule="auto"/>
        <w:tabs>
          <w:tab w:leader="none" w:pos="651" w:val="left"/>
        </w:tabs>
        <w:numPr>
          <w:ilvl w:val="0"/>
          <w:numId w:val="83"/>
        </w:numPr>
        <w:rPr>
          <w:rFonts w:ascii="Arial" w:cs="Arial" w:eastAsia="Arial" w:hAnsi="Arial"/>
          <w:sz w:val="14"/>
          <w:szCs w:val="14"/>
          <w:color w:val="auto"/>
        </w:rPr>
      </w:pPr>
      <w:r>
        <w:rPr>
          <w:rFonts w:ascii="Times New Roman" w:cs="Times New Roman" w:eastAsia="Times New Roman" w:hAnsi="Times New Roman"/>
          <w:sz w:val="22"/>
          <w:szCs w:val="22"/>
          <w:u w:val="single" w:color="auto"/>
          <w:color w:val="auto"/>
        </w:rPr>
        <w:t>10b5-1 Plan</w:t>
      </w:r>
      <w:r>
        <w:rPr>
          <w:rFonts w:ascii="Times New Roman" w:cs="Times New Roman" w:eastAsia="Times New Roman" w:hAnsi="Times New Roman"/>
          <w:sz w:val="22"/>
          <w:szCs w:val="22"/>
          <w:color w:val="auto"/>
        </w:rPr>
        <w:t>. The SEC has enacted rules that provide an affirmative defense against alleged violations of U.S. federal insider trading laws for transactions made pursuant to trading plans that meet certain requirements, commonly referred to as “10b5-1 trading plans.” These trading plans must be entered into when you are not aware of material nonpublic information, when there is no quarterly closed trading window (discussed below) in effect, when you meet the requirements set forth in Rule 10b5-1 promulgated under the Securities Exchange Act of 1934, as amended (“</w:t>
      </w:r>
      <w:r>
        <w:rPr>
          <w:rFonts w:ascii="Times New Roman" w:cs="Times New Roman" w:eastAsia="Times New Roman" w:hAnsi="Times New Roman"/>
          <w:sz w:val="22"/>
          <w:szCs w:val="22"/>
          <w:b w:val="1"/>
          <w:bCs w:val="1"/>
          <w:i w:val="1"/>
          <w:iCs w:val="1"/>
          <w:color w:val="auto"/>
        </w:rPr>
        <w:t>Rule 10b5-1</w:t>
      </w:r>
      <w:r>
        <w:rPr>
          <w:rFonts w:ascii="Times New Roman" w:cs="Times New Roman" w:eastAsia="Times New Roman" w:hAnsi="Times New Roman"/>
          <w:sz w:val="22"/>
          <w:szCs w:val="22"/>
          <w:color w:val="auto"/>
        </w:rPr>
        <w:t>”), when you meet those specific requirements or guidelines established by Asana for such plans, and such plans are pre-approved by the General Counsel. Transactions made pursuant to a 10b5-1 trading plan are not subject to the restrictions in this Policy, even if you are aware of material nonpublic information at the time of the transaction or a closed trading window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5</w:t>
      </w:r>
    </w:p>
    <w:p>
      <w:pPr>
        <w:sectPr>
          <w:pgSz w:w="11900" w:h="16838" w:orient="portrait"/>
          <w:cols w:equalWidth="0" w:num="1">
            <w:col w:w="11240"/>
          </w:cols>
          <w:pgMar w:left="320" w:top="1422" w:right="339" w:bottom="1440" w:gutter="0" w:footer="0" w:header="0"/>
        </w:sectPr>
      </w:pPr>
    </w:p>
    <w:bookmarkStart w:id="176" w:name="page177"/>
    <w:bookmarkEnd w:id="176"/>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Executives and directors are encouraged, should they wish to trade in our common stock, to do so via a 10b5-1 Plan, subject to such plans meeting those specific requirements or guidelines established by Asana and Rule 10b5-1. Anyone else desiring to trade via such a plan may also do so, subject to that plan meeting any specific requirements or guidelines established by Asana and Rule 10b5-1. Trading plans must be pre-approved by and filed with the General Counsel and contain such certifications and representations specified under the guidelines established by Asana and under the requirements of Rule 10b5-1, and must comply with any other criteria established by Asana.</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If you do not follow the above requirements, you may be subject to disciplinary action, up to and including termination of your relationship with Asana, as well as civil and criminal penalties as described in the section titled “</w:t>
      </w:r>
      <w:r>
        <w:rPr>
          <w:rFonts w:ascii="Times New Roman" w:cs="Times New Roman" w:eastAsia="Times New Roman" w:hAnsi="Times New Roman"/>
          <w:sz w:val="22"/>
          <w:szCs w:val="22"/>
          <w:i w:val="1"/>
          <w:iCs w:val="1"/>
          <w:color w:val="auto"/>
        </w:rPr>
        <w:t>What are the consequences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 below.</w:t>
      </w:r>
    </w:p>
    <w:p>
      <w:pPr>
        <w:spacing w:after="0" w:line="169"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is our Open and Closed Trading Window Period?</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To limit the likelihood of trading at times when there is a significant risk of insider trading exposure, we have instituted quarterly trading open and closed windows and may institute special additional closed trading windows from time to time. Whether or not a closed trading window is in effect, you must comply with this Policy and may not trade on the basis of material nonpublic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Quarterly Closed Trading Windows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Except as discussed in the section titled “</w:t>
      </w:r>
      <w:r>
        <w:rPr>
          <w:rFonts w:ascii="Times New Roman" w:cs="Times New Roman" w:eastAsia="Times New Roman" w:hAnsi="Times New Roman"/>
          <w:sz w:val="22"/>
          <w:szCs w:val="22"/>
          <w:i w:val="1"/>
          <w:iCs w:val="1"/>
          <w:color w:val="auto"/>
        </w:rPr>
        <w:t>Are there any exceptions to this Policy?</w:t>
      </w:r>
      <w:r>
        <w:rPr>
          <w:rFonts w:ascii="Times New Roman" w:cs="Times New Roman" w:eastAsia="Times New Roman" w:hAnsi="Times New Roman"/>
          <w:sz w:val="22"/>
          <w:szCs w:val="22"/>
          <w:color w:val="auto"/>
        </w:rPr>
        <w:t>,” officers, directors, employees, and agents may not engage in transactions involving our common stock during quarterly closed trading windows. Quarterly closed trading windows begin at the end of the last calendar day of the second month of each fiscal quarter and continue until the end of the first full trading day following the date of public disclosure of our financial results for that fiscal quarter. This defined period is a particularly sensitive time for transactions involving our common stock from the perspective of compliance with applicable securities laws due to the fact that, during this period, individuals may often possess or have access to material nonpublic information relevant to the expected financial results for the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Special Closed Trading Windows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From time to time, we may also implement additional closed trading windows when, in the judgment of the General Counsel, a closing of the trading window is warranted. We will generally impose special closed trading windows when there are material developments known to us that have not yet been disclosed to the public. For example, we may impose a special closed trading window in anticipation of announcing interim earnings guidance or a significant transaction or business development. However, special closed trading windows may be declared for any reason and at any time.</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We will notify you if you are subject to a special closed trading window. If you receive this notification, you may not disclose to others the fact that you are subject to the special closed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98" w:lineRule="exact"/>
        <w:rPr>
          <w:sz w:val="20"/>
          <w:szCs w:val="20"/>
          <w:color w:val="auto"/>
        </w:rPr>
      </w:pPr>
    </w:p>
    <w:p>
      <w:pPr>
        <w:ind w:right="500"/>
        <w:spacing w:after="0" w:line="448" w:lineRule="auto"/>
        <w:rPr>
          <w:sz w:val="20"/>
          <w:szCs w:val="20"/>
          <w:color w:val="auto"/>
        </w:rPr>
      </w:pPr>
      <w:r>
        <w:rPr>
          <w:rFonts w:ascii="Times New Roman" w:cs="Times New Roman" w:eastAsia="Times New Roman" w:hAnsi="Times New Roman"/>
          <w:sz w:val="22"/>
          <w:szCs w:val="22"/>
          <w:color w:val="auto"/>
        </w:rPr>
        <w:t xml:space="preserve">trading window and may not engage in any transaction involving our common stock until approved by the General Counsel. </w:t>
      </w:r>
      <w:r>
        <w:rPr>
          <w:rFonts w:ascii="Times New Roman" w:cs="Times New Roman" w:eastAsia="Times New Roman" w:hAnsi="Times New Roman"/>
          <w:sz w:val="22"/>
          <w:szCs w:val="22"/>
          <w:u w:val="single" w:color="auto"/>
          <w:color w:val="auto"/>
        </w:rPr>
        <w:t>Regulation BTR Closed Trading Restrictions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Directors and executives may also be subject to trading restrictions pursuant to Regulation Blackout Trading Restriction (“</w:t>
      </w:r>
      <w:r>
        <w:rPr>
          <w:rFonts w:ascii="Times New Roman" w:cs="Times New Roman" w:eastAsia="Times New Roman" w:hAnsi="Times New Roman"/>
          <w:sz w:val="22"/>
          <w:szCs w:val="22"/>
          <w:b w:val="1"/>
          <w:bCs w:val="1"/>
          <w:i w:val="1"/>
          <w:iCs w:val="1"/>
          <w:color w:val="auto"/>
        </w:rPr>
        <w:t>Regulation BTR</w:t>
      </w:r>
      <w:r>
        <w:rPr>
          <w:rFonts w:ascii="Times New Roman" w:cs="Times New Roman" w:eastAsia="Times New Roman" w:hAnsi="Times New Roman"/>
          <w:sz w:val="22"/>
          <w:szCs w:val="22"/>
          <w:color w:val="auto"/>
        </w:rPr>
        <w:t>”) under U.S. federal securities laws. In general, Regulation BTR prohibits any director or executive from engaging in certain transactions involving our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Asana, regardless of the intentions of the director or executive affecting the transaction. In addition, individuals who engage in such transactions are subject to sanction by the SEC as well as potential criminal liability.</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Asana will notify directors and executives if they are subject to a trading restriction under Regulation BTR. Failure to comply with an applicable trading restriction in accordance with Regulation BTR is a violation of law and this Policy.</w:t>
      </w:r>
    </w:p>
    <w:p>
      <w:pPr>
        <w:spacing w:after="0" w:line="154"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Are there any exceptions to this Policy?</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Yes, there are limited exceptions to this Policy, which are described below. Please note that there may be instances where you suffer financial harm or other hardship or are otherwise required to forgo a planned transaction because of the restrictions imposed by this Policy. Personal financial emergency or other personal circumstances are not mitigating factors under securities laws and will not excuse a failure to comply with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Receipt, Vesting, and Exercise of Stock Awards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the acceptance or purchase of stock options, restricted stock, restricted stock units or the like issued or offered directly by Asana, nor do they apply to the vesting, cancellation, forfeiture of stock options, restricted stock, restricted stock units or stock appreciation rights or the acquisition or repurchase of shares pursuant to option exercises under our option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Sale of Shares to Cover Tax Withholdings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the sale of shares of our common stock issued upon vesting of restricted stock units for the limited purpose of covering tax withholding obligations (and any associated broker or other fees), provided that, prior to such sale, you irrevocably elect to sell such shares to cover tax withholding obligations in a manner approved by the General Counsel.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Purchases from our Employee Stock Purchase Plan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elections with respect to participation in our employee stock purchase plan or to purchases of our common stock under such plans. However, the trading restrictions do apply to subsequent sales of our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Stock Splits, Stock Dividends, and Similar Transactions</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Bona Fide Gifts, Inheritance, or Change in Form of Ownership</w:t>
      </w:r>
    </w:p>
    <w:p>
      <w:pPr>
        <w:spacing w:after="0" w:line="23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The trading restrictions under this Policy do not apply to bona fide gifts involving our securities, transfers by will or the laws of descent and distribution, or transfers for tax planning purposes in which your beneficial ownership and pecuniary interest in the transferred securities does not change. Some transactions that involve merely a change in the form in which you own securities may be permitted.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Exceptions</w:t>
      </w:r>
    </w:p>
    <w:p>
      <w:pPr>
        <w:spacing w:after="0" w:line="2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Any other exception from this Policy must be approved by the General Counsel in consultation with the Audit Committee or the Nominating &amp; Corporate Governance Committee, as appropriate.</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Please be aware that even if a transaction falls within one of the exceptions described above, you will need to separately assess whether the transaction complies with applicable law. If you have any questions, please consult with the General Counsel.</w:t>
      </w:r>
    </w:p>
    <w:p>
      <w:pPr>
        <w:spacing w:after="0" w:line="154"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are the consequences of Insider Trading?</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Penalties for violating insider trading laws can include disgorging profit made or loss avoided by trading, paying the loss suffered by the persons who purchased securities from, or sold securities to, the insider tippee, paying civil and/or criminal penalties and/or serving a jail or prison term. Asana and/or supervisors of the person violating the rules may also be required to pay civil or criminal penalties and could be subject to private lawsuits.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 violation of this Policy is not necessarily a violation of law. In fact, for reasons explained in this Policy, it is not necessary for us to wait for the filing or conclusion of any civil or criminal action against an alleged violator before taking disciplinary action as your employer. In addition, please remember that we may prohibit a transaction from being completed to enforce compliance with this Policy.</w:t>
      </w:r>
    </w:p>
    <w:p>
      <w:pPr>
        <w:spacing w:after="0" w:line="172"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should I do if I suspect that this Policy has been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Please promptly report violations or suspected violations of this Policy to the General Counsel. You may also report via Asana’s Ethics Helpline.</w:t>
      </w:r>
    </w:p>
    <w:p>
      <w:pPr>
        <w:spacing w:after="0" w:line="154"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Priority of Statutory or Regulatory Trading Restrictions</w:t>
      </w:r>
    </w:p>
    <w:p>
      <w:pPr>
        <w:spacing w:after="0" w:line="2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trading prohibitions and restrictions set forth in this Policy will be superseded by any greater prohibitions or restrictions prescribed by federal or state securities laws and regulations, or contractual restrictions on the sale of securities.</w:t>
      </w:r>
    </w:p>
    <w:p>
      <w:pPr>
        <w:spacing w:after="0" w:line="15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We are committed to continuously reviewing and updating our policies, and we therefore reserve the right to amend this Policy at any time, for any reason, subject to applicable law.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9</w:t>
      </w:r>
    </w:p>
    <w:p>
      <w:pPr>
        <w:sectPr>
          <w:pgSz w:w="11900" w:h="16838" w:orient="portrait"/>
          <w:cols w:equalWidth="0" w:num="1">
            <w:col w:w="11240"/>
          </w:cols>
          <w:pgMar w:left="320" w:top="1440" w:right="339" w:bottom="1440" w:gutter="0" w:footer="0" w:header="0"/>
        </w:sectPr>
      </w:pPr>
    </w:p>
    <w:bookmarkStart w:id="180" w:name="page181"/>
    <w:bookmarkEnd w:id="180"/>
    <w:p>
      <w:pPr>
        <w:ind w:left="496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INDIVIDUALS SUBJECT TO</w:t>
      </w:r>
    </w:p>
    <w:p>
      <w:pPr>
        <w:spacing w:after="0" w:line="32" w:lineRule="exact"/>
        <w:rPr>
          <w:sz w:val="20"/>
          <w:szCs w:val="20"/>
          <w:color w:val="auto"/>
        </w:rPr>
      </w:pPr>
    </w:p>
    <w:p>
      <w:pPr>
        <w:jc w:val="right"/>
        <w:ind w:right="2659"/>
        <w:spacing w:after="0"/>
        <w:rPr>
          <w:sz w:val="20"/>
          <w:szCs w:val="20"/>
          <w:color w:val="auto"/>
        </w:rPr>
      </w:pPr>
      <w:r>
        <w:rPr>
          <w:rFonts w:ascii="Times New Roman" w:cs="Times New Roman" w:eastAsia="Times New Roman" w:hAnsi="Times New Roman"/>
          <w:sz w:val="22"/>
          <w:szCs w:val="22"/>
          <w:b w:val="1"/>
          <w:bCs w:val="1"/>
          <w:color w:val="auto"/>
        </w:rPr>
        <w:t>PRE-CLEARANCE REQUIREMENTS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Members of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members of Company Planning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 Marketing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 Controller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 FP&amp;A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Head of Revenue</w:t>
      </w:r>
    </w:p>
    <w:p>
      <w:pPr>
        <w:spacing w:after="0" w:line="4" w:lineRule="exact"/>
        <w:rPr>
          <w:sz w:val="20"/>
          <w:szCs w:val="20"/>
          <w:color w:val="auto"/>
        </w:rPr>
      </w:pPr>
    </w:p>
    <w:p>
      <w:pPr>
        <w:ind w:right="4159"/>
        <w:spacing w:after="0" w:line="271" w:lineRule="auto"/>
        <w:rPr>
          <w:sz w:val="20"/>
          <w:szCs w:val="20"/>
          <w:color w:val="auto"/>
        </w:rPr>
      </w:pPr>
      <w:r>
        <w:rPr>
          <w:rFonts w:ascii="Times New Roman" w:cs="Times New Roman" w:eastAsia="Times New Roman" w:hAnsi="Times New Roman"/>
          <w:sz w:val="21"/>
          <w:szCs w:val="21"/>
          <w:color w:val="auto"/>
        </w:rPr>
        <w:t>Administrative Business Partners to CEO, CFO, COO, and GC Asanas listed in the pre-clearance project maintained by Asana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(Amended March 1, 2023)</w:t>
        <w:tab/>
        <w:t>10</w:t>
      </w:r>
    </w:p>
    <w:p>
      <w:pPr>
        <w:sectPr>
          <w:pgSz w:w="11900" w:h="16838" w:orient="portrait"/>
          <w:cols w:equalWidth="0" w:num="1">
            <w:col w:w="10139"/>
          </w:cols>
          <w:pgMar w:left="320" w:top="1418" w:right="1440" w:bottom="1440" w:gutter="0" w:footer="0" w:header="0"/>
        </w:sectPr>
      </w:pPr>
    </w:p>
    <w:bookmarkStart w:id="181" w:name="page182"/>
    <w:bookmarkEnd w:id="181"/>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ASANA,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PRE-CLEARANCE CHECKLIST AND CERTIFICATION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Name of Person Proposing to Trade:</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Purchase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-148590</wp:posOffset>
            </wp:positionV>
            <wp:extent cx="3625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Max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-158750</wp:posOffset>
            </wp:positionV>
            <wp:extent cx="3625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2"/>
          <w:szCs w:val="22"/>
          <w:b w:val="1"/>
          <w:bCs w:val="1"/>
          <w:color w:val="auto"/>
        </w:rPr>
        <w:t>Date Trading will be Completed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12065</wp:posOffset>
            </wp:positionV>
            <wp:extent cx="36258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-158750</wp:posOffset>
            </wp:positionV>
            <wp:extent cx="36258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0" w:hanging="492"/>
        <w:spacing w:after="0" w:line="261" w:lineRule="auto"/>
        <w:tabs>
          <w:tab w:leader="none" w:pos="473" w:val="left"/>
        </w:tabs>
        <w:numPr>
          <w:ilvl w:val="0"/>
          <w:numId w:val="90"/>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Compliant with Insider Trading Policy (</w:t>
      </w:r>
      <w:r>
        <w:rPr>
          <w:rFonts w:ascii="Times New Roman" w:cs="Times New Roman" w:eastAsia="Times New Roman" w:hAnsi="Times New Roman"/>
          <w:sz w:val="22"/>
          <w:szCs w:val="22"/>
          <w:b w:val="1"/>
          <w:bCs w:val="1"/>
          <w:i w:val="1"/>
          <w:iCs w:val="1"/>
          <w:color w:val="auto"/>
        </w:rPr>
        <w:t>e.g.</w:t>
      </w:r>
      <w:r>
        <w:rPr>
          <w:rFonts w:ascii="Times New Roman" w:cs="Times New Roman" w:eastAsia="Times New Roman" w:hAnsi="Times New Roman"/>
          <w:sz w:val="22"/>
          <w:szCs w:val="22"/>
          <w:b w:val="1"/>
          <w:bCs w:val="1"/>
          <w:color w:val="auto"/>
        </w:rPr>
        <w:t xml:space="preserve">, during an open window). </w:t>
      </w:r>
      <w:r>
        <w:rPr>
          <w:rFonts w:ascii="Times New Roman" w:cs="Times New Roman" w:eastAsia="Times New Roman" w:hAnsi="Times New Roman"/>
          <w:sz w:val="22"/>
          <w:szCs w:val="22"/>
          <w:color w:val="auto"/>
        </w:rPr>
        <w:t>I will ensure my trade is made during an open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window and is in compliance with the Insider Trading Policy.</w:t>
      </w:r>
    </w:p>
    <w:p>
      <w:pPr>
        <w:spacing w:after="0" w:line="45" w:lineRule="exact"/>
        <w:rPr>
          <w:rFonts w:ascii="MS PGothic" w:cs="MS PGothic" w:eastAsia="MS PGothic" w:hAnsi="MS PGothic"/>
          <w:sz w:val="22"/>
          <w:szCs w:val="22"/>
          <w:color w:val="auto"/>
          <w:highlight w:val="black"/>
        </w:rPr>
      </w:pPr>
    </w:p>
    <w:p>
      <w:pPr>
        <w:jc w:val="both"/>
        <w:ind w:left="500" w:hanging="492"/>
        <w:spacing w:after="0" w:line="277" w:lineRule="auto"/>
        <w:tabs>
          <w:tab w:leader="none" w:pos="446" w:val="left"/>
        </w:tabs>
        <w:numPr>
          <w:ilvl w:val="0"/>
          <w:numId w:val="90"/>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 xml:space="preserve">Rule 10b-5 concerns. </w:t>
      </w:r>
      <w:r>
        <w:rPr>
          <w:rFonts w:ascii="Times New Roman" w:cs="Times New Roman" w:eastAsia="Times New Roman" w:hAnsi="Times New Roman"/>
          <w:sz w:val="21"/>
          <w:szCs w:val="21"/>
          <w:color w:val="auto"/>
        </w:rPr>
        <w:t>I am aware that trading is prohibited when I am in possession of any material nonpublic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regarding Asana that has not been adequately disclosed to the public. I have discussed with the General Counsel any information known to me that I believe may be material or that I have any questions about whether it is material.</w:t>
      </w:r>
    </w:p>
    <w:p>
      <w:pPr>
        <w:spacing w:after="0" w:line="18" w:lineRule="exact"/>
        <w:rPr>
          <w:sz w:val="20"/>
          <w:szCs w:val="20"/>
          <w:color w:val="auto"/>
        </w:rPr>
      </w:pPr>
    </w:p>
    <w:p>
      <w:pPr>
        <w:ind w:left="500" w:hanging="249"/>
        <w:spacing w:after="0" w:line="295" w:lineRule="auto"/>
        <w:rPr>
          <w:sz w:val="20"/>
          <w:szCs w:val="20"/>
          <w:color w:val="auto"/>
        </w:rPr>
      </w:pPr>
      <w:r>
        <w:rPr>
          <w:rFonts w:ascii="Times New Roman" w:cs="Times New Roman" w:eastAsia="Times New Roman" w:hAnsi="Times New Roman"/>
          <w:sz w:val="21"/>
          <w:szCs w:val="21"/>
          <w:color w:val="auto"/>
        </w:rPr>
        <w:t>I am not trading on the basis of any material nonpublic information. If I become aware of any nonpublic material information, or the trading window closes, I will cease trading immediately (which may include cancelling an open order).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Person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-11430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-29210</wp:posOffset>
            </wp:positionV>
            <wp:extent cx="1714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i w:val="1"/>
          <w:iCs w:val="1"/>
          <w:color w:val="auto"/>
        </w:rPr>
        <w:t>Print Name of Person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2381250</wp:posOffset>
            </wp:positionH>
            <wp:positionV relativeFrom="paragraph">
              <wp:posOffset>-21590</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333-263825) and Form S-8 (Nos. 333-277938, 333-270838, 333-263822, 333-254881 and 333-248955) of Asana, Inc. of our report dated March 18, 2025 relating to the financial statements and the effectiveness of internal control over financial reporting, which appears in this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rPr>
          <w:sz w:val="20"/>
          <w:szCs w:val="20"/>
          <w:color w:val="auto"/>
        </w:rPr>
      </w:pPr>
      <w:r>
        <w:rPr>
          <w:rFonts w:ascii="Times New Roman" w:cs="Times New Roman" w:eastAsia="Times New Roman" w:hAnsi="Times New Roman"/>
          <w:sz w:val="18"/>
          <w:szCs w:val="18"/>
          <w:color w:val="auto"/>
        </w:rPr>
        <w:t>March 18, 2025</w:t>
      </w:r>
    </w:p>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Dustin Moskovitz, certify that:</w:t>
      </w:r>
    </w:p>
    <w:p>
      <w:pPr>
        <w:spacing w:after="0" w:line="225" w:lineRule="exact"/>
        <w:rPr>
          <w:sz w:val="20"/>
          <w:szCs w:val="20"/>
          <w:color w:val="auto"/>
        </w:rPr>
      </w:pPr>
    </w:p>
    <w:p>
      <w:pPr>
        <w:ind w:left="320" w:hanging="312"/>
        <w:spacing w:after="0"/>
        <w:tabs>
          <w:tab w:leader="none" w:pos="3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Asana, Inc.;</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3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2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12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19"/>
        <w:spacing w:after="0" w:line="282" w:lineRule="auto"/>
        <w:tabs>
          <w:tab w:leader="none" w:pos="112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4860" w:val="left"/>
          <w:tab w:leader="none" w:pos="674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Dustin Moskovitz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45720</wp:posOffset>
            </wp:positionV>
            <wp:extent cx="28200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0"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Dustin Moskovitz</w:t>
      </w:r>
    </w:p>
    <w:p>
      <w:pPr>
        <w:spacing w:after="0" w:line="77" w:lineRule="exact"/>
        <w:rPr>
          <w:sz w:val="20"/>
          <w:szCs w:val="20"/>
          <w:color w:val="auto"/>
        </w:rPr>
      </w:pPr>
    </w:p>
    <w:p>
      <w:pPr>
        <w:jc w:val="center"/>
        <w:ind w:left="37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765"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Sonalee Parekh, certify that:</w:t>
      </w:r>
    </w:p>
    <w:p>
      <w:pPr>
        <w:spacing w:after="0" w:line="252"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Asana, Inc.;</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3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04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Times New Roman" w:cs="Times New Roman" w:eastAsia="Times New Roman" w:hAnsi="Times New Roman"/>
          <w:sz w:val="18"/>
          <w:szCs w:val="18"/>
          <w:color w:val="auto"/>
        </w:rPr>
      </w:pPr>
    </w:p>
    <w:p>
      <w:pPr>
        <w:ind w:left="1300" w:hanging="644"/>
        <w:spacing w:after="0" w:line="282" w:lineRule="auto"/>
        <w:tabs>
          <w:tab w:leader="none" w:pos="112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12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19"/>
        <w:spacing w:after="0" w:line="282" w:lineRule="auto"/>
        <w:tabs>
          <w:tab w:leader="none" w:pos="112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4860" w:val="left"/>
          <w:tab w:leader="none" w:pos="6880" w:val="left"/>
        </w:tabs>
        <w:rPr>
          <w:sz w:val="20"/>
          <w:szCs w:val="20"/>
          <w:color w:val="auto"/>
        </w:rPr>
      </w:pPr>
      <w:r>
        <w:rPr>
          <w:rFonts w:ascii="Times New Roman" w:cs="Times New Roman" w:eastAsia="Times New Roman" w:hAnsi="Times New Roman"/>
          <w:sz w:val="18"/>
          <w:szCs w:val="18"/>
          <w:color w:val="auto"/>
        </w:rPr>
        <w:t>Date: March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Sonalee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7774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66"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Sonalee Parekh</w:t>
      </w:r>
    </w:p>
    <w:p>
      <w:pPr>
        <w:spacing w:after="0" w:line="77"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765"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Dustin Moskovitz, Chief Executive Officer of Asana, Inc. (the “Company”), and Sonalee Parekh, Chief Financial Officer of the Company, each hereby certifies that, to the best of his or her knowledge:</w:t>
      </w:r>
    </w:p>
    <w:p>
      <w:pPr>
        <w:spacing w:after="0" w:line="196" w:lineRule="exact"/>
        <w:rPr>
          <w:sz w:val="20"/>
          <w:szCs w:val="20"/>
          <w:color w:val="auto"/>
        </w:rPr>
      </w:pPr>
    </w:p>
    <w:p>
      <w:pPr>
        <w:ind w:left="660" w:right="20" w:hanging="328"/>
        <w:spacing w:after="0" w:line="25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January 31, 2025, to which this Certification is attached as Exhibit 32.1 (the “Annual Report”), fully complies with the requirements of Section 13(a) or Section 15(d) of the Exchange Act; and</w:t>
      </w:r>
    </w:p>
    <w:p>
      <w:pPr>
        <w:ind w:left="660" w:hanging="328"/>
        <w:spacing w:after="0" w:line="243"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18,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Dustin Moskovitz</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Dustin Moskovitz</w:t>
      </w: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Sonalee Parekh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Sonalee Parekh</w:t>
      </w: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1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This certification accompanies the Form 10-K to which it relates, is not deemed filed with the Securities and Exchange Commission and is not to be incorporated by reference into any filing of Asana,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1)"/>
      <w:numFmt w:val="lowerRoman"/>
      <w:start w:val="10"/>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lowerLetter"/>
      <w:start w:val="1"/>
    </w:lvl>
    <w:lvl w:ilvl="1">
      <w:lvlJc w:val="left"/>
      <w:lvlText w:val="(%2)"/>
      <w:numFmt w:val="decimal"/>
      <w:start w:val="1"/>
    </w:lvl>
  </w:abstractNum>
  <w:abstractNum w:abstractNumId="38">
    <w:nsid w:val="1DBABF00"/>
    <w:multiLevelType w:val="hybridMultilevel"/>
    <w:lvl w:ilvl="0">
      <w:lvlJc w:val="left"/>
      <w:lvlText w:val="%1"/>
      <w:numFmt w:val="decimal"/>
      <w:start w:val="104"/>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lvl w:ilvl="1">
      <w:lvlJc w:val="left"/>
      <w:lvlText w:val="(%2)"/>
      <w:numFmt w:val="lowerLetter"/>
      <w:start w:val="1"/>
    </w:lvl>
  </w:abstractNum>
  <w:abstractNum w:abstractNumId="42">
    <w:nsid w:val="5DB70AE5"/>
    <w:multiLevelType w:val="hybridMultilevel"/>
    <w:lvl w:ilvl="0">
      <w:lvlJc w:val="left"/>
      <w:lvlText w:val="%1."/>
      <w:numFmt w:val="decimal"/>
      <w:start w:val="2"/>
    </w:lvl>
  </w:abstractNum>
  <w:abstractNum w:abstractNumId="43">
    <w:nsid w:val="100F8FCA"/>
    <w:multiLevelType w:val="hybridMultilevel"/>
    <w:lvl w:ilvl="0">
      <w:lvlJc w:val="left"/>
      <w:lvlText w:val="%1."/>
      <w:numFmt w:val="decimal"/>
      <w:start w:val="4"/>
    </w:lvl>
  </w:abstractNum>
  <w:abstractNum w:abstractNumId="44">
    <w:nsid w:val="659070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15014ACB"/>
    <w:multiLevelType w:val="hybridMultilevel"/>
    <w:lvl w:ilvl="0">
      <w:lvlJc w:val="left"/>
      <w:lvlText w:val="%1."/>
      <w:numFmt w:val="decimal"/>
      <w:start w:val="6"/>
    </w:lvl>
  </w:abstractNum>
  <w:abstractNum w:abstractNumId="46">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7">
    <w:nsid w:val="98A3148"/>
    <w:multiLevelType w:val="hybridMultilevel"/>
    <w:lvl w:ilvl="0">
      <w:lvlJc w:val="left"/>
      <w:lvlText w:val="%1."/>
      <w:numFmt w:val="decimal"/>
      <w:start w:val="3"/>
    </w:lvl>
    <w:lvl w:ilvl="1">
      <w:lvlJc w:val="left"/>
      <w:lvlText w:val="(%2)"/>
      <w:numFmt w:val="lowerLetter"/>
      <w:start w:val="1"/>
    </w:lvl>
  </w:abstractNum>
  <w:abstractNum w:abstractNumId="48">
    <w:nsid w:val="799D0247"/>
    <w:multiLevelType w:val="hybridMultilevel"/>
    <w:lvl w:ilvl="0">
      <w:lvlJc w:val="left"/>
      <w:lvlText w:val="%1"/>
      <w:numFmt w:val="decimal"/>
      <w:start w:val="1"/>
    </w:lvl>
    <w:lvl w:ilvl="1">
      <w:lvlJc w:val="left"/>
      <w:lvlText w:val="(%2)"/>
      <w:numFmt w:val="lowerLetter"/>
      <w:start w:val="2"/>
    </w:lvl>
  </w:abstractNum>
  <w:abstractNum w:abstractNumId="49">
    <w:nsid w:val="6B94764"/>
    <w:multiLevelType w:val="hybridMultilevel"/>
    <w:lvl w:ilvl="0">
      <w:lvlJc w:val="left"/>
      <w:lvlText w:val="%1."/>
      <w:numFmt w:val="decimal"/>
      <w:start w:val="6"/>
    </w:lvl>
    <w:lvl w:ilvl="1">
      <w:lvlJc w:val="left"/>
      <w:lvlText w:val="%2"/>
      <w:numFmt w:val="lowerLetter"/>
      <w:start w:val="1"/>
    </w:lvl>
  </w:abstractNum>
  <w:abstractNum w:abstractNumId="50">
    <w:nsid w:val="42C296BD"/>
    <w:multiLevelType w:val="hybridMultilevel"/>
    <w:lvl w:ilvl="0">
      <w:lvlJc w:val="left"/>
      <w:lvlText w:val="%1."/>
      <w:numFmt w:val="decimal"/>
      <w:start w:val="9"/>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Roman"/>
      <w:start w:val="3"/>
    </w:lvl>
  </w:abstractNum>
  <w:abstractNum w:abstractNumId="53">
    <w:nsid w:val="661E3F1E"/>
    <w:multiLevelType w:val="hybridMultilevel"/>
    <w:lvl w:ilvl="0">
      <w:lvlJc w:val="left"/>
      <w:lvlText w:val="(%1)"/>
      <w:numFmt w:val="lowerRoman"/>
      <w:start w:val="1"/>
    </w:lvl>
  </w:abstractNum>
  <w:abstractNum w:abstractNumId="54">
    <w:nsid w:val="5DC79EA8"/>
    <w:multiLevelType w:val="hybridMultilevel"/>
    <w:lvl w:ilvl="0">
      <w:lvlJc w:val="left"/>
      <w:lvlText w:val="(%1)"/>
      <w:numFmt w:val="lowerRoman"/>
      <w:start w:val="2"/>
    </w:lvl>
  </w:abstractNum>
  <w:abstractNum w:abstractNumId="55">
    <w:nsid w:val="540A471C"/>
    <w:multiLevelType w:val="hybridMultilevel"/>
    <w:lvl w:ilvl="0">
      <w:lvlJc w:val="left"/>
      <w:lvlText w:val="(%1)"/>
      <w:numFmt w:val="lowerRoman"/>
      <w:start w:val="10"/>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1."/>
      <w:numFmt w:val="decimal"/>
      <w:start w:val="1"/>
    </w:lvl>
    <w:lvl w:ilvl="1">
      <w:lvlJc w:val="left"/>
      <w:lvlText w:val="(%2)"/>
      <w:numFmt w:val="lowerLetter"/>
      <w:start w:val="1"/>
    </w:lvl>
  </w:abstractNum>
  <w:abstractNum w:abstractNumId="59">
    <w:nsid w:val="BF72B14"/>
    <w:multiLevelType w:val="hybridMultilevel"/>
    <w:lvl w:ilvl="0">
      <w:lvlJc w:val="left"/>
      <w:lvlText w:val="%1."/>
      <w:numFmt w:val="decimal"/>
      <w:start w:val="2"/>
    </w:lvl>
  </w:abstractNum>
  <w:abstractNum w:abstractNumId="60">
    <w:nsid w:val="11447B73"/>
    <w:multiLevelType w:val="hybridMultilevel"/>
    <w:lvl w:ilvl="0">
      <w:lvlJc w:val="left"/>
      <w:lvlText w:val="%1."/>
      <w:numFmt w:val="decimal"/>
      <w:start w:val="4"/>
    </w:lvl>
  </w:abstractNum>
  <w:abstractNum w:abstractNumId="61">
    <w:nsid w:val="42963E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A0382C5"/>
    <w:multiLevelType w:val="hybridMultilevel"/>
    <w:lvl w:ilvl="0">
      <w:lvlJc w:val="left"/>
      <w:lvlText w:val="%1."/>
      <w:numFmt w:val="decimal"/>
      <w:start w:val="6"/>
    </w:lvl>
  </w:abstractNum>
  <w:abstractNum w:abstractNumId="63">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4">
    <w:nsid w:val="1A32234B"/>
    <w:multiLevelType w:val="hybridMultilevel"/>
    <w:lvl w:ilvl="0">
      <w:lvlJc w:val="left"/>
      <w:lvlText w:val="%1."/>
      <w:numFmt w:val="decimal"/>
      <w:start w:val="3"/>
    </w:lvl>
    <w:lvl w:ilvl="1">
      <w:lvlJc w:val="left"/>
      <w:lvlText w:val="(%2)"/>
      <w:numFmt w:val="lowerLetter"/>
      <w:start w:val="1"/>
    </w:lvl>
  </w:abstractNum>
  <w:abstractNum w:abstractNumId="65">
    <w:nsid w:val="3B0FD379"/>
    <w:multiLevelType w:val="hybridMultilevel"/>
    <w:lvl w:ilvl="0">
      <w:lvlJc w:val="left"/>
      <w:lvlText w:val="%1"/>
      <w:numFmt w:val="decimal"/>
      <w:start w:val="1"/>
    </w:lvl>
    <w:lvl w:ilvl="1">
      <w:lvlJc w:val="left"/>
      <w:lvlText w:val="(%2)"/>
      <w:numFmt w:val="lowerLetter"/>
      <w:start w:val="2"/>
    </w:lvl>
  </w:abstractNum>
  <w:abstractNum w:abstractNumId="66">
    <w:nsid w:val="68EB2F63"/>
    <w:multiLevelType w:val="hybridMultilevel"/>
    <w:lvl w:ilvl="0">
      <w:lvlJc w:val="left"/>
      <w:lvlText w:val="%1."/>
      <w:numFmt w:val="decimal"/>
      <w:start w:val="6"/>
    </w:lvl>
    <w:lvl w:ilvl="1">
      <w:lvlJc w:val="left"/>
      <w:lvlText w:val="%2"/>
      <w:numFmt w:val="lowerLetter"/>
      <w:start w:val="1"/>
    </w:lvl>
  </w:abstractNum>
  <w:abstractNum w:abstractNumId="67">
    <w:nsid w:val="4962813B"/>
    <w:multiLevelType w:val="hybridMultilevel"/>
    <w:lvl w:ilvl="0">
      <w:lvlJc w:val="left"/>
      <w:lvlText w:val="%1."/>
      <w:numFmt w:val="decimal"/>
      <w:start w:val="9"/>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lowerRoman"/>
      <w:start w:val="3"/>
    </w:lvl>
  </w:abstractNum>
  <w:abstractNum w:abstractNumId="70">
    <w:nsid w:val="14330624"/>
    <w:multiLevelType w:val="hybridMultilevel"/>
    <w:lvl w:ilvl="0">
      <w:lvlJc w:val="left"/>
      <w:lvlText w:val="(%1)"/>
      <w:numFmt w:val="lowerRoman"/>
      <w:start w:val="1"/>
    </w:lvl>
  </w:abstractNum>
  <w:abstractNum w:abstractNumId="71">
    <w:nsid w:val="7FFFCA11"/>
    <w:multiLevelType w:val="hybridMultilevel"/>
    <w:lvl w:ilvl="0">
      <w:lvlJc w:val="left"/>
      <w:lvlText w:val="(%1)"/>
      <w:numFmt w:val="lowerRoman"/>
      <w:start w:val="2"/>
    </w:lvl>
  </w:abstractNum>
  <w:abstractNum w:abstractNumId="72">
    <w:nsid w:val="1A27709E"/>
    <w:multiLevelType w:val="hybridMultilevel"/>
    <w:lvl w:ilvl="0">
      <w:lvlJc w:val="left"/>
      <w:lvlText w:val="%1."/>
      <w:numFmt w:val="upperLetter"/>
      <w:start w:val="1"/>
    </w:lvl>
  </w:abstractNum>
  <w:abstractNum w:abstractNumId="73">
    <w:nsid w:val="71EA1109"/>
    <w:multiLevelType w:val="hybridMultilevel"/>
    <w:lvl w:ilvl="0">
      <w:lvlJc w:val="left"/>
      <w:lvlText w:val="%1."/>
      <w:numFmt w:val="upperLetter"/>
      <w:start w:val="2"/>
    </w:lvl>
  </w:abstractNum>
  <w:abstractNum w:abstractNumId="74">
    <w:nsid w:val="100F59DC"/>
    <w:multiLevelType w:val="hybridMultilevel"/>
    <w:lvl w:ilvl="0">
      <w:lvlJc w:val="left"/>
      <w:lvlText w:val="%1."/>
      <w:numFmt w:val="upperLetter"/>
      <w:start w:val="3"/>
    </w:lvl>
  </w:abstractNum>
  <w:abstractNum w:abstractNumId="75">
    <w:nsid w:val="7FB7E0AA"/>
    <w:multiLevelType w:val="hybridMultilevel"/>
    <w:lvl w:ilvl="0">
      <w:lvlJc w:val="left"/>
      <w:lvlText w:val="%1."/>
      <w:numFmt w:val="upperLetter"/>
      <w:start w:val="4"/>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upperLetter"/>
      <w:start w:val="1"/>
    </w:lvl>
    <w:lvl w:ilvl="1">
      <w:lvlJc w:val="left"/>
      <w:lvlText w:val="%2."/>
      <w:numFmt w:val="decimal"/>
      <w:start w:val="2"/>
    </w:lvl>
  </w:abstractNum>
  <w:abstractNum w:abstractNumId="78">
    <w:nsid w:val="94211F2"/>
    <w:multiLevelType w:val="hybridMultilevel"/>
    <w:lvl w:ilvl="0">
      <w:lvlJc w:val="left"/>
      <w:lvlText w:val="%1."/>
      <w:numFmt w:val="upperLetter"/>
      <w:start w:val="5"/>
    </w:lvl>
    <w:lvl w:ilvl="1">
      <w:lvlJc w:val="left"/>
      <w:lvlText w:val="%2"/>
      <w:numFmt w:val="decimal"/>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1."/>
      <w:numFmt w:val="upperLetter"/>
      <w:start w:val="6"/>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1."/>
      <w:numFmt w:val="upperLetter"/>
      <w:start w:val="7"/>
    </w:lvl>
  </w:abstractNum>
  <w:abstractNum w:abstractNumId="84">
    <w:nsid w:val="3222E7CD"/>
    <w:multiLevelType w:val="hybridMultilevel"/>
    <w:lvl w:ilvl="0">
      <w:lvlJc w:val="left"/>
      <w:lvlText w:val="%1."/>
      <w:numFmt w:val="upperLetter"/>
      <w:start w:val="8"/>
    </w:lvl>
  </w:abstractNum>
  <w:abstractNum w:abstractNumId="85">
    <w:nsid w:val="74DE0EE3"/>
    <w:multiLevelType w:val="hybridMultilevel"/>
    <w:lvl w:ilvl="0">
      <w:lvlJc w:val="left"/>
      <w:lvlText w:val="%1."/>
      <w:numFmt w:val="upperLetter"/>
      <w:start w:val="9"/>
    </w:lvl>
  </w:abstractNum>
  <w:abstractNum w:abstractNumId="86">
    <w:nsid w:val="68EBC550"/>
    <w:multiLevelType w:val="hybridMultilevel"/>
    <w:lvl w:ilvl="0">
      <w:lvlJc w:val="left"/>
      <w:lvlText w:val="%1."/>
      <w:numFmt w:val="upperLetter"/>
      <w:start w:val="10"/>
    </w:lvl>
  </w:abstractNum>
  <w:abstractNum w:abstractNumId="87">
    <w:nsid w:val="2DF6D648"/>
    <w:multiLevelType w:val="hybridMultilevel"/>
    <w:lvl w:ilvl="0">
      <w:lvlJc w:val="left"/>
      <w:lvlText w:val="%1."/>
      <w:numFmt w:val="upperLetter"/>
      <w:start w:val="11"/>
    </w:lvl>
  </w:abstractNum>
  <w:abstractNum w:abstractNumId="88">
    <w:nsid w:val="46B7D447"/>
    <w:multiLevelType w:val="hybridMultilevel"/>
    <w:lvl w:ilvl="0">
      <w:lvlJc w:val="left"/>
      <w:lvlText w:val="%1."/>
      <w:numFmt w:val="upperLetter"/>
      <w:start w:val="12"/>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1">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7"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jpe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141" Type="http://schemas.openxmlformats.org/officeDocument/2006/relationships/hyperlink" Target="https://www.sec.gov/Archives/edgar/data/1477720/000119312520250298/d98181dex31.htm" TargetMode="External"/><Relationship Id="rId142" Type="http://schemas.openxmlformats.org/officeDocument/2006/relationships/hyperlink" Target="https://www.sec.gov/Archives/edgar/data/1477720/000147772023000055/aex31xamendedandrestatedby.htm" TargetMode="External"/><Relationship Id="rId143" Type="http://schemas.openxmlformats.org/officeDocument/2006/relationships/hyperlink" Target="https://www.sec.gov/Archives/edgar/data/1477720/000119312520228462/d855753dex42.htm" TargetMode="External"/><Relationship Id="rId144" Type="http://schemas.openxmlformats.org/officeDocument/2006/relationships/hyperlink" Target="https://www.sec.gov/Archives/edgar/data/1477720/000119312520241148/d855753dex43.htm" TargetMode="External"/><Relationship Id="rId145" Type="http://schemas.openxmlformats.org/officeDocument/2006/relationships/hyperlink" Target="https://www.sec.gov/Archives/edgar/data/1477720/000147772022000012/exhibit43-descriptionofsec.htm" TargetMode="External"/><Relationship Id="rId146" Type="http://schemas.openxmlformats.org/officeDocument/2006/relationships/hyperlink" Target="https://www.sec.gov/Archives/edgar/data/1477720/000119312520228462/d855753dex101.htm" TargetMode="External"/><Relationship Id="rId147" Type="http://schemas.openxmlformats.org/officeDocument/2006/relationships/hyperlink" Target="https://www.sec.gov/Archives/edgar/data/1477720/000119312520228462/d855753dex102.htm" TargetMode="External"/><Relationship Id="rId148" Type="http://schemas.openxmlformats.org/officeDocument/2006/relationships/hyperlink" Target="https://www.sec.gov/Archives/edgar/data/1477720/000119312520228462/d855753dex103.htm" TargetMode="External"/><Relationship Id="rId149" Type="http://schemas.openxmlformats.org/officeDocument/2006/relationships/hyperlink" Target="https://www.sec.gov/Archives/edgar/data/1477720/000119312520228462/d855753dex104.htm" TargetMode="External"/><Relationship Id="rId150" Type="http://schemas.openxmlformats.org/officeDocument/2006/relationships/hyperlink" Target="https://www.sec.gov/Archives/edgar/data/1477720/000147772021000007/a103-2020equityincentive.htm" TargetMode="External"/><Relationship Id="rId151" Type="http://schemas.openxmlformats.org/officeDocument/2006/relationships/hyperlink" Target="https://www.sec.gov/Archives/edgar/data/1477720/000147772021000007/a104-2020equityincentive.htm" TargetMode="External"/><Relationship Id="rId152" Type="http://schemas.openxmlformats.org/officeDocument/2006/relationships/hyperlink" Target="https://www.sec.gov/Archives/edgar/data/1477720/000147772022000062/exhibit101-2020equityincen.htm" TargetMode="External"/><Relationship Id="rId153" Type="http://schemas.openxmlformats.org/officeDocument/2006/relationships/hyperlink" Target="https://www.sec.gov/Archives/edgar/data/1477720/000147772022000062/exhibit102-2020equityincen.htm" TargetMode="External"/><Relationship Id="rId154" Type="http://schemas.openxmlformats.org/officeDocument/2006/relationships/hyperlink" Target="https://www.sec.gov/Archives/edgar/data/1477720/000119312520228462/d855753dex105.htm" TargetMode="External"/><Relationship Id="rId155" Type="http://schemas.openxmlformats.org/officeDocument/2006/relationships/hyperlink" Target="https://www.sec.gov/Archives/edgar/data/1477720/000147772023000031/exhibit102-amendedandresta.htm" TargetMode="External"/><Relationship Id="rId156" Type="http://schemas.openxmlformats.org/officeDocument/2006/relationships/hyperlink" Target="https://www.sec.gov/Archives/edgar/data/1477720/000147772021000007/asanainc-directorsdeferred.htm" TargetMode="External"/><Relationship Id="rId158" Type="http://schemas.openxmlformats.org/officeDocument/2006/relationships/hyperlink" Target="https://www.sec.gov/Archives/edgar/data/1477720/000147772021000007/asana-frenchequitysubxplan.htm" TargetMode="External"/><Relationship Id="rId159" Type="http://schemas.openxmlformats.org/officeDocument/2006/relationships/hyperlink" Target="https://www.sec.gov/Archives/edgar/data/1477720/000119312520228462/d855753dex107.htm" TargetMode="External"/><Relationship Id="rId160" Type="http://schemas.openxmlformats.org/officeDocument/2006/relationships/hyperlink" Target="https://www.sec.gov/Archives/edgar/data/1477720/000119312520228462/d855753dex108.htm" TargetMode="External"/><Relationship Id="rId161" Type="http://schemas.openxmlformats.org/officeDocument/2006/relationships/hyperlink" Target="https://www.sec.gov/Archives/edgar/data/1477720/000119312520228462/d855753dex109.htm" TargetMode="External"/><Relationship Id="rId162" Type="http://schemas.openxmlformats.org/officeDocument/2006/relationships/hyperlink" Target="https://www.sec.gov/Archives/edgar/data/1477720/000147772021000051/exhibit101-offerletterxrai.htm" TargetMode="External"/><Relationship Id="rId163" Type="http://schemas.openxmlformats.org/officeDocument/2006/relationships/hyperlink" Target="https://www.sec.gov/Archives/edgar/data/1477720/000147772024000076/exhibit101-offerletterlasso.htm" TargetMode="External"/><Relationship Id="rId164" Type="http://schemas.openxmlformats.org/officeDocument/2006/relationships/hyperlink" Target="https://www.sec.gov/Archives/edgar/data/1477720/000119312520228462/d855753dex1012.htm" TargetMode="External"/><Relationship Id="rId165" Type="http://schemas.openxmlformats.org/officeDocument/2006/relationships/hyperlink" Target="https://www.sec.gov/Archives/edgar/data/1477720/000147772021000054/asana-leaseaddendumxex101.htm" TargetMode="External"/><Relationship Id="rId166" Type="http://schemas.openxmlformats.org/officeDocument/2006/relationships/hyperlink" Target="https://www.sec.gov/Archives/edgar/data/1477720/000147772021000054/asana-votingagreementxex102.htm" TargetMode="External"/><Relationship Id="rId167" Type="http://schemas.openxmlformats.org/officeDocument/2006/relationships/hyperlink" Target="https://www.sec.gov/Archives/edgar/data/1477720/000119312522239995/d401626dex101.htm" TargetMode="External"/><Relationship Id="rId168" Type="http://schemas.openxmlformats.org/officeDocument/2006/relationships/hyperlink" Target="https://www.sec.gov/Archives/edgar/data/1477720/000147772022000051/exhibit101creditagreement.htm" TargetMode="External"/><Relationship Id="rId169" Type="http://schemas.openxmlformats.org/officeDocument/2006/relationships/hyperlink" Target="https://www.sec.gov/Archives/edgar/data/1477720/000147772023000031/exhibit101-firstamendmentt.htm" TargetMode="External"/><Relationship Id="rId170" Type="http://schemas.openxmlformats.org/officeDocument/2006/relationships/hyperlink" Target="https://www.sec.gov/Archives/edgar/data/1477720/000147772024000078/exhibit101-secondamendment.htm" TargetMode="External"/><Relationship Id="rId171" Type="http://schemas.openxmlformats.org/officeDocument/2006/relationships/hyperlink" Target="https://www.sec.gov/Archives/edgar/data/1477720/000147772024000107/exhibit101-thirdamendmentt.htm" TargetMode="External"/><Relationship Id="rId172" Type="http://schemas.openxmlformats.org/officeDocument/2006/relationships/hyperlink" Target="https://www.sec.gov/Archives/edgar/data/1477720/000147772024000011/exhibit211-asanaincsubsidi.htm" TargetMode="External"/><Relationship Id="rId173" Type="http://schemas.openxmlformats.org/officeDocument/2006/relationships/hyperlink" Target="https://www.sec.gov/Archives/edgar/data/1477720/000147772024000011/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2025-03-18T15:18:22Z</dcterms:created>
  <dcterms:modified xsi:type="dcterms:W3CDTF">2025-03-18T15:18:22Z</dcterms:modified>
</cp:coreProperties>
</file>