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706120</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732155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59"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97" w:lineRule="exact"/>
        <w:rPr>
          <w:sz w:val="24"/>
          <w:szCs w:val="24"/>
          <w:color w:val="auto"/>
        </w:rPr>
      </w:pPr>
    </w:p>
    <w:p>
      <w:pPr>
        <w:ind w:left="4620"/>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12" w:lineRule="exact"/>
        <w:rPr>
          <w:sz w:val="24"/>
          <w:szCs w:val="24"/>
          <w:color w:val="auto"/>
        </w:rPr>
      </w:pPr>
    </w:p>
    <w:p>
      <w:pPr>
        <w:ind w:left="2400"/>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May 28, 2026</w:t>
      </w:r>
    </w:p>
    <w:p>
      <w:pPr>
        <w:spacing w:after="0" w:line="5"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Asana,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7"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ectPr>
          <w:pgSz w:w="11900" w:h="16838" w:orient="portrait"/>
          <w:cols w:equalWidth="0" w:num="1">
            <w:col w:w="11240"/>
          </w:cols>
          <w:pgMar w:left="320" w:top="1240" w:right="339" w:bottom="1440" w:gutter="0" w:footer="0" w:header="0"/>
        </w:sectPr>
      </w:pPr>
    </w:p>
    <w:p>
      <w:pPr>
        <w:spacing w:after="0" w:line="41"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2200"/>
        <w:spacing w:after="0"/>
        <w:rPr>
          <w:sz w:val="20"/>
          <w:szCs w:val="20"/>
          <w:color w:val="auto"/>
        </w:rPr>
      </w:pPr>
      <w:r>
        <w:rPr>
          <w:rFonts w:ascii="Times New Roman" w:cs="Times New Roman" w:eastAsia="Times New Roman" w:hAnsi="Times New Roman"/>
          <w:sz w:val="17"/>
          <w:szCs w:val="17"/>
          <w:b w:val="1"/>
          <w:bCs w:val="1"/>
          <w:color w:val="auto"/>
        </w:rPr>
        <w:t>001-39495</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26-3912448</w:t>
      </w:r>
    </w:p>
    <w:p>
      <w:pPr>
        <w:spacing w:after="0" w:line="61" w:lineRule="exact"/>
        <w:rPr>
          <w:sz w:val="24"/>
          <w:szCs w:val="24"/>
          <w:color w:val="auto"/>
        </w:rPr>
      </w:pPr>
    </w:p>
    <w:p>
      <w:pPr>
        <w:sectPr>
          <w:pgSz w:w="11900" w:h="16838" w:orient="portrait"/>
          <w:cols w:equalWidth="0" w:num="3">
            <w:col w:w="4500" w:space="720"/>
            <w:col w:w="2980" w:space="720"/>
            <w:col w:w="2320"/>
          </w:cols>
          <w:pgMar w:left="320" w:top="1240" w:right="339" w:bottom="1440" w:gutter="0" w:footer="0" w:header="0"/>
          <w:type w:val="continuous"/>
        </w:sect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spacing w:after="0" w:line="2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(IRS Employer</w:t>
      </w:r>
    </w:p>
    <w:p>
      <w:pPr>
        <w:spacing w:after="0" w:line="29" w:lineRule="exact"/>
        <w:rPr>
          <w:sz w:val="24"/>
          <w:szCs w:val="24"/>
          <w:color w:val="auto"/>
        </w:rPr>
      </w:pPr>
    </w:p>
    <w:p>
      <w:pPr>
        <w:jc w:val="center"/>
        <w:ind w:right="132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91" w:lineRule="exact"/>
        <w:rPr>
          <w:sz w:val="24"/>
          <w:szCs w:val="24"/>
          <w:color w:val="auto"/>
        </w:rPr>
      </w:pPr>
    </w:p>
    <w:p>
      <w:pPr>
        <w:sectPr>
          <w:pgSz w:w="11900" w:h="16838" w:orient="portrait"/>
          <w:cols w:equalWidth="0" w:num="3">
            <w:col w:w="4480" w:space="720"/>
            <w:col w:w="2880" w:space="720"/>
            <w:col w:w="2440"/>
          </w:cols>
          <w:pgMar w:left="320" w:top="1240" w:right="339" w:bottom="1440" w:gutter="0" w:footer="0" w:header="0"/>
          <w:type w:val="continuous"/>
        </w:sectPr>
      </w:pPr>
    </w:p>
    <w:p>
      <w:pPr>
        <w:ind w:left="1380"/>
        <w:spacing w:after="0"/>
        <w:rPr>
          <w:sz w:val="20"/>
          <w:szCs w:val="20"/>
          <w:color w:val="auto"/>
        </w:rPr>
      </w:pPr>
      <w:r>
        <w:rPr>
          <w:rFonts w:ascii="Times New Roman" w:cs="Times New Roman" w:eastAsia="Times New Roman" w:hAnsi="Times New Roman"/>
          <w:sz w:val="18"/>
          <w:szCs w:val="18"/>
          <w:b w:val="1"/>
          <w:bCs w:val="1"/>
          <w:color w:val="auto"/>
        </w:rPr>
        <w:t>633 Folsom Street, Suite 100</w:t>
      </w:r>
    </w:p>
    <w:p>
      <w:pPr>
        <w:spacing w:after="0" w:line="63"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b w:val="1"/>
          <w:bCs w:val="1"/>
          <w:color w:val="auto"/>
        </w:rPr>
        <w:t>San Francisco, CA</w:t>
      </w:r>
    </w:p>
    <w:p>
      <w:pPr>
        <w:spacing w:after="0" w:line="20" w:lineRule="exact"/>
        <w:rPr>
          <w:sz w:val="24"/>
          <w:szCs w:val="24"/>
          <w:color w:val="auto"/>
        </w:rPr>
      </w:pPr>
      <w:r>
        <w:rPr>
          <w:sz w:val="24"/>
          <w:szCs w:val="24"/>
          <w:color w:val="auto"/>
        </w:rPr>
        <w:br w:type="column"/>
      </w:r>
    </w:p>
    <w:p>
      <w:pPr>
        <w:spacing w:after="0" w:line="25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94107</w:t>
      </w:r>
    </w:p>
    <w:p>
      <w:pPr>
        <w:spacing w:after="0" w:line="61" w:lineRule="exact"/>
        <w:rPr>
          <w:sz w:val="24"/>
          <w:szCs w:val="24"/>
          <w:color w:val="auto"/>
        </w:rPr>
      </w:pPr>
    </w:p>
    <w:p>
      <w:pPr>
        <w:sectPr>
          <w:pgSz w:w="11900" w:h="16838" w:orient="portrait"/>
          <w:cols w:equalWidth="0" w:num="2">
            <w:col w:w="7480" w:space="720"/>
            <w:col w:w="3040"/>
          </w:cols>
          <w:pgMar w:left="320" w:top="1240" w:right="339" w:bottom="1440" w:gutter="0" w:footer="0" w:header="0"/>
          <w:type w:val="continuous"/>
        </w:sectPr>
      </w:pPr>
    </w:p>
    <w:p>
      <w:pPr>
        <w:ind w:left="158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79" w:lineRule="exact"/>
        <w:rPr>
          <w:sz w:val="24"/>
          <w:szCs w:val="24"/>
          <w:color w:val="auto"/>
        </w:rPr>
      </w:pPr>
    </w:p>
    <w:p>
      <w:pPr>
        <w:sectPr>
          <w:pgSz w:w="11900" w:h="16838" w:orient="portrait"/>
          <w:cols w:equalWidth="0" w:num="2">
            <w:col w:w="7380" w:space="720"/>
            <w:col w:w="3140"/>
          </w:cols>
          <w:pgMar w:left="320" w:top="1240"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8"/>
          <w:szCs w:val="18"/>
          <w:b w:val="1"/>
          <w:bCs w:val="1"/>
          <w:color w:val="auto"/>
        </w:rPr>
        <w:t>(415) 525-3888</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1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11"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color w:val="auto"/>
        </w:rPr>
        <w:t>__________________________</w:t>
      </w:r>
    </w:p>
    <w:p>
      <w:pPr>
        <w:spacing w:after="0" w:line="136"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108"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19"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8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66" w:lineRule="exact"/>
        <w:rPr>
          <w:sz w:val="24"/>
          <w:szCs w:val="24"/>
          <w:color w:val="auto"/>
        </w:rPr>
      </w:pPr>
    </w:p>
    <w:tbl>
      <w:tblPr>
        <w:tblLayout w:type="fixed"/>
        <w:tblInd w:w="0" w:type="dxa"/>
        <w:tblCellMar>
          <w:top w:w="0" w:type="dxa"/>
          <w:left w:w="0" w:type="dxa"/>
          <w:bottom w:w="0" w:type="dxa"/>
          <w:right w:w="0" w:type="dxa"/>
        </w:tblCellMar>
      </w:tblP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Trading Symbol(s)</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33"/>
        </w:trPr>
        <w:tc>
          <w:tcPr>
            <w:tcW w:w="3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r>
      <w:tr>
        <w:trPr>
          <w:trHeight w:val="194"/>
        </w:trPr>
        <w:tc>
          <w:tcPr>
            <w:tcW w:w="4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Class A Common Stock, $0.00001 par</w:t>
            </w:r>
          </w:p>
        </w:tc>
        <w:tc>
          <w:tcPr>
            <w:tcW w:w="33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ASAN</w:t>
            </w: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New York Stock Exchange</w:t>
            </w:r>
          </w:p>
        </w:tc>
      </w:tr>
      <w:tr>
        <w:trPr>
          <w:trHeight w:val="212"/>
        </w:trPr>
        <w:tc>
          <w:tcPr>
            <w:tcW w:w="4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value</w:t>
            </w:r>
          </w:p>
        </w:tc>
        <w:tc>
          <w:tcPr>
            <w:tcW w:w="3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920" w:type="dxa"/>
            <w:vAlign w:val="bottom"/>
          </w:tcPr>
          <w:p>
            <w:pPr>
              <w:spacing w:after="0"/>
              <w:rPr>
                <w:sz w:val="18"/>
                <w:szCs w:val="18"/>
                <w:color w:val="auto"/>
              </w:rPr>
            </w:pPr>
          </w:p>
        </w:tc>
      </w:tr>
      <w:tr>
        <w:trPr>
          <w:trHeight w:val="256"/>
        </w:trPr>
        <w:tc>
          <w:tcPr>
            <w:tcW w:w="3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Long-Term Stock Exchange</w:t>
            </w:r>
          </w:p>
        </w:tc>
      </w:tr>
    </w:tbl>
    <w:p>
      <w:pPr>
        <w:spacing w:after="0" w:line="150"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4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8"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42545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240" w:right="339" w:bottom="1440" w:gutter="0" w:footer="0" w:header="0"/>
          <w:type w:val="continuous"/>
        </w:sectPr>
      </w:pPr>
    </w:p>
    <w:bookmarkStart w:id="1" w:name="page2"/>
    <w:bookmarkEnd w:id="1"/>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121"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On May 28, 2026, Asana, Inc. (the “Company”) issued a press release announcing its financial results for the quarter ended April 30, 2026. A copy of the press release is attached as Exhibit 99.1 to this Current Report on Form 8-K and is incorporated by reference herein.</w:t>
      </w:r>
    </w:p>
    <w:p>
      <w:pPr>
        <w:spacing w:after="0" w:line="54"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The information furnished under this Item 2.02 and in the accompanying Exhibit 99.1 shall not be deemed “filed” for purposes of Section 18 of the Securities Exchange Act of 1934, as amended (the “Exchange Act”), or incorporated by reference in any filing under the Securities Act of 1933, as amended, or the Exchange Act regardless of any general incorporation language in such filing, unless expressly incorporated by specific reference in such filing.</w:t>
      </w:r>
    </w:p>
    <w:p>
      <w:pPr>
        <w:spacing w:after="0" w:line="14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 Exhibits</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0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37"/>
        </w:trPr>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320" w:type="dxa"/>
            <w:vAlign w:val="bottom"/>
            <w:tcBorders>
              <w:bottom w:val="single" w:sz="8" w:color="auto"/>
            </w:tcBorders>
          </w:tcPr>
          <w:p>
            <w:pPr>
              <w:spacing w:after="0"/>
              <w:rPr>
                <w:sz w:val="3"/>
                <w:szCs w:val="3"/>
                <w:color w:val="auto"/>
              </w:rPr>
            </w:pPr>
          </w:p>
        </w:tc>
        <w:tc>
          <w:tcPr>
            <w:tcW w:w="2820" w:type="dxa"/>
            <w:vAlign w:val="bottom"/>
            <w:tcBorders>
              <w:bottom w:val="single" w:sz="8" w:color="auto"/>
            </w:tcBorders>
          </w:tcPr>
          <w:p>
            <w:pPr>
              <w:spacing w:after="0"/>
              <w:rPr>
                <w:sz w:val="3"/>
                <w:szCs w:val="3"/>
                <w:color w:val="auto"/>
              </w:rPr>
            </w:pPr>
          </w:p>
        </w:tc>
      </w:tr>
      <w:tr>
        <w:trPr>
          <w:trHeight w:val="331"/>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32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9"/>
              </w:rPr>
              <w:t>Press Release, dated May 28, 2026, announcing financial results for the quarter ended April 30, 2026.</w:t>
            </w:r>
          </w:p>
        </w:tc>
        <w:tc>
          <w:tcPr>
            <w:tcW w:w="2820" w:type="dxa"/>
            <w:vAlign w:val="bottom"/>
          </w:tcPr>
          <w:p>
            <w:pPr>
              <w:spacing w:after="0"/>
              <w:rPr>
                <w:sz w:val="24"/>
                <w:szCs w:val="24"/>
                <w:color w:val="auto"/>
              </w:rPr>
            </w:pPr>
          </w:p>
        </w:tc>
      </w:tr>
      <w:tr>
        <w:trPr>
          <w:trHeight w:val="507"/>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1046"/>
        </w:trPr>
        <w:tc>
          <w:tcPr>
            <w:tcW w:w="9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732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03" w:right="339" w:bottom="1440" w:gutter="0" w:footer="0" w:header="0"/>
        </w:sectPr>
      </w:pPr>
    </w:p>
    <w:bookmarkStart w:id="2" w:name="page3"/>
    <w:bookmarkEnd w:id="2"/>
    <w:p>
      <w:pPr>
        <w:jc w:val="center"/>
        <w:ind w:right="-55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8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85" w:lineRule="exact"/>
        <w:rPr>
          <w:sz w:val="20"/>
          <w:szCs w:val="20"/>
          <w:color w:val="auto"/>
        </w:rPr>
      </w:pPr>
    </w:p>
    <w:p>
      <w:pPr>
        <w:ind w:left="6000"/>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24" w:lineRule="exact"/>
        <w:rPr>
          <w:sz w:val="20"/>
          <w:szCs w:val="20"/>
          <w:color w:val="auto"/>
        </w:rPr>
      </w:pPr>
    </w:p>
    <w:p>
      <w:pPr>
        <w:ind w:left="20"/>
        <w:spacing w:after="0"/>
        <w:tabs>
          <w:tab w:leader="none" w:pos="5980" w:val="left"/>
          <w:tab w:leader="none" w:pos="6420" w:val="left"/>
        </w:tabs>
        <w:rPr>
          <w:sz w:val="20"/>
          <w:szCs w:val="20"/>
          <w:color w:val="auto"/>
        </w:rPr>
      </w:pPr>
      <w:r>
        <w:rPr>
          <w:rFonts w:ascii="Times New Roman" w:cs="Times New Roman" w:eastAsia="Times New Roman" w:hAnsi="Times New Roman"/>
          <w:sz w:val="18"/>
          <w:szCs w:val="18"/>
          <w:color w:val="auto"/>
        </w:rPr>
        <w:t>Dated: May 28,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Katie Colendich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4076700</wp:posOffset>
            </wp:positionH>
            <wp:positionV relativeFrom="paragraph">
              <wp:posOffset>34290</wp:posOffset>
            </wp:positionV>
            <wp:extent cx="306006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60065" cy="8890"/>
                    </a:xfrm>
                    <a:prstGeom prst="rect">
                      <a:avLst/>
                    </a:prstGeom>
                    <a:noFill/>
                  </pic:spPr>
                </pic:pic>
              </a:graphicData>
            </a:graphic>
          </wp:anchor>
        </w:drawing>
      </w:r>
    </w:p>
    <w:p>
      <w:pPr>
        <w:spacing w:after="0" w:line="57"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Katie Colendich</w:t>
      </w:r>
    </w:p>
    <w:p>
      <w:pPr>
        <w:spacing w:after="0" w:line="63" w:lineRule="exact"/>
        <w:rPr>
          <w:sz w:val="20"/>
          <w:szCs w:val="20"/>
          <w:color w:val="auto"/>
        </w:rPr>
      </w:pPr>
    </w:p>
    <w:p>
      <w:pPr>
        <w:ind w:left="6440"/>
        <w:spacing w:after="0"/>
        <w:rPr>
          <w:sz w:val="20"/>
          <w:szCs w:val="20"/>
          <w:color w:val="auto"/>
        </w:rPr>
      </w:pPr>
      <w:r>
        <w:rPr>
          <w:rFonts w:ascii="Times New Roman" w:cs="Times New Roman" w:eastAsia="Times New Roman" w:hAnsi="Times New Roman"/>
          <w:sz w:val="18"/>
          <w:szCs w:val="18"/>
          <w:color w:val="auto"/>
        </w:rPr>
        <w:t>General Counsel and Corporate Secretary</w:t>
      </w:r>
    </w:p>
    <w:p>
      <w:pPr>
        <w:sectPr>
          <w:pgSz w:w="11900" w:h="16838" w:orient="portrait"/>
          <w:cols w:equalWidth="0" w:num="1">
            <w:col w:w="10680"/>
          </w:cols>
          <w:pgMar w:left="320" w:top="927" w:right="899" w:bottom="1440" w:gutter="0" w:footer="0" w:header="0"/>
        </w:sectPr>
      </w:pPr>
    </w:p>
    <w:bookmarkStart w:id="3" w:name="page4"/>
    <w:bookmarkEnd w:id="3"/>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Verdana" w:cs="Verdana" w:eastAsia="Verdana" w:hAnsi="Verdana"/>
          <w:sz w:val="22"/>
          <w:szCs w:val="22"/>
          <w:b w:val="1"/>
          <w:bCs w:val="1"/>
          <w:color w:val="auto"/>
        </w:rPr>
        <w:t>Asana Announces First Quarter Fiscal 2027 Results</w:t>
      </w:r>
    </w:p>
    <w:p>
      <w:pPr>
        <w:spacing w:after="0" w:line="222" w:lineRule="exact"/>
        <w:rPr>
          <w:sz w:val="20"/>
          <w:szCs w:val="20"/>
          <w:color w:val="auto"/>
        </w:rPr>
      </w:pPr>
    </w:p>
    <w:p>
      <w:pPr>
        <w:ind w:left="3740"/>
        <w:spacing w:after="0"/>
        <w:rPr>
          <w:sz w:val="20"/>
          <w:szCs w:val="20"/>
          <w:color w:val="auto"/>
        </w:rPr>
      </w:pPr>
      <w:r>
        <w:rPr>
          <w:rFonts w:ascii="Verdana" w:cs="Verdana" w:eastAsia="Verdana" w:hAnsi="Verdana"/>
          <w:sz w:val="17"/>
          <w:szCs w:val="17"/>
          <w:i w:val="1"/>
          <w:iCs w:val="1"/>
          <w:color w:val="auto"/>
        </w:rPr>
        <w:t>Q1 revenue exceeded high end of guidance</w:t>
      </w:r>
    </w:p>
    <w:p>
      <w:pPr>
        <w:spacing w:after="0" w:line="86" w:lineRule="exact"/>
        <w:rPr>
          <w:sz w:val="20"/>
          <w:szCs w:val="20"/>
          <w:color w:val="auto"/>
        </w:rPr>
      </w:pPr>
    </w:p>
    <w:p>
      <w:pPr>
        <w:ind w:left="2780"/>
        <w:spacing w:after="0"/>
        <w:rPr>
          <w:sz w:val="20"/>
          <w:szCs w:val="20"/>
          <w:color w:val="auto"/>
        </w:rPr>
      </w:pPr>
      <w:r>
        <w:rPr>
          <w:rFonts w:ascii="Verdana" w:cs="Verdana" w:eastAsia="Verdana" w:hAnsi="Verdana"/>
          <w:sz w:val="17"/>
          <w:szCs w:val="17"/>
          <w:i w:val="1"/>
          <w:iCs w:val="1"/>
          <w:color w:val="auto"/>
        </w:rPr>
        <w:t>Record Q1 GAAP operating margin, up 1,600 bps year over year;</w:t>
      </w:r>
    </w:p>
    <w:p>
      <w:pPr>
        <w:ind w:left="2480"/>
        <w:spacing w:after="0"/>
        <w:rPr>
          <w:sz w:val="20"/>
          <w:szCs w:val="20"/>
          <w:color w:val="auto"/>
        </w:rPr>
      </w:pPr>
      <w:r>
        <w:rPr>
          <w:rFonts w:ascii="Verdana" w:cs="Verdana" w:eastAsia="Verdana" w:hAnsi="Verdana"/>
          <w:sz w:val="17"/>
          <w:szCs w:val="17"/>
          <w:i w:val="1"/>
          <w:iCs w:val="1"/>
          <w:color w:val="auto"/>
        </w:rPr>
        <w:t xml:space="preserve">record non-GAAP operating margin </w:t>
      </w:r>
      <w:r>
        <w:rPr>
          <w:rFonts w:ascii="Verdana" w:cs="Verdana" w:eastAsia="Verdana" w:hAnsi="Verdana"/>
          <w:sz w:val="16"/>
          <w:szCs w:val="16"/>
          <w:i w:val="1"/>
          <w:iCs w:val="1"/>
          <w:color w:val="auto"/>
        </w:rPr>
        <w:t>of 11.5%</w:t>
      </w:r>
      <w:r>
        <w:rPr>
          <w:rFonts w:ascii="Verdana" w:cs="Verdana" w:eastAsia="Verdana" w:hAnsi="Verdana"/>
          <w:sz w:val="17"/>
          <w:szCs w:val="17"/>
          <w:i w:val="1"/>
          <w:iCs w:val="1"/>
          <w:color w:val="auto"/>
        </w:rPr>
        <w:t>, up 720 bps year over year</w:t>
      </w:r>
    </w:p>
    <w:p>
      <w:pPr>
        <w:spacing w:after="0" w:line="73" w:lineRule="exact"/>
        <w:rPr>
          <w:sz w:val="20"/>
          <w:szCs w:val="20"/>
          <w:color w:val="auto"/>
        </w:rPr>
      </w:pPr>
    </w:p>
    <w:p>
      <w:pPr>
        <w:ind w:left="2700"/>
        <w:spacing w:after="0"/>
        <w:rPr>
          <w:sz w:val="20"/>
          <w:szCs w:val="20"/>
          <w:color w:val="auto"/>
        </w:rPr>
      </w:pPr>
      <w:r>
        <w:rPr>
          <w:rFonts w:ascii="Verdana" w:cs="Verdana" w:eastAsia="Verdana" w:hAnsi="Verdana"/>
          <w:sz w:val="17"/>
          <w:szCs w:val="17"/>
          <w:i w:val="1"/>
          <w:iCs w:val="1"/>
          <w:color w:val="auto"/>
        </w:rPr>
        <w:t>Announces acquisition of StackAI, expanding Asana’s cross-system</w:t>
      </w:r>
    </w:p>
    <w:p>
      <w:pPr>
        <w:jc w:val="center"/>
        <w:spacing w:after="0"/>
        <w:rPr>
          <w:sz w:val="20"/>
          <w:szCs w:val="20"/>
          <w:color w:val="auto"/>
        </w:rPr>
      </w:pPr>
      <w:r>
        <w:rPr>
          <w:rFonts w:ascii="Verdana" w:cs="Verdana" w:eastAsia="Verdana" w:hAnsi="Verdana"/>
          <w:sz w:val="17"/>
          <w:szCs w:val="17"/>
          <w:i w:val="1"/>
          <w:iCs w:val="1"/>
          <w:color w:val="auto"/>
        </w:rPr>
        <w:t>workflow orchestration capabilities for human-agent teams</w:t>
      </w:r>
    </w:p>
    <w:p>
      <w:pPr>
        <w:spacing w:after="0" w:line="232" w:lineRule="exact"/>
        <w:rPr>
          <w:sz w:val="20"/>
          <w:szCs w:val="20"/>
          <w:color w:val="auto"/>
        </w:rPr>
      </w:pPr>
    </w:p>
    <w:p>
      <w:pPr>
        <w:ind w:right="500"/>
        <w:spacing w:after="0" w:line="239" w:lineRule="auto"/>
        <w:rPr>
          <w:sz w:val="20"/>
          <w:szCs w:val="20"/>
          <w:color w:val="auto"/>
        </w:rPr>
      </w:pPr>
      <w:r>
        <w:rPr>
          <w:rFonts w:ascii="Verdana" w:cs="Verdana" w:eastAsia="Verdana" w:hAnsi="Verdana"/>
          <w:sz w:val="18"/>
          <w:szCs w:val="18"/>
          <w:b w:val="1"/>
          <w:bCs w:val="1"/>
          <w:color w:val="auto"/>
        </w:rPr>
        <w:t xml:space="preserve">May 28, 2026 </w:t>
      </w:r>
      <w:r>
        <w:rPr>
          <w:rFonts w:ascii="Verdana" w:cs="Verdana" w:eastAsia="Verdana" w:hAnsi="Verdana"/>
          <w:sz w:val="18"/>
          <w:szCs w:val="18"/>
          <w:color w:val="auto"/>
        </w:rPr>
        <w:t>– San Francisco, CA – Asana, Inc. (NYSE: ASAN)(LTSE: ASAN), the operating system for human-agent</w:t>
      </w:r>
      <w:r>
        <w:rPr>
          <w:rFonts w:ascii="Verdana" w:cs="Verdana" w:eastAsia="Verdana" w:hAnsi="Verdana"/>
          <w:sz w:val="18"/>
          <w:szCs w:val="18"/>
          <w:b w:val="1"/>
          <w:bCs w:val="1"/>
          <w:color w:val="auto"/>
        </w:rPr>
        <w:t xml:space="preserve"> </w:t>
      </w:r>
      <w:r>
        <w:rPr>
          <w:rFonts w:ascii="Verdana" w:cs="Verdana" w:eastAsia="Verdana" w:hAnsi="Verdana"/>
          <w:sz w:val="18"/>
          <w:szCs w:val="18"/>
          <w:color w:val="auto"/>
        </w:rPr>
        <w:t>teams, today reported financial results for its first quarter fiscal 2027 ended April 30, 2026.</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0E0E0E"/>
        </w:rPr>
        <w:t>“Asana is the operating system for human-agent teams,” said Dan Rogers, Chief Executive Officer of Asana. “We believe</w:t>
      </w:r>
    </w:p>
    <w:p>
      <w:pPr>
        <w:ind w:right="40"/>
        <w:spacing w:after="0"/>
        <w:rPr>
          <w:sz w:val="20"/>
          <w:szCs w:val="20"/>
          <w:color w:val="auto"/>
        </w:rPr>
      </w:pPr>
      <w:r>
        <w:rPr>
          <w:rFonts w:ascii="Verdana" w:cs="Verdana" w:eastAsia="Verdana" w:hAnsi="Verdana"/>
          <w:sz w:val="17"/>
          <w:szCs w:val="17"/>
          <w:color w:val="0E0E0E"/>
        </w:rPr>
        <w:t>the real enterprise productivity unlock from AI comes when humans and agents work together across the critical workflows that run the business. Customers are increasingly using AI Studio and AI Teammates to coordinate work faster, automate complex processes, and embed AI more deeply into their operations. The addition of StackAI strengthens our position as</w:t>
      </w:r>
    </w:p>
    <w:p>
      <w:pPr>
        <w:spacing w:after="0" w:line="1" w:lineRule="exact"/>
        <w:rPr>
          <w:sz w:val="20"/>
          <w:szCs w:val="20"/>
          <w:color w:val="auto"/>
        </w:rPr>
      </w:pPr>
    </w:p>
    <w:p>
      <w:pPr>
        <w:ind w:right="620"/>
        <w:spacing w:after="0" w:line="239" w:lineRule="auto"/>
        <w:rPr>
          <w:sz w:val="20"/>
          <w:szCs w:val="20"/>
          <w:color w:val="auto"/>
        </w:rPr>
      </w:pPr>
      <w:r>
        <w:rPr>
          <w:rFonts w:ascii="Verdana" w:cs="Verdana" w:eastAsia="Verdana" w:hAnsi="Verdana"/>
          <w:sz w:val="18"/>
          <w:szCs w:val="18"/>
          <w:color w:val="0E0E0E"/>
        </w:rPr>
        <w:t>the operating system for human-agent teams by enabling customers to coordinate complex, cross-system workflows across humans and AI agents.”</w:t>
      </w:r>
    </w:p>
    <w:p>
      <w:pPr>
        <w:spacing w:after="0" w:line="75" w:lineRule="exact"/>
        <w:rPr>
          <w:sz w:val="20"/>
          <w:szCs w:val="20"/>
          <w:color w:val="auto"/>
        </w:rPr>
      </w:pPr>
    </w:p>
    <w:p>
      <w:pPr>
        <w:spacing w:after="0"/>
        <w:rPr>
          <w:sz w:val="20"/>
          <w:szCs w:val="20"/>
          <w:color w:val="auto"/>
        </w:rPr>
      </w:pPr>
      <w:r>
        <w:rPr>
          <w:rFonts w:ascii="Verdana" w:cs="Verdana" w:eastAsia="Verdana" w:hAnsi="Verdana"/>
          <w:sz w:val="18"/>
          <w:szCs w:val="18"/>
          <w:color w:val="auto"/>
        </w:rPr>
        <w:t>“We exceeded the high end of our guided metrics and improved NRR for the fourth consecutive quarter,” said Aziz Megji,</w:t>
      </w:r>
    </w:p>
    <w:p>
      <w:pPr>
        <w:ind w:right="160"/>
        <w:spacing w:after="0" w:line="227" w:lineRule="auto"/>
        <w:rPr>
          <w:sz w:val="20"/>
          <w:szCs w:val="20"/>
          <w:color w:val="auto"/>
        </w:rPr>
      </w:pPr>
      <w:r>
        <w:rPr>
          <w:rFonts w:ascii="Verdana" w:cs="Verdana" w:eastAsia="Verdana" w:hAnsi="Verdana"/>
          <w:sz w:val="18"/>
          <w:szCs w:val="18"/>
          <w:color w:val="auto"/>
        </w:rPr>
        <w:t>Chief Financial Officer of Asana. “The business continues to show improving fundamentals, supported by momentum in AI product adoption, customer expansion, and operating efficiency. The acquisition of StackAI further differentiates our operating system for human-agent teams and reinforces our confidence in Asana’s long-term growth and profitability</w:t>
      </w:r>
    </w:p>
    <w:p>
      <w:pPr>
        <w:spacing w:after="0"/>
        <w:rPr>
          <w:sz w:val="20"/>
          <w:szCs w:val="20"/>
          <w:color w:val="auto"/>
        </w:rPr>
      </w:pPr>
      <w:r>
        <w:rPr>
          <w:rFonts w:ascii="Verdana" w:cs="Verdana" w:eastAsia="Verdana" w:hAnsi="Verdana"/>
          <w:sz w:val="18"/>
          <w:szCs w:val="18"/>
          <w:color w:val="auto"/>
        </w:rPr>
        <w:t>potential.”</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 Quarter Fiscal 2027 Financial Highlights</w:t>
      </w:r>
    </w:p>
    <w:p>
      <w:pPr>
        <w:spacing w:after="0" w:line="224" w:lineRule="exact"/>
        <w:rPr>
          <w:sz w:val="20"/>
          <w:szCs w:val="20"/>
          <w:color w:val="auto"/>
        </w:rPr>
      </w:pPr>
    </w:p>
    <w:p>
      <w:pPr>
        <w:ind w:left="640" w:hanging="308"/>
        <w:spacing w:after="0"/>
        <w:tabs>
          <w:tab w:leader="none" w:pos="64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Revenues: Revenues were $205.1 million, an increase of 9.5% year over year.</w:t>
      </w:r>
    </w:p>
    <w:p>
      <w:pPr>
        <w:ind w:left="660" w:right="80" w:hanging="328"/>
        <w:spacing w:after="0" w:line="225" w:lineRule="auto"/>
        <w:tabs>
          <w:tab w:leader="none" w:pos="65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Operating Income/Loss: GAAP operating loss was $15.2 million, or 7% of revenues, compared to GAAP operating loss of $43.9 million, or 23% of revenues, in the first quarter of fiscal 2026. Non-GAAP operating income was $23.6 million, or 11.5% of revenues, compared to non-GAAP operating income of $8.1 million, or 4% of revenues, in the first quarter of fiscal 2026.</w:t>
      </w:r>
    </w:p>
    <w:p>
      <w:pPr>
        <w:spacing w:after="0" w:line="3" w:lineRule="exact"/>
        <w:rPr>
          <w:rFonts w:ascii="Verdana" w:cs="Verdana" w:eastAsia="Verdana" w:hAnsi="Verdana"/>
          <w:sz w:val="18"/>
          <w:szCs w:val="18"/>
          <w:color w:val="auto"/>
        </w:rPr>
      </w:pPr>
    </w:p>
    <w:p>
      <w:pPr>
        <w:ind w:left="660" w:hanging="328"/>
        <w:spacing w:after="0" w:line="228" w:lineRule="auto"/>
        <w:tabs>
          <w:tab w:leader="none" w:pos="650" w:val="left"/>
        </w:tabs>
        <w:numPr>
          <w:ilvl w:val="0"/>
          <w:numId w:val="2"/>
        </w:numPr>
        <w:rPr>
          <w:rFonts w:ascii="Verdana" w:cs="Verdana" w:eastAsia="Verdana" w:hAnsi="Verdana"/>
          <w:sz w:val="18"/>
          <w:szCs w:val="18"/>
          <w:color w:val="auto"/>
        </w:rPr>
      </w:pPr>
      <w:r>
        <w:rPr>
          <w:rFonts w:ascii="Verdana" w:cs="Verdana" w:eastAsia="Verdana" w:hAnsi="Verdana"/>
          <w:sz w:val="18"/>
          <w:szCs w:val="18"/>
          <w:color w:val="auto"/>
        </w:rPr>
        <w:t>Net Income/Loss: GAAP net loss was $14.4 million, compared to GAAP net loss of $40.0 million in the first quarter of fiscal 2026. GAAP net loss per share was $0.06, compared to GAAP net loss per share of $0.17 in the first quarter of fiscal 2026. Non-GAAP net income was $24.4 million, compared to non-GAAP net income of $12.0 million in the first quarter of fiscal 2026. Non-GAAP diluted net income per share was $0.10, compared to non-GAAP diluted net income per share of $0.05 in the first quarter of fiscal 2026.</w:t>
      </w:r>
    </w:p>
    <w:p>
      <w:pPr>
        <w:jc w:val="both"/>
        <w:ind w:left="660" w:right="200" w:hanging="328"/>
        <w:spacing w:after="0" w:line="268" w:lineRule="auto"/>
        <w:tabs>
          <w:tab w:leader="none" w:pos="650" w:val="left"/>
        </w:tabs>
        <w:numPr>
          <w:ilvl w:val="0"/>
          <w:numId w:val="2"/>
        </w:numPr>
        <w:rPr>
          <w:rFonts w:ascii="Verdana" w:cs="Verdana" w:eastAsia="Verdana" w:hAnsi="Verdana"/>
          <w:sz w:val="17"/>
          <w:szCs w:val="17"/>
          <w:color w:val="auto"/>
        </w:rPr>
      </w:pPr>
      <w:r>
        <w:rPr>
          <w:rFonts w:ascii="Verdana" w:cs="Verdana" w:eastAsia="Verdana" w:hAnsi="Verdana"/>
          <w:sz w:val="17"/>
          <w:szCs w:val="17"/>
          <w:color w:val="auto"/>
        </w:rPr>
        <w:t>Cash Flow: Cash flows from operating activities were $40.2 million, compared to $6.8 million in the first quarter of fiscal 2026. Adjusted free cash flow was $34.4 million, compared to $9.9 million in the first quarter of fiscal 2026.</w:t>
      </w:r>
    </w:p>
    <w:p>
      <w:pPr>
        <w:spacing w:after="0" w:line="18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First Quarter Fiscal 2027 Business Highlights</w:t>
      </w:r>
    </w:p>
    <w:p>
      <w:pPr>
        <w:spacing w:after="0" w:line="240" w:lineRule="exact"/>
        <w:rPr>
          <w:sz w:val="20"/>
          <w:szCs w:val="20"/>
          <w:color w:val="auto"/>
        </w:rPr>
      </w:pPr>
    </w:p>
    <w:p>
      <w:pPr>
        <w:ind w:left="660" w:right="120" w:hanging="328"/>
        <w:spacing w:after="0" w:line="222"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number of Core customers, or customers spending $5,000 or more on an annualized basis, grew to 26,103, an increase of 7% year over year. Revenues from Core customers grew 10% year over year.</w:t>
      </w:r>
    </w:p>
    <w:p>
      <w:pPr>
        <w:ind w:left="660" w:right="60" w:hanging="328"/>
        <w:spacing w:after="0" w:line="229" w:lineRule="auto"/>
        <w:tabs>
          <w:tab w:leader="none" w:pos="65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The number of customers spending $100,000 or more on an annualized basis grew to 817, an increase of 12% year over year.</w:t>
      </w:r>
    </w:p>
    <w:p>
      <w:pPr>
        <w:spacing w:after="0" w:line="1" w:lineRule="exact"/>
        <w:rPr>
          <w:rFonts w:ascii="Verdana" w:cs="Verdana" w:eastAsia="Verdana" w:hAnsi="Verdana"/>
          <w:sz w:val="18"/>
          <w:szCs w:val="18"/>
          <w:color w:val="auto"/>
        </w:rPr>
      </w:pPr>
    </w:p>
    <w:p>
      <w:pPr>
        <w:ind w:left="640" w:hanging="308"/>
        <w:spacing w:after="0" w:line="222" w:lineRule="auto"/>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Overall dollar-based net retention rate was 96%.</w:t>
      </w:r>
    </w:p>
    <w:p>
      <w:pPr>
        <w:ind w:left="640" w:hanging="308"/>
        <w:spacing w:after="0"/>
        <w:tabs>
          <w:tab w:leader="none" w:pos="640" w:val="left"/>
        </w:tabs>
        <w:numPr>
          <w:ilvl w:val="0"/>
          <w:numId w:val="3"/>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Core customers was 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134" w:right="339" w:bottom="1440" w:gutter="0" w:footer="0" w:header="0"/>
        </w:sectPr>
      </w:pPr>
    </w:p>
    <w:bookmarkStart w:id="4" w:name="page5"/>
    <w:bookmarkEnd w:id="4"/>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640" w:hanging="308"/>
        <w:spacing w:after="0"/>
        <w:tabs>
          <w:tab w:leader="none" w:pos="64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Dollar-based net retention rate for customers spending $100,000 or more on an annualized basis was 96%.</w:t>
      </w:r>
    </w:p>
    <w:p>
      <w:pPr>
        <w:ind w:left="660" w:right="320" w:hanging="328"/>
        <w:spacing w:after="0" w:line="229"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Appointed Aziz Megji as Chief Financial Officer to lead Asana’s financial strategy, planning, investor relations, and capital allocation.</w:t>
      </w:r>
    </w:p>
    <w:p>
      <w:pPr>
        <w:spacing w:after="0" w:line="1" w:lineRule="exact"/>
        <w:rPr>
          <w:rFonts w:ascii="Verdana" w:cs="Verdana" w:eastAsia="Verdana" w:hAnsi="Verdana"/>
          <w:sz w:val="18"/>
          <w:szCs w:val="18"/>
          <w:color w:val="auto"/>
        </w:rPr>
      </w:pPr>
    </w:p>
    <w:p>
      <w:pPr>
        <w:ind w:left="660" w:right="960" w:hanging="328"/>
        <w:spacing w:after="0" w:line="229"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Introduced AI Teammates to all customers — ready-to-deploy agents assigned like team members to lead initiatives, manage approvals, and coordinate deliverables autonomously alongside humans.</w:t>
      </w:r>
    </w:p>
    <w:p>
      <w:pPr>
        <w:spacing w:after="0" w:line="1" w:lineRule="exact"/>
        <w:rPr>
          <w:rFonts w:ascii="Verdana" w:cs="Verdana" w:eastAsia="Verdana" w:hAnsi="Verdana"/>
          <w:sz w:val="18"/>
          <w:szCs w:val="18"/>
          <w:color w:val="auto"/>
        </w:rPr>
      </w:pPr>
    </w:p>
    <w:p>
      <w:pPr>
        <w:ind w:left="660" w:right="140" w:hanging="328"/>
        <w:spacing w:after="0" w:line="222"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Ranked #1 Most Innovative Company in the Workplace category by Fast Company, validating that AI agents should be shared teammates embedded in how real teams work.</w:t>
      </w:r>
    </w:p>
    <w:p>
      <w:pPr>
        <w:ind w:left="660" w:right="720" w:hanging="328"/>
        <w:spacing w:after="0" w:line="229"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Received the Google Cloud Partner of the Year award, underscoring Asana’s position as a strategic enterprise partner for connecting work management with the broader Google ecosystem.</w:t>
      </w:r>
    </w:p>
    <w:p>
      <w:pPr>
        <w:spacing w:after="0" w:line="1" w:lineRule="exact"/>
        <w:rPr>
          <w:rFonts w:ascii="Verdana" w:cs="Verdana" w:eastAsia="Verdana" w:hAnsi="Verdana"/>
          <w:sz w:val="18"/>
          <w:szCs w:val="18"/>
          <w:color w:val="auto"/>
        </w:rPr>
      </w:pPr>
    </w:p>
    <w:p>
      <w:pPr>
        <w:ind w:left="660" w:right="500" w:hanging="328"/>
        <w:spacing w:after="0" w:line="229"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Named the only vendor to earn Customers' Choice distinction in both Gartner Voice of the Customer reports for Collaborative Work Management and Adaptive Project Management and Reporting.</w:t>
      </w:r>
    </w:p>
    <w:p>
      <w:pPr>
        <w:spacing w:after="0" w:line="1" w:lineRule="exact"/>
        <w:rPr>
          <w:rFonts w:ascii="Verdana" w:cs="Verdana" w:eastAsia="Verdana" w:hAnsi="Verdana"/>
          <w:sz w:val="18"/>
          <w:szCs w:val="18"/>
          <w:color w:val="auto"/>
        </w:rPr>
      </w:pPr>
    </w:p>
    <w:p>
      <w:pPr>
        <w:ind w:left="660" w:right="900" w:hanging="328"/>
        <w:spacing w:after="0" w:line="222"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Recognized global customers through 2026 Work Innovation Award winners for leveraging Asana and AI to automate workflows, increase productivity, and drive measurable business results across industries.</w:t>
      </w:r>
    </w:p>
    <w:p>
      <w:pPr>
        <w:ind w:left="660" w:right="120" w:hanging="328"/>
        <w:spacing w:after="0" w:line="238" w:lineRule="auto"/>
        <w:tabs>
          <w:tab w:leader="none" w:pos="650" w:val="left"/>
        </w:tabs>
        <w:numPr>
          <w:ilvl w:val="0"/>
          <w:numId w:val="4"/>
        </w:numPr>
        <w:rPr>
          <w:rFonts w:ascii="Verdana" w:cs="Verdana" w:eastAsia="Verdana" w:hAnsi="Verdana"/>
          <w:sz w:val="18"/>
          <w:szCs w:val="18"/>
          <w:color w:val="auto"/>
        </w:rPr>
      </w:pPr>
      <w:r>
        <w:rPr>
          <w:rFonts w:ascii="Verdana" w:cs="Verdana" w:eastAsia="Verdana" w:hAnsi="Verdana"/>
          <w:sz w:val="18"/>
          <w:szCs w:val="18"/>
          <w:color w:val="auto"/>
        </w:rPr>
        <w:t>Expanded customer engagement through Asana on Tour events in Boston, Los Angeles, and Dallas, providing hands-on education and best practice sharing to help organizations deepen product adoption, learn new workflows, and maximize platform value.</w:t>
      </w:r>
    </w:p>
    <w:p>
      <w:pPr>
        <w:spacing w:after="0" w:line="213"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Financial Outlook</w:t>
      </w:r>
    </w:p>
    <w:p>
      <w:pPr>
        <w:spacing w:after="0" w:line="240" w:lineRule="exact"/>
        <w:rPr>
          <w:sz w:val="20"/>
          <w:szCs w:val="20"/>
          <w:color w:val="auto"/>
        </w:rPr>
      </w:pPr>
    </w:p>
    <w:p>
      <w:pPr>
        <w:spacing w:after="0"/>
        <w:rPr>
          <w:sz w:val="20"/>
          <w:szCs w:val="20"/>
          <w:color w:val="auto"/>
        </w:rPr>
      </w:pPr>
      <w:r>
        <w:rPr>
          <w:rFonts w:ascii="Verdana" w:cs="Verdana" w:eastAsia="Verdana" w:hAnsi="Verdana"/>
          <w:sz w:val="18"/>
          <w:szCs w:val="18"/>
          <w:color w:val="auto"/>
        </w:rPr>
        <w:t>For the second quarter of fiscal 2027, Asana expects:</w:t>
      </w:r>
    </w:p>
    <w:p>
      <w:pPr>
        <w:spacing w:after="0" w:line="227" w:lineRule="exact"/>
        <w:rPr>
          <w:sz w:val="20"/>
          <w:szCs w:val="20"/>
          <w:color w:val="auto"/>
        </w:rPr>
      </w:pPr>
    </w:p>
    <w:p>
      <w:pPr>
        <w:ind w:left="660" w:right="500" w:hanging="328"/>
        <w:spacing w:after="0" w:line="229" w:lineRule="auto"/>
        <w:tabs>
          <w:tab w:leader="none" w:pos="65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Revenues of $213 million to $215 million, representing year-over-year growth of 8.2% to 9.2%, inclusive of an expected contribution of approximately 50 basis points to growth from the StackAI acquisition.</w:t>
      </w:r>
    </w:p>
    <w:p>
      <w:pPr>
        <w:spacing w:after="0" w:line="1" w:lineRule="exact"/>
        <w:rPr>
          <w:rFonts w:ascii="Verdana" w:cs="Verdana" w:eastAsia="Verdana" w:hAnsi="Verdana"/>
          <w:sz w:val="18"/>
          <w:szCs w:val="18"/>
          <w:color w:val="auto"/>
        </w:rPr>
      </w:pPr>
    </w:p>
    <w:p>
      <w:pPr>
        <w:ind w:left="640" w:hanging="308"/>
        <w:spacing w:after="0" w:line="222" w:lineRule="auto"/>
        <w:tabs>
          <w:tab w:leader="none" w:pos="64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Non-GAAP operating income of $18 million to $20 million, with 8.5% to 9.3% operating margin.</w:t>
      </w:r>
    </w:p>
    <w:p>
      <w:pPr>
        <w:ind w:left="660" w:right="660" w:hanging="328"/>
        <w:spacing w:after="0" w:line="239" w:lineRule="auto"/>
        <w:tabs>
          <w:tab w:leader="none" w:pos="650" w:val="left"/>
        </w:tabs>
        <w:numPr>
          <w:ilvl w:val="0"/>
          <w:numId w:val="5"/>
        </w:numPr>
        <w:rPr>
          <w:rFonts w:ascii="Verdana" w:cs="Verdana" w:eastAsia="Verdana" w:hAnsi="Verdana"/>
          <w:sz w:val="18"/>
          <w:szCs w:val="18"/>
          <w:color w:val="auto"/>
        </w:rPr>
      </w:pPr>
      <w:r>
        <w:rPr>
          <w:rFonts w:ascii="Verdana" w:cs="Verdana" w:eastAsia="Verdana" w:hAnsi="Verdana"/>
          <w:sz w:val="18"/>
          <w:szCs w:val="18"/>
          <w:color w:val="auto"/>
        </w:rPr>
        <w:t>Non-GAAP net income per share of $0.08 to $0.09, assuming diluted weighted average shares outstanding of approximately 237 million.</w:t>
      </w:r>
    </w:p>
    <w:p>
      <w:pPr>
        <w:spacing w:after="0" w:line="226" w:lineRule="exact"/>
        <w:rPr>
          <w:sz w:val="20"/>
          <w:szCs w:val="20"/>
          <w:color w:val="auto"/>
        </w:rPr>
      </w:pPr>
    </w:p>
    <w:p>
      <w:pPr>
        <w:spacing w:after="0"/>
        <w:rPr>
          <w:sz w:val="20"/>
          <w:szCs w:val="20"/>
          <w:color w:val="auto"/>
        </w:rPr>
      </w:pPr>
      <w:r>
        <w:rPr>
          <w:rFonts w:ascii="Verdana" w:cs="Verdana" w:eastAsia="Verdana" w:hAnsi="Verdana"/>
          <w:sz w:val="18"/>
          <w:szCs w:val="18"/>
          <w:color w:val="auto"/>
        </w:rPr>
        <w:t>For fiscal 2027, Asana expects:</w:t>
      </w:r>
    </w:p>
    <w:p>
      <w:pPr>
        <w:spacing w:after="0" w:line="227" w:lineRule="exact"/>
        <w:rPr>
          <w:sz w:val="20"/>
          <w:szCs w:val="20"/>
          <w:color w:val="auto"/>
        </w:rPr>
      </w:pPr>
    </w:p>
    <w:p>
      <w:pPr>
        <w:ind w:left="660" w:right="140" w:hanging="328"/>
        <w:spacing w:after="0" w:line="229" w:lineRule="auto"/>
        <w:tabs>
          <w:tab w:leader="none" w:pos="65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Revenues of $855.5 million to $863.5 million, representing year-over-year growth of 8.2% to 9.2%, inclusive of an expected contribution of approximately 50 basis points to growth from the StackAI acquisition.</w:t>
      </w:r>
    </w:p>
    <w:p>
      <w:pPr>
        <w:spacing w:after="0" w:line="1" w:lineRule="exact"/>
        <w:rPr>
          <w:rFonts w:ascii="Verdana" w:cs="Verdana" w:eastAsia="Verdana" w:hAnsi="Verdana"/>
          <w:sz w:val="18"/>
          <w:szCs w:val="18"/>
          <w:color w:val="auto"/>
        </w:rPr>
      </w:pPr>
    </w:p>
    <w:p>
      <w:pPr>
        <w:ind w:left="640" w:hanging="308"/>
        <w:spacing w:after="0" w:line="222" w:lineRule="auto"/>
        <w:tabs>
          <w:tab w:leader="none" w:pos="64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Non-GAAP operating margin of at least 9.75%.</w:t>
      </w:r>
    </w:p>
    <w:p>
      <w:pPr>
        <w:ind w:left="660" w:right="140" w:hanging="328"/>
        <w:spacing w:after="0" w:line="239" w:lineRule="auto"/>
        <w:tabs>
          <w:tab w:leader="none" w:pos="650" w:val="left"/>
        </w:tabs>
        <w:numPr>
          <w:ilvl w:val="0"/>
          <w:numId w:val="6"/>
        </w:numPr>
        <w:rPr>
          <w:rFonts w:ascii="Verdana" w:cs="Verdana" w:eastAsia="Verdana" w:hAnsi="Verdana"/>
          <w:sz w:val="18"/>
          <w:szCs w:val="18"/>
          <w:color w:val="auto"/>
        </w:rPr>
      </w:pPr>
      <w:r>
        <w:rPr>
          <w:rFonts w:ascii="Verdana" w:cs="Verdana" w:eastAsia="Verdana" w:hAnsi="Verdana"/>
          <w:sz w:val="18"/>
          <w:szCs w:val="18"/>
          <w:color w:val="auto"/>
        </w:rPr>
        <w:t>Non-GAAP net income per share of $0.37, assuming diluted weighted average shares outstanding of approximately 239 million.</w:t>
      </w:r>
    </w:p>
    <w:p>
      <w:pPr>
        <w:spacing w:after="0" w:line="226" w:lineRule="exact"/>
        <w:rPr>
          <w:sz w:val="20"/>
          <w:szCs w:val="20"/>
          <w:color w:val="auto"/>
        </w:rPr>
      </w:pPr>
    </w:p>
    <w:p>
      <w:pPr>
        <w:jc w:val="both"/>
        <w:ind w:right="80"/>
        <w:spacing w:after="0" w:line="233" w:lineRule="auto"/>
        <w:rPr>
          <w:sz w:val="20"/>
          <w:szCs w:val="20"/>
          <w:color w:val="auto"/>
        </w:rPr>
      </w:pPr>
      <w:r>
        <w:rPr>
          <w:rFonts w:ascii="Verdana" w:cs="Verdana" w:eastAsia="Verdana" w:hAnsi="Verdana"/>
          <w:sz w:val="18"/>
          <w:szCs w:val="18"/>
          <w:color w:val="auto"/>
        </w:rPr>
        <w:t>These statements are forward-looking and actual results may materially differ. Refer to the “Forward-Looking Statements” section below for information on the factors that could cause Asana’s actual results to materially differ from these forward-looking statements.</w:t>
      </w:r>
    </w:p>
    <w:p>
      <w:pPr>
        <w:spacing w:after="0" w:line="227" w:lineRule="exact"/>
        <w:rPr>
          <w:sz w:val="20"/>
          <w:szCs w:val="20"/>
          <w:color w:val="auto"/>
        </w:rPr>
      </w:pPr>
    </w:p>
    <w:p>
      <w:pPr>
        <w:spacing w:after="0" w:line="246" w:lineRule="auto"/>
        <w:rPr>
          <w:sz w:val="20"/>
          <w:szCs w:val="20"/>
          <w:color w:val="auto"/>
        </w:rPr>
      </w:pPr>
      <w:r>
        <w:rPr>
          <w:rFonts w:ascii="Verdana" w:cs="Verdana" w:eastAsia="Verdana" w:hAnsi="Verdana"/>
          <w:sz w:val="17"/>
          <w:szCs w:val="17"/>
          <w:color w:val="auto"/>
        </w:rPr>
        <w:t>A reconciliation of non-GAAP outlook measures to corresponding GAAP measures is not available on a forward-looking basis without unreasonable effort due to the uncertainty regarding, and the potential variability of, many of these costs and expenses that may be incurred in the future. Asana has provided a reconciliation of GAAP to non-GAAP financial measures in the financial statement tables for its first quarter fiscal year 2027 non-GAAP results included in this press release.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134" w:right="339" w:bottom="1440" w:gutter="0" w:footer="0" w:header="0"/>
        </w:sectPr>
      </w:pPr>
    </w:p>
    <w:bookmarkStart w:id="5" w:name="page6"/>
    <w:bookmarkEnd w:id="5"/>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Earnings Conference Call Information</w:t>
      </w:r>
    </w:p>
    <w:p>
      <w:pPr>
        <w:spacing w:after="0" w:line="227" w:lineRule="exact"/>
        <w:rPr>
          <w:sz w:val="20"/>
          <w:szCs w:val="20"/>
          <w:color w:val="auto"/>
        </w:rPr>
      </w:pPr>
    </w:p>
    <w:p>
      <w:pPr>
        <w:ind w:right="220"/>
        <w:spacing w:after="0" w:line="254" w:lineRule="auto"/>
        <w:rPr>
          <w:sz w:val="20"/>
          <w:szCs w:val="20"/>
          <w:color w:val="auto"/>
        </w:rPr>
      </w:pPr>
      <w:r>
        <w:rPr>
          <w:rFonts w:ascii="Verdana" w:cs="Verdana" w:eastAsia="Verdana" w:hAnsi="Verdana"/>
          <w:sz w:val="18"/>
          <w:szCs w:val="18"/>
          <w:color w:val="auto"/>
        </w:rPr>
        <w:t>Asana will hold a conference call and live webcast today to discuss these results at 1:30 p.m. Pacific Time. A live webcast and replay will be available on the Asana Investor Relations webpage at: https://investors.asana.com.</w:t>
      </w:r>
    </w:p>
    <w:p>
      <w:pPr>
        <w:spacing w:after="0" w:line="198"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Forward-Looking Statements</w:t>
      </w:r>
    </w:p>
    <w:p>
      <w:pPr>
        <w:spacing w:after="0" w:line="224" w:lineRule="exact"/>
        <w:rPr>
          <w:sz w:val="20"/>
          <w:szCs w:val="20"/>
          <w:color w:val="auto"/>
        </w:rPr>
      </w:pPr>
    </w:p>
    <w:p>
      <w:pPr>
        <w:spacing w:after="0"/>
        <w:rPr>
          <w:sz w:val="20"/>
          <w:szCs w:val="20"/>
          <w:color w:val="auto"/>
        </w:rPr>
      </w:pPr>
      <w:r>
        <w:rPr>
          <w:rFonts w:ascii="Verdana" w:cs="Verdana" w:eastAsia="Verdana" w:hAnsi="Verdana"/>
          <w:sz w:val="18"/>
          <w:szCs w:val="18"/>
          <w:color w:val="auto"/>
        </w:rPr>
        <w:t>This press release contains “forward-looking” statements within the meaning of the Private Securities Litigation Reform Act</w:t>
      </w:r>
    </w:p>
    <w:p>
      <w:pPr>
        <w:ind w:right="160"/>
        <w:spacing w:after="0"/>
        <w:rPr>
          <w:sz w:val="20"/>
          <w:szCs w:val="20"/>
          <w:color w:val="auto"/>
        </w:rPr>
      </w:pPr>
      <w:r>
        <w:rPr>
          <w:rFonts w:ascii="Verdana" w:cs="Verdana" w:eastAsia="Verdana" w:hAnsi="Verdana"/>
          <w:sz w:val="17"/>
          <w:szCs w:val="17"/>
          <w:color w:val="auto"/>
        </w:rPr>
        <w:t>of 1995 that are based on management’s beliefs and assumptions and on information currently available to management. Forward-looking statements include, but are not limited to, statements about our financial and operational performance, expectations related to our market opportunity, the potential and impact of AI, the expected benefits of AI Studio and AI</w:t>
      </w:r>
    </w:p>
    <w:p>
      <w:pPr>
        <w:spacing w:after="0" w:line="1" w:lineRule="exact"/>
        <w:rPr>
          <w:sz w:val="20"/>
          <w:szCs w:val="20"/>
          <w:color w:val="auto"/>
        </w:rPr>
      </w:pPr>
    </w:p>
    <w:p>
      <w:pPr>
        <w:ind w:right="240"/>
        <w:spacing w:after="0" w:line="227" w:lineRule="auto"/>
        <w:rPr>
          <w:sz w:val="20"/>
          <w:szCs w:val="20"/>
          <w:color w:val="auto"/>
        </w:rPr>
      </w:pPr>
      <w:r>
        <w:rPr>
          <w:rFonts w:ascii="Verdana" w:cs="Verdana" w:eastAsia="Verdana" w:hAnsi="Verdana"/>
          <w:sz w:val="18"/>
          <w:szCs w:val="18"/>
          <w:color w:val="auto"/>
        </w:rPr>
        <w:t xml:space="preserve">Teammates, including our expectations regarding revenue to be generated by AI Studio and AI Teammates, our ability to execute on our current strategies, including our acquisition of </w:t>
      </w:r>
      <w:r>
        <w:rPr>
          <w:rFonts w:ascii="Verdana" w:cs="Verdana" w:eastAsia="Verdana" w:hAnsi="Verdana"/>
          <w:sz w:val="17"/>
          <w:szCs w:val="17"/>
          <w:color w:val="auto"/>
        </w:rPr>
        <w:t>StackAI</w:t>
      </w:r>
      <w:r>
        <w:rPr>
          <w:rFonts w:ascii="Verdana" w:cs="Verdana" w:eastAsia="Verdana" w:hAnsi="Verdana"/>
          <w:sz w:val="18"/>
          <w:szCs w:val="18"/>
          <w:color w:val="auto"/>
        </w:rPr>
        <w:t xml:space="preserve">, our expectations regarding our acquisition of </w:t>
      </w:r>
      <w:r>
        <w:rPr>
          <w:rFonts w:ascii="Verdana" w:cs="Verdana" w:eastAsia="Verdana" w:hAnsi="Verdana"/>
          <w:sz w:val="17"/>
          <w:szCs w:val="17"/>
          <w:color w:val="auto"/>
        </w:rPr>
        <w:t>StackAI, including the potential benefits of the acquisition, our technology and brand position, expectations regarding</w:t>
      </w:r>
    </w:p>
    <w:p>
      <w:pPr>
        <w:ind w:right="220"/>
        <w:spacing w:after="0"/>
        <w:rPr>
          <w:sz w:val="20"/>
          <w:szCs w:val="20"/>
          <w:color w:val="auto"/>
        </w:rPr>
      </w:pPr>
      <w:r>
        <w:rPr>
          <w:rFonts w:ascii="Verdana" w:cs="Verdana" w:eastAsia="Verdana" w:hAnsi="Verdana"/>
          <w:sz w:val="17"/>
          <w:szCs w:val="17"/>
          <w:color w:val="auto"/>
        </w:rPr>
        <w:t>product launches and capabilities, our growth and expansion opportunities, Asana’s outlook for the fiscal quarter ending July 31, 2026 and the full fiscal year ending January 31, 2027, Asana’s outlook for the expected benefits of our offerings, and our market position. Forward-looking statements generally relate to future events or Asana’s future financial or</w:t>
      </w:r>
    </w:p>
    <w:p>
      <w:pPr>
        <w:spacing w:after="0" w:line="1" w:lineRule="exact"/>
        <w:rPr>
          <w:sz w:val="20"/>
          <w:szCs w:val="20"/>
          <w:color w:val="auto"/>
        </w:rPr>
      </w:pPr>
    </w:p>
    <w:p>
      <w:pPr>
        <w:jc w:val="both"/>
        <w:ind w:right="100"/>
        <w:spacing w:after="0"/>
        <w:rPr>
          <w:sz w:val="20"/>
          <w:szCs w:val="20"/>
          <w:color w:val="auto"/>
        </w:rPr>
      </w:pPr>
      <w:r>
        <w:rPr>
          <w:rFonts w:ascii="Verdana" w:cs="Verdana" w:eastAsia="Verdana" w:hAnsi="Verdana"/>
          <w:sz w:val="17"/>
          <w:szCs w:val="17"/>
          <w:color w:val="auto"/>
        </w:rPr>
        <w:t>operating performance. Forward-looking statements include all statements that are not historical facts and in some cases can be identified by terms such as “anticipate,” “expect,” “intend,” “plan,” “believe,” “continue,” “could,” “potential,” “may,” “will,” “goal,” or similar expressions and the negatives of those terms. However, not all forward-looking statements contain</w:t>
      </w:r>
    </w:p>
    <w:p>
      <w:pPr>
        <w:spacing w:after="0" w:line="1" w:lineRule="exact"/>
        <w:rPr>
          <w:sz w:val="20"/>
          <w:szCs w:val="20"/>
          <w:color w:val="auto"/>
        </w:rPr>
      </w:pPr>
    </w:p>
    <w:p>
      <w:pPr>
        <w:ind w:right="360"/>
        <w:spacing w:after="0"/>
        <w:rPr>
          <w:sz w:val="20"/>
          <w:szCs w:val="20"/>
          <w:color w:val="auto"/>
        </w:rPr>
      </w:pPr>
      <w:r>
        <w:rPr>
          <w:rFonts w:ascii="Verdana" w:cs="Verdana" w:eastAsia="Verdana" w:hAnsi="Verdana"/>
          <w:sz w:val="17"/>
          <w:szCs w:val="17"/>
          <w:color w:val="auto"/>
        </w:rPr>
        <w:t>these identifying words. Forward-looking statements involve known and unknown risks, uncertainties and other factors, including factors beyond Asana’s control, that may cause Asana’s actual results, performance or achievements to be materially different from any future results, performance or achievements expressed or implied by the forward-looking</w:t>
      </w:r>
    </w:p>
    <w:p>
      <w:pPr>
        <w:spacing w:after="0" w:line="1" w:lineRule="exact"/>
        <w:rPr>
          <w:sz w:val="20"/>
          <w:szCs w:val="20"/>
          <w:color w:val="auto"/>
        </w:rPr>
      </w:pPr>
    </w:p>
    <w:p>
      <w:pPr>
        <w:ind w:right="160"/>
        <w:spacing w:after="0"/>
        <w:rPr>
          <w:sz w:val="20"/>
          <w:szCs w:val="20"/>
          <w:color w:val="auto"/>
        </w:rPr>
      </w:pPr>
      <w:r>
        <w:rPr>
          <w:rFonts w:ascii="Verdana" w:cs="Verdana" w:eastAsia="Verdana" w:hAnsi="Verdana"/>
          <w:sz w:val="17"/>
          <w:szCs w:val="17"/>
          <w:color w:val="auto"/>
        </w:rPr>
        <w:t>statements. These risks include, but are not limited to, risks and uncertainties related to: Asana’s ability to achieve future growth and sustain its growth rate, Asana’s ability to attract and retain customers and increase sales to its customers, Asana’s ability to develop and release new products and services and to scale its platform, including the successful</w:t>
      </w:r>
    </w:p>
    <w:p>
      <w:pPr>
        <w:spacing w:after="0" w:line="1" w:lineRule="exact"/>
        <w:rPr>
          <w:sz w:val="20"/>
          <w:szCs w:val="20"/>
          <w:color w:val="auto"/>
        </w:rPr>
      </w:pPr>
    </w:p>
    <w:p>
      <w:pPr>
        <w:ind w:right="40"/>
        <w:spacing w:after="0"/>
        <w:rPr>
          <w:sz w:val="20"/>
          <w:szCs w:val="20"/>
          <w:color w:val="auto"/>
        </w:rPr>
      </w:pPr>
      <w:r>
        <w:rPr>
          <w:rFonts w:ascii="Verdana" w:cs="Verdana" w:eastAsia="Verdana" w:hAnsi="Verdana"/>
          <w:sz w:val="17"/>
          <w:szCs w:val="17"/>
          <w:color w:val="auto"/>
        </w:rPr>
        <w:t>integration of AI, Asana’s ability to increase adoption of its platform through Asana’s self-service model, Asana’s ability to maintain and grow its relationships with strategic partners, the highly competitive and rapidly evolving market in which Asana participates, Asana’s international expansion strategies, and broader macroeconomic conditions. Further information</w:t>
      </w:r>
    </w:p>
    <w:p>
      <w:pPr>
        <w:spacing w:after="0" w:line="1" w:lineRule="exact"/>
        <w:rPr>
          <w:sz w:val="20"/>
          <w:szCs w:val="20"/>
          <w:color w:val="auto"/>
        </w:rPr>
      </w:pPr>
    </w:p>
    <w:p>
      <w:pPr>
        <w:jc w:val="both"/>
        <w:ind w:right="220"/>
        <w:spacing w:after="0" w:line="227" w:lineRule="auto"/>
        <w:rPr>
          <w:sz w:val="20"/>
          <w:szCs w:val="20"/>
          <w:color w:val="auto"/>
        </w:rPr>
      </w:pPr>
      <w:r>
        <w:rPr>
          <w:rFonts w:ascii="Verdana" w:cs="Verdana" w:eastAsia="Verdana" w:hAnsi="Verdana"/>
          <w:sz w:val="18"/>
          <w:szCs w:val="18"/>
          <w:color w:val="auto"/>
        </w:rPr>
        <w:t>on risks that could cause actual results to differ materially from forecasted results are included in Asana’s filings with the SEC, including Asana’s Annual Report on Form 10-K for the year ended January 31, 2026 and subsequent filings with the SEC. Any forward-looking statements contained in this press release are based on assumptions that Asana believes to be</w:t>
      </w:r>
    </w:p>
    <w:p>
      <w:pPr>
        <w:jc w:val="both"/>
        <w:ind w:right="700"/>
        <w:spacing w:after="0" w:line="233" w:lineRule="auto"/>
        <w:rPr>
          <w:sz w:val="20"/>
          <w:szCs w:val="20"/>
          <w:color w:val="auto"/>
        </w:rPr>
      </w:pPr>
      <w:r>
        <w:rPr>
          <w:rFonts w:ascii="Verdana" w:cs="Verdana" w:eastAsia="Verdana" w:hAnsi="Verdana"/>
          <w:sz w:val="18"/>
          <w:szCs w:val="18"/>
          <w:color w:val="auto"/>
        </w:rPr>
        <w:t>reasonable as of this date. Except as required by law, Asana assumes no obligation to update these forward-looking statements, or to update the reasons if actual results differ materially from those anticipated in the forward-looking statements.</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Use of Non-GAAP Financial Measures</w:t>
      </w:r>
    </w:p>
    <w:p>
      <w:pPr>
        <w:spacing w:after="0" w:line="227" w:lineRule="exact"/>
        <w:rPr>
          <w:sz w:val="20"/>
          <w:szCs w:val="20"/>
          <w:color w:val="auto"/>
        </w:rPr>
      </w:pPr>
    </w:p>
    <w:p>
      <w:pPr>
        <w:ind w:right="500"/>
        <w:spacing w:after="0"/>
        <w:rPr>
          <w:sz w:val="20"/>
          <w:szCs w:val="20"/>
          <w:color w:val="auto"/>
        </w:rPr>
      </w:pPr>
      <w:r>
        <w:rPr>
          <w:rFonts w:ascii="Verdana" w:cs="Verdana" w:eastAsia="Verdana" w:hAnsi="Verdana"/>
          <w:sz w:val="17"/>
          <w:szCs w:val="17"/>
          <w:color w:val="auto"/>
        </w:rPr>
        <w:t>To supplement Asana’s consolidated financial statements, which are prepared and presented in accordance with GAAP, Asana utilizes certain non-GAAP financial measures to assist in understanding and evaluating its core operating performance. In this release, Asana’s non-GAAP gross margin, operating income, operating income as a percentage of</w:t>
      </w:r>
    </w:p>
    <w:p>
      <w:pPr>
        <w:spacing w:after="0" w:line="1" w:lineRule="exact"/>
        <w:rPr>
          <w:sz w:val="20"/>
          <w:szCs w:val="20"/>
          <w:color w:val="auto"/>
        </w:rPr>
      </w:pPr>
    </w:p>
    <w:p>
      <w:pPr>
        <w:ind w:right="140"/>
        <w:spacing w:after="0" w:line="233" w:lineRule="auto"/>
        <w:rPr>
          <w:sz w:val="20"/>
          <w:szCs w:val="20"/>
          <w:color w:val="auto"/>
        </w:rPr>
      </w:pPr>
      <w:r>
        <w:rPr>
          <w:rFonts w:ascii="Verdana" w:cs="Verdana" w:eastAsia="Verdana" w:hAnsi="Verdana"/>
          <w:sz w:val="18"/>
          <w:szCs w:val="18"/>
          <w:color w:val="auto"/>
        </w:rPr>
        <w:t xml:space="preserve">revenue, operating margin, net income, basic and diluted net income per share, adjusted free cash flow, and </w:t>
      </w:r>
      <w:r>
        <w:rPr>
          <w:rFonts w:ascii="Verdana" w:cs="Verdana" w:eastAsia="Verdana" w:hAnsi="Verdana"/>
          <w:sz w:val="18"/>
          <w:szCs w:val="18"/>
          <w:color w:val="0D0E10"/>
        </w:rPr>
        <w:t>revenues</w:t>
      </w:r>
      <w:r>
        <w:rPr>
          <w:rFonts w:ascii="Verdana" w:cs="Verdana" w:eastAsia="Verdana" w:hAnsi="Verdana"/>
          <w:sz w:val="18"/>
          <w:szCs w:val="18"/>
          <w:color w:val="auto"/>
        </w:rPr>
        <w:t xml:space="preserve"> </w:t>
      </w:r>
      <w:r>
        <w:rPr>
          <w:rFonts w:ascii="Verdana" w:cs="Verdana" w:eastAsia="Verdana" w:hAnsi="Verdana"/>
          <w:sz w:val="18"/>
          <w:szCs w:val="18"/>
          <w:color w:val="0D0E10"/>
        </w:rPr>
        <w:t xml:space="preserve">adjusted for the impact of foreign currency </w:t>
      </w:r>
      <w:r>
        <w:rPr>
          <w:rFonts w:ascii="Verdana" w:cs="Verdana" w:eastAsia="Verdana" w:hAnsi="Verdana"/>
          <w:sz w:val="18"/>
          <w:szCs w:val="18"/>
          <w:color w:val="000000"/>
        </w:rPr>
        <w:t>are not presented in accordance with GAAP and are not intended to be used in</w:t>
      </w:r>
      <w:r>
        <w:rPr>
          <w:rFonts w:ascii="Verdana" w:cs="Verdana" w:eastAsia="Verdana" w:hAnsi="Verdana"/>
          <w:sz w:val="18"/>
          <w:szCs w:val="18"/>
          <w:color w:val="0D0E10"/>
        </w:rPr>
        <w:t xml:space="preserve"> </w:t>
      </w:r>
      <w:r>
        <w:rPr>
          <w:rFonts w:ascii="Verdana" w:cs="Verdana" w:eastAsia="Verdana" w:hAnsi="Verdana"/>
          <w:sz w:val="18"/>
          <w:szCs w:val="18"/>
          <w:color w:val="000000"/>
        </w:rPr>
        <w:t>lieu of GAAP presentations of results of operations. These non-GAAP financial measures, which may be different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134" w:right="339" w:bottom="1440" w:gutter="0" w:footer="0" w:header="0"/>
        </w:sectPr>
      </w:pPr>
    </w:p>
    <w:bookmarkStart w:id="6" w:name="page7"/>
    <w:bookmarkEnd w:id="6"/>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160"/>
        <w:spacing w:after="0" w:line="243" w:lineRule="auto"/>
        <w:rPr>
          <w:sz w:val="20"/>
          <w:szCs w:val="20"/>
          <w:color w:val="auto"/>
        </w:rPr>
      </w:pPr>
      <w:r>
        <w:rPr>
          <w:rFonts w:ascii="Verdana" w:cs="Verdana" w:eastAsia="Verdana" w:hAnsi="Verdana"/>
          <w:sz w:val="17"/>
          <w:szCs w:val="17"/>
          <w:color w:val="auto"/>
        </w:rPr>
        <w:t>similarly titled measures used by other companies, are presented to enhance investors’ overall understanding of Asana’s financial performance and should not be considered a substitute for, or superior to, the financial information prepared and</w:t>
      </w:r>
    </w:p>
    <w:p>
      <w:pPr>
        <w:ind w:right="140"/>
        <w:spacing w:after="0" w:line="233" w:lineRule="auto"/>
        <w:rPr>
          <w:sz w:val="20"/>
          <w:szCs w:val="20"/>
          <w:color w:val="auto"/>
        </w:rPr>
      </w:pPr>
      <w:r>
        <w:rPr>
          <w:rFonts w:ascii="Verdana" w:cs="Verdana" w:eastAsia="Verdana" w:hAnsi="Verdana"/>
          <w:sz w:val="18"/>
          <w:szCs w:val="18"/>
          <w:color w:val="auto"/>
        </w:rPr>
        <w:t>presented in accordance with GAAP. Investors are encouraged to review the reconciliation of these non-GAAP measures to their most directly comparable GAAP financial measures which can be found in the accompanying financial statements included with this press release.</w:t>
      </w:r>
    </w:p>
    <w:p>
      <w:pPr>
        <w:spacing w:after="0" w:line="227" w:lineRule="exact"/>
        <w:rPr>
          <w:sz w:val="20"/>
          <w:szCs w:val="20"/>
          <w:color w:val="auto"/>
        </w:rPr>
      </w:pPr>
    </w:p>
    <w:p>
      <w:pPr>
        <w:ind w:right="80"/>
        <w:spacing w:after="0"/>
        <w:rPr>
          <w:sz w:val="20"/>
          <w:szCs w:val="20"/>
          <w:color w:val="auto"/>
        </w:rPr>
      </w:pPr>
      <w:r>
        <w:rPr>
          <w:rFonts w:ascii="Verdana" w:cs="Verdana" w:eastAsia="Verdana" w:hAnsi="Verdana"/>
          <w:sz w:val="17"/>
          <w:szCs w:val="17"/>
          <w:color w:val="auto"/>
        </w:rPr>
        <w:t>Asana is presenting these non-GAAP financial measures because it believes that these non-GAAP financial measures provide useful information about its financial performance, enhance the overall understanding of Asana’s past performance and future prospects, facilitate period-to-period comparisons of operations against other companies in Asana’s industry,</w:t>
      </w:r>
    </w:p>
    <w:p>
      <w:pPr>
        <w:spacing w:after="0" w:line="1" w:lineRule="exact"/>
        <w:rPr>
          <w:sz w:val="20"/>
          <w:szCs w:val="20"/>
          <w:color w:val="auto"/>
        </w:rPr>
      </w:pPr>
    </w:p>
    <w:p>
      <w:pPr>
        <w:ind w:right="700"/>
        <w:spacing w:after="0" w:line="239" w:lineRule="auto"/>
        <w:rPr>
          <w:sz w:val="20"/>
          <w:szCs w:val="20"/>
          <w:color w:val="auto"/>
        </w:rPr>
      </w:pPr>
      <w:r>
        <w:rPr>
          <w:rFonts w:ascii="Verdana" w:cs="Verdana" w:eastAsia="Verdana" w:hAnsi="Verdana"/>
          <w:sz w:val="18"/>
          <w:szCs w:val="18"/>
          <w:color w:val="auto"/>
        </w:rPr>
        <w:t>and allow for greater transparency with respect to important metrics used by Asana’s management for financial and operational decision-making.</w:t>
      </w:r>
    </w:p>
    <w:p>
      <w:pPr>
        <w:spacing w:after="0" w:line="212" w:lineRule="exact"/>
        <w:rPr>
          <w:sz w:val="20"/>
          <w:szCs w:val="20"/>
          <w:color w:val="auto"/>
        </w:rPr>
      </w:pPr>
    </w:p>
    <w:p>
      <w:pPr>
        <w:ind w:right="120"/>
        <w:spacing w:after="0" w:line="254" w:lineRule="auto"/>
        <w:rPr>
          <w:sz w:val="20"/>
          <w:szCs w:val="20"/>
          <w:color w:val="auto"/>
        </w:rPr>
      </w:pPr>
      <w:r>
        <w:rPr>
          <w:rFonts w:ascii="Verdana" w:cs="Verdana" w:eastAsia="Verdana" w:hAnsi="Verdana"/>
          <w:sz w:val="18"/>
          <w:szCs w:val="18"/>
          <w:color w:val="auto"/>
        </w:rPr>
        <w:t>Asana believes the following adjustments and exclusions from its non-GAAP financial measures are useful to investors and others in assessing Asana’s operating performance due to the following factors:</w:t>
      </w:r>
    </w:p>
    <w:p>
      <w:pPr>
        <w:spacing w:after="0" w:line="198" w:lineRule="exact"/>
        <w:rPr>
          <w:sz w:val="20"/>
          <w:szCs w:val="20"/>
          <w:color w:val="auto"/>
        </w:rPr>
      </w:pPr>
    </w:p>
    <w:p>
      <w:pPr>
        <w:ind w:left="660" w:right="220" w:hanging="328"/>
        <w:spacing w:after="0" w:line="22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Stock-based compensation expenses. </w:t>
      </w:r>
      <w:r>
        <w:rPr>
          <w:rFonts w:ascii="Verdana" w:cs="Verdana" w:eastAsia="Verdana" w:hAnsi="Verdana"/>
          <w:sz w:val="18"/>
          <w:szCs w:val="18"/>
          <w:color w:val="auto"/>
        </w:rPr>
        <w:t>Although stock-based compensation is an important aspect of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compensation of our employees and executives, management believes it is useful to exclude stock-based compensation expenses to better understand the long-term performance of Asana’s core business and to facilitate comparison of its results to those of peer companies.</w:t>
      </w:r>
    </w:p>
    <w:p>
      <w:pPr>
        <w:spacing w:after="0" w:line="3" w:lineRule="exact"/>
        <w:rPr>
          <w:rFonts w:ascii="Verdana" w:cs="Verdana" w:eastAsia="Verdana" w:hAnsi="Verdana"/>
          <w:sz w:val="18"/>
          <w:szCs w:val="18"/>
          <w:color w:val="auto"/>
        </w:rPr>
      </w:pPr>
    </w:p>
    <w:p>
      <w:pPr>
        <w:ind w:left="660" w:right="240" w:hanging="328"/>
        <w:spacing w:after="0" w:line="229"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Amortization of stock-based compensation capitalized in internal-use software. </w:t>
      </w:r>
      <w:r>
        <w:rPr>
          <w:rFonts w:ascii="Verdana" w:cs="Verdana" w:eastAsia="Verdana" w:hAnsi="Verdana"/>
          <w:sz w:val="18"/>
          <w:szCs w:val="18"/>
          <w:color w:val="auto"/>
        </w:rPr>
        <w:t>Consistent with our exclusion of</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stock-based compensation expenses, management believes it is useful to exclude the amortization of stock-based compensation capitalized in internal-use software in order to better understand the long-term performance of Asana’s core business and to facilitate comparison of its results to those of peer companies.</w:t>
      </w:r>
    </w:p>
    <w:p>
      <w:pPr>
        <w:spacing w:after="0" w:line="2" w:lineRule="exact"/>
        <w:rPr>
          <w:rFonts w:ascii="Verdana" w:cs="Verdana" w:eastAsia="Verdana" w:hAnsi="Verdana"/>
          <w:sz w:val="18"/>
          <w:szCs w:val="18"/>
          <w:color w:val="auto"/>
        </w:rPr>
      </w:pPr>
    </w:p>
    <w:p>
      <w:pPr>
        <w:ind w:left="660" w:right="320" w:hanging="328"/>
        <w:spacing w:after="0" w:line="227"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Employer payroll tax associated with RSUs. </w:t>
      </w:r>
      <w:r>
        <w:rPr>
          <w:rFonts w:ascii="Verdana" w:cs="Verdana" w:eastAsia="Verdana" w:hAnsi="Verdana"/>
          <w:sz w:val="18"/>
          <w:szCs w:val="18"/>
          <w:color w:val="auto"/>
        </w:rPr>
        <w:t>The amount of employer payroll tax-related items on employee stock</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transactions is dependent on Asana’s stock price and other factors that are beyond its control and that do not correlate to the operation of the business.</w:t>
      </w:r>
    </w:p>
    <w:p>
      <w:pPr>
        <w:jc w:val="both"/>
        <w:ind w:left="660" w:right="760" w:hanging="328"/>
        <w:spacing w:after="0" w:line="227"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Non-cash expenses</w:t>
      </w:r>
      <w:r>
        <w:rPr>
          <w:rFonts w:ascii="Verdana" w:cs="Verdana" w:eastAsia="Verdana" w:hAnsi="Verdana"/>
          <w:sz w:val="18"/>
          <w:szCs w:val="18"/>
          <w:color w:val="auto"/>
        </w:rPr>
        <w:t>. Non-cash expenses include charges for impairment of long-lived assets. We believe the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exclusion of certain non-cash items provides useful supplemental information to investors and facilitates the analysis of its operating results and comparison of operating results across reporting periods.</w:t>
      </w:r>
    </w:p>
    <w:p>
      <w:pPr>
        <w:ind w:left="660" w:right="120" w:hanging="328"/>
        <w:spacing w:after="0" w:line="225"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Restructuring related costs (benefits). </w:t>
      </w:r>
      <w:r>
        <w:rPr>
          <w:rFonts w:ascii="Verdana" w:cs="Verdana" w:eastAsia="Verdana" w:hAnsi="Verdana"/>
          <w:sz w:val="18"/>
          <w:szCs w:val="18"/>
          <w:color w:val="auto"/>
        </w:rPr>
        <w:t>These charges are associated with the re-alignment of our organization to</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meet business needs, top strategic priorities, and key growth opportunities. We believe it is useful to exclude these expenses in order to better understand the long-term performance of our core business, to facilitate comparison of our results to those of peer companies, and to facilitate comparison over multiple periods.</w:t>
      </w:r>
    </w:p>
    <w:p>
      <w:pPr>
        <w:spacing w:after="0" w:line="3" w:lineRule="exact"/>
        <w:rPr>
          <w:rFonts w:ascii="Verdana" w:cs="Verdana" w:eastAsia="Verdana" w:hAnsi="Verdana"/>
          <w:sz w:val="18"/>
          <w:szCs w:val="18"/>
          <w:color w:val="auto"/>
        </w:rPr>
      </w:pPr>
    </w:p>
    <w:p>
      <w:pPr>
        <w:ind w:left="660" w:right="360" w:hanging="328"/>
        <w:spacing w:after="0" w:line="222"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Acquisition-related costs. </w:t>
      </w:r>
      <w:r>
        <w:rPr>
          <w:rFonts w:ascii="Verdana" w:cs="Verdana" w:eastAsia="Verdana" w:hAnsi="Verdana"/>
          <w:sz w:val="18"/>
          <w:szCs w:val="18"/>
          <w:color w:val="auto"/>
        </w:rPr>
        <w:t>Acquisition-related costs include direct transaction costs, such as professional and</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advisory fees. We believe it is useful to exclude these costs to facilitate the comparison of our financial results to those of peer companies, and to facilitate comparison over multiple periods.</w:t>
      </w:r>
    </w:p>
    <w:p>
      <w:pPr>
        <w:ind w:left="660" w:right="20" w:hanging="328"/>
        <w:spacing w:after="0" w:line="231" w:lineRule="auto"/>
        <w:tabs>
          <w:tab w:leader="none" w:pos="650" w:val="left"/>
        </w:tabs>
        <w:numPr>
          <w:ilvl w:val="0"/>
          <w:numId w:val="7"/>
        </w:numPr>
        <w:rPr>
          <w:rFonts w:ascii="Verdana" w:cs="Verdana" w:eastAsia="Verdana" w:hAnsi="Verdana"/>
          <w:sz w:val="18"/>
          <w:szCs w:val="18"/>
          <w:color w:val="auto"/>
        </w:rPr>
      </w:pPr>
      <w:r>
        <w:rPr>
          <w:rFonts w:ascii="Verdana" w:cs="Verdana" w:eastAsia="Verdana" w:hAnsi="Verdana"/>
          <w:sz w:val="18"/>
          <w:szCs w:val="18"/>
          <w:i w:val="1"/>
          <w:iCs w:val="1"/>
          <w:color w:val="auto"/>
        </w:rPr>
        <w:t xml:space="preserve">Revenues adjusted for the impact of foreign currency. </w:t>
      </w:r>
      <w:r>
        <w:rPr>
          <w:rFonts w:ascii="Verdana" w:cs="Verdana" w:eastAsia="Verdana" w:hAnsi="Verdana"/>
          <w:sz w:val="18"/>
          <w:szCs w:val="18"/>
          <w:color w:val="auto"/>
        </w:rPr>
        <w:t>Calculated by applying the comparative prior period average</w:t>
      </w:r>
      <w:r>
        <w:rPr>
          <w:rFonts w:ascii="Verdana" w:cs="Verdana" w:eastAsia="Verdana" w:hAnsi="Verdana"/>
          <w:sz w:val="18"/>
          <w:szCs w:val="18"/>
          <w:i w:val="1"/>
          <w:iCs w:val="1"/>
          <w:color w:val="auto"/>
        </w:rPr>
        <w:t xml:space="preserve"> </w:t>
      </w:r>
      <w:r>
        <w:rPr>
          <w:rFonts w:ascii="Verdana" w:cs="Verdana" w:eastAsia="Verdana" w:hAnsi="Verdana"/>
          <w:sz w:val="18"/>
          <w:szCs w:val="18"/>
          <w:color w:val="auto"/>
        </w:rPr>
        <w:t>exchange rates to revenue recognized on invoices billed in currencies other than United States dollars in the current period. Asana provides revenues adjusted for the impact of foreign exchange rates as a framework for assessing how our underlying business performed from period to period, excluding the effects of foreign currency fluctuations. The growth rates for revenues adjusted for the impact of foreign currency are calculated by comparing the revenues adjusted for the impact of foreign currency in the current period to the GAAP revenue from the comparable prior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240"/>
          </w:cols>
          <w:pgMar w:left="320" w:top="134" w:right="339" w:bottom="1440" w:gutter="0" w:footer="0" w:header="0"/>
        </w:sectPr>
      </w:pPr>
    </w:p>
    <w:bookmarkStart w:id="7" w:name="page8"/>
    <w:bookmarkEnd w:id="7"/>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right="300"/>
        <w:spacing w:after="0" w:line="243" w:lineRule="auto"/>
        <w:rPr>
          <w:sz w:val="20"/>
          <w:szCs w:val="20"/>
          <w:color w:val="auto"/>
        </w:rPr>
      </w:pPr>
      <w:r>
        <w:rPr>
          <w:rFonts w:ascii="Verdana" w:cs="Verdana" w:eastAsia="Verdana" w:hAnsi="Verdana"/>
          <w:sz w:val="17"/>
          <w:szCs w:val="17"/>
          <w:color w:val="auto"/>
        </w:rPr>
        <w:t>There are a number of limitations related to the use of non-GAAP financial measures as compared to GAAP financial measures, including that the non-GAAP financial measures exclude stock-based compensation expense, which has been,</w:t>
      </w:r>
    </w:p>
    <w:p>
      <w:pPr>
        <w:spacing w:after="0" w:line="239" w:lineRule="auto"/>
        <w:rPr>
          <w:sz w:val="20"/>
          <w:szCs w:val="20"/>
          <w:color w:val="auto"/>
        </w:rPr>
      </w:pPr>
      <w:r>
        <w:rPr>
          <w:rFonts w:ascii="Verdana" w:cs="Verdana" w:eastAsia="Verdana" w:hAnsi="Verdana"/>
          <w:sz w:val="18"/>
          <w:szCs w:val="18"/>
          <w:color w:val="auto"/>
        </w:rPr>
        <w:t>and will continue to be for the foreseeable future, a significant recurring expense in Asana’s business and an important part of its compensation strategy.</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In addition to the non-GAAP financial measures outlined above, Asana also uses the non-GAAP financial measure of</w:t>
      </w:r>
    </w:p>
    <w:p>
      <w:pPr>
        <w:ind w:right="80"/>
        <w:spacing w:after="0"/>
        <w:rPr>
          <w:sz w:val="20"/>
          <w:szCs w:val="20"/>
          <w:color w:val="auto"/>
        </w:rPr>
      </w:pPr>
      <w:r>
        <w:rPr>
          <w:rFonts w:ascii="Verdana" w:cs="Verdana" w:eastAsia="Verdana" w:hAnsi="Verdana"/>
          <w:sz w:val="17"/>
          <w:szCs w:val="17"/>
          <w:color w:val="auto"/>
        </w:rPr>
        <w:t>adjusted free cash flow, which is defined as free cash flow plus costs paid related to restructuring. Asana believes adjusted free cash flow is an important liquidity measure of the cash that is available, after capital expenditures and operational expenses, for investment in its business and to make acquisitions. Asana believes that adjusted free cash flow is useful to</w:t>
      </w:r>
    </w:p>
    <w:p>
      <w:pPr>
        <w:spacing w:after="0" w:line="1" w:lineRule="exact"/>
        <w:rPr>
          <w:sz w:val="20"/>
          <w:szCs w:val="20"/>
          <w:color w:val="auto"/>
        </w:rPr>
      </w:pPr>
    </w:p>
    <w:p>
      <w:pPr>
        <w:ind w:right="300"/>
        <w:spacing w:after="0"/>
        <w:rPr>
          <w:sz w:val="20"/>
          <w:szCs w:val="20"/>
          <w:color w:val="auto"/>
        </w:rPr>
      </w:pPr>
      <w:r>
        <w:rPr>
          <w:rFonts w:ascii="Verdana" w:cs="Verdana" w:eastAsia="Verdana" w:hAnsi="Verdana"/>
          <w:sz w:val="17"/>
          <w:szCs w:val="17"/>
          <w:color w:val="auto"/>
        </w:rPr>
        <w:t>investors as a liquidity measure because it measures Asana’s ability to generate or use cash. There are a number of limitations related to the use of adjusted free cash flow as compared to net cash from operating activities, including that adjusted free cash flow excludes capital expenditures, the benefits of which are realized in periods subsequent to those</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when expenditures are made.</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Definitions of Business Metrics</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$5,000 or more on an annualized basis, or Core customers</w:t>
      </w:r>
    </w:p>
    <w:p>
      <w:pPr>
        <w:spacing w:after="0" w:line="240" w:lineRule="exact"/>
        <w:rPr>
          <w:sz w:val="20"/>
          <w:szCs w:val="20"/>
          <w:color w:val="auto"/>
        </w:rPr>
      </w:pPr>
    </w:p>
    <w:p>
      <w:pPr>
        <w:ind w:right="40"/>
        <w:spacing w:after="0" w:line="239" w:lineRule="auto"/>
        <w:rPr>
          <w:sz w:val="20"/>
          <w:szCs w:val="20"/>
          <w:color w:val="auto"/>
        </w:rPr>
      </w:pPr>
      <w:r>
        <w:rPr>
          <w:rFonts w:ascii="Verdana" w:cs="Verdana" w:eastAsia="Verdana" w:hAnsi="Verdana"/>
          <w:sz w:val="18"/>
          <w:szCs w:val="18"/>
          <w:color w:val="auto"/>
        </w:rPr>
        <w:t>We define customers spending $5,000 or more, which we also refer to as Core customers, as those organizations on a paid subscription plan that had $5,000 or more in annualized GAAP revenues in a given quarter, inclusive of discounts.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Customers spending $100,000 or more on an annualized basis</w:t>
      </w:r>
    </w:p>
    <w:p>
      <w:pPr>
        <w:spacing w:after="0" w:line="240" w:lineRule="exact"/>
        <w:rPr>
          <w:sz w:val="20"/>
          <w:szCs w:val="20"/>
          <w:color w:val="auto"/>
        </w:rPr>
      </w:pPr>
    </w:p>
    <w:p>
      <w:pPr>
        <w:ind w:right="160"/>
        <w:spacing w:after="0" w:line="239" w:lineRule="auto"/>
        <w:rPr>
          <w:sz w:val="20"/>
          <w:szCs w:val="20"/>
          <w:color w:val="auto"/>
        </w:rPr>
      </w:pPr>
      <w:r>
        <w:rPr>
          <w:rFonts w:ascii="Verdana" w:cs="Verdana" w:eastAsia="Verdana" w:hAnsi="Verdana"/>
          <w:sz w:val="18"/>
          <w:szCs w:val="18"/>
          <w:color w:val="auto"/>
        </w:rPr>
        <w:t>We define customers spending $100,000 or more as those organizations on a paid subscription plan that had $100,000 or more in annualized GAAP revenues in a given quarter, inclusive of discounts.</w:t>
      </w:r>
    </w:p>
    <w:p>
      <w:pPr>
        <w:spacing w:after="0" w:line="212" w:lineRule="exact"/>
        <w:rPr>
          <w:sz w:val="20"/>
          <w:szCs w:val="20"/>
          <w:color w:val="auto"/>
        </w:rPr>
      </w:pPr>
    </w:p>
    <w:p>
      <w:pPr>
        <w:spacing w:after="0"/>
        <w:rPr>
          <w:sz w:val="20"/>
          <w:szCs w:val="20"/>
          <w:color w:val="auto"/>
        </w:rPr>
      </w:pPr>
      <w:r>
        <w:rPr>
          <w:rFonts w:ascii="Verdana" w:cs="Verdana" w:eastAsia="Verdana" w:hAnsi="Verdana"/>
          <w:sz w:val="18"/>
          <w:szCs w:val="18"/>
          <w:i w:val="1"/>
          <w:iCs w:val="1"/>
          <w:color w:val="auto"/>
        </w:rPr>
        <w:t>Dollar-based net retention rate</w:t>
      </w:r>
    </w:p>
    <w:p>
      <w:pPr>
        <w:spacing w:after="0" w:line="240" w:lineRule="exact"/>
        <w:rPr>
          <w:sz w:val="20"/>
          <w:szCs w:val="20"/>
          <w:color w:val="auto"/>
        </w:rPr>
      </w:pPr>
    </w:p>
    <w:p>
      <w:pPr>
        <w:ind w:right="400"/>
        <w:spacing w:after="0"/>
        <w:rPr>
          <w:sz w:val="20"/>
          <w:szCs w:val="20"/>
          <w:color w:val="auto"/>
        </w:rPr>
      </w:pPr>
      <w:r>
        <w:rPr>
          <w:rFonts w:ascii="Verdana" w:cs="Verdana" w:eastAsia="Verdana" w:hAnsi="Verdana"/>
          <w:sz w:val="17"/>
          <w:szCs w:val="17"/>
          <w:color w:val="auto"/>
        </w:rPr>
        <w:t>Asana’s reported dollar-based net retention rate equals the simple arithmetic average of its quarterly dollar-based net retention rate for the four quarters ending with the most recent fiscal quarter. Asana calculates its dollar-based net retention rate by comparing its revenues from the same set of customers in a given quarter, relative to the comparable</w:t>
      </w:r>
    </w:p>
    <w:p>
      <w:pPr>
        <w:spacing w:after="0" w:line="1" w:lineRule="exact"/>
        <w:rPr>
          <w:sz w:val="20"/>
          <w:szCs w:val="20"/>
          <w:color w:val="auto"/>
        </w:rPr>
      </w:pPr>
    </w:p>
    <w:p>
      <w:pPr>
        <w:ind w:right="20"/>
        <w:spacing w:after="0" w:line="227" w:lineRule="auto"/>
        <w:rPr>
          <w:sz w:val="20"/>
          <w:szCs w:val="20"/>
          <w:color w:val="auto"/>
        </w:rPr>
      </w:pPr>
      <w:r>
        <w:rPr>
          <w:rFonts w:ascii="Verdana" w:cs="Verdana" w:eastAsia="Verdana" w:hAnsi="Verdana"/>
          <w:sz w:val="18"/>
          <w:szCs w:val="18"/>
          <w:color w:val="auto"/>
        </w:rPr>
        <w:t>prior-year period. To calculate Asana’s dollar-based net retention rate for a given quarter, Asana starts with the revenues in that quarter from customers that generated revenues in the same quarter of the prior year. Asana then divides that amount by the revenues attributable to that same group of customers in the prior-year quarter. Current period revenues</w:t>
      </w:r>
    </w:p>
    <w:p>
      <w:pPr>
        <w:ind w:right="100"/>
        <w:spacing w:after="0" w:line="227" w:lineRule="auto"/>
        <w:rPr>
          <w:sz w:val="20"/>
          <w:szCs w:val="20"/>
          <w:color w:val="auto"/>
        </w:rPr>
      </w:pPr>
      <w:r>
        <w:rPr>
          <w:rFonts w:ascii="Verdana" w:cs="Verdana" w:eastAsia="Verdana" w:hAnsi="Verdana"/>
          <w:sz w:val="18"/>
          <w:szCs w:val="18"/>
          <w:color w:val="auto"/>
        </w:rPr>
        <w:t>include any upsells and are net of contraction or attrition over the trailing 12 months, but exclude revenues from new customers in the current period. Asana expects its dollar-based net retention rate to fluctuate in future periods due to a number of factors, including the expected growth of its revenue base, the level of penetration within its customer base, its</w:t>
      </w:r>
    </w:p>
    <w:p>
      <w:pPr>
        <w:spacing w:after="0"/>
        <w:rPr>
          <w:sz w:val="20"/>
          <w:szCs w:val="20"/>
          <w:color w:val="auto"/>
        </w:rPr>
      </w:pPr>
      <w:r>
        <w:rPr>
          <w:rFonts w:ascii="Verdana" w:cs="Verdana" w:eastAsia="Verdana" w:hAnsi="Verdana"/>
          <w:sz w:val="18"/>
          <w:szCs w:val="18"/>
          <w:color w:val="auto"/>
        </w:rPr>
        <w:t>ability to retain its customers, and the macroeconomic environment.</w:t>
      </w:r>
    </w:p>
    <w:p>
      <w:pPr>
        <w:spacing w:after="0" w:line="227"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About Asana</w:t>
      </w:r>
    </w:p>
    <w:p>
      <w:pPr>
        <w:spacing w:after="0" w:line="89" w:lineRule="exact"/>
        <w:rPr>
          <w:sz w:val="20"/>
          <w:szCs w:val="20"/>
          <w:color w:val="auto"/>
        </w:rPr>
      </w:pPr>
    </w:p>
    <w:p>
      <w:pPr>
        <w:spacing w:after="0"/>
        <w:rPr>
          <w:sz w:val="20"/>
          <w:szCs w:val="20"/>
          <w:color w:val="auto"/>
        </w:rPr>
      </w:pPr>
      <w:r>
        <w:rPr>
          <w:rFonts w:ascii="Verdana" w:cs="Verdana" w:eastAsia="Verdana" w:hAnsi="Verdana"/>
          <w:sz w:val="18"/>
          <w:szCs w:val="18"/>
          <w:color w:val="auto"/>
        </w:rPr>
        <w:t>Asana is the operating system for human-agent teams. Built on the Enterprise Work Graph and 18 years of multiplayer</w:t>
      </w:r>
    </w:p>
    <w:p>
      <w:pPr>
        <w:ind w:right="400"/>
        <w:spacing w:after="0" w:line="239" w:lineRule="auto"/>
        <w:rPr>
          <w:sz w:val="20"/>
          <w:szCs w:val="20"/>
          <w:color w:val="auto"/>
        </w:rPr>
      </w:pPr>
      <w:r>
        <w:rPr>
          <w:rFonts w:ascii="Verdana" w:cs="Verdana" w:eastAsia="Verdana" w:hAnsi="Verdana"/>
          <w:sz w:val="18"/>
          <w:szCs w:val="18"/>
          <w:color w:val="auto"/>
        </w:rPr>
        <w:t>architecture, Asana is where an organization’s humans and agents run critical workflows together - from a shared plan, with shared memory, all under enterprise-grade governance. Learn more at asana.com.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134" w:right="339" w:bottom="1440" w:gutter="0" w:footer="0" w:header="0"/>
        </w:sectPr>
      </w:pPr>
    </w:p>
    <w:bookmarkStart w:id="8" w:name="page9"/>
    <w:bookmarkEnd w:id="8"/>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Verdana" w:cs="Verdana" w:eastAsia="Verdana" w:hAnsi="Verdana"/>
          <w:sz w:val="18"/>
          <w:szCs w:val="18"/>
          <w:b w:val="1"/>
          <w:bCs w:val="1"/>
          <w:color w:val="auto"/>
        </w:rPr>
        <w:t>Disclosure of Material Information</w:t>
      </w:r>
    </w:p>
    <w:p>
      <w:pPr>
        <w:spacing w:after="0" w:line="89" w:lineRule="exact"/>
        <w:rPr>
          <w:sz w:val="20"/>
          <w:szCs w:val="20"/>
          <w:color w:val="auto"/>
        </w:rPr>
      </w:pPr>
    </w:p>
    <w:p>
      <w:pPr>
        <w:spacing w:after="0"/>
        <w:rPr>
          <w:sz w:val="20"/>
          <w:szCs w:val="20"/>
          <w:color w:val="auto"/>
        </w:rPr>
      </w:pPr>
      <w:r>
        <w:rPr>
          <w:rFonts w:ascii="Verdana" w:cs="Verdana" w:eastAsia="Verdana" w:hAnsi="Verdana"/>
          <w:sz w:val="18"/>
          <w:szCs w:val="18"/>
          <w:color w:val="auto"/>
        </w:rPr>
        <w:t>Asana announces material information to its investors using SEC filings, press releases, public conference calls, and on its</w:t>
      </w:r>
    </w:p>
    <w:p>
      <w:pPr>
        <w:ind w:right="380"/>
        <w:spacing w:after="0"/>
        <w:rPr>
          <w:sz w:val="20"/>
          <w:szCs w:val="20"/>
          <w:color w:val="auto"/>
        </w:rPr>
      </w:pPr>
      <w:r>
        <w:rPr>
          <w:rFonts w:ascii="Verdana" w:cs="Verdana" w:eastAsia="Verdana" w:hAnsi="Verdana"/>
          <w:sz w:val="17"/>
          <w:szCs w:val="17"/>
          <w:color w:val="auto"/>
        </w:rPr>
        <w:t>investor relations page of Asana’s website at https://investors.asana.com. Asana uses these channels, as well as social media, including its X (formerly Twitter) account (@asana), its blog (blog.asana.com), its LinkedIn page (www.linkedin.com/company/asana), its Instagram account (@asana), its Facebook page (www.facebook.com/asana/),</w:t>
      </w:r>
    </w:p>
    <w:p>
      <w:pPr>
        <w:spacing w:after="0" w:line="1" w:lineRule="exact"/>
        <w:rPr>
          <w:sz w:val="20"/>
          <w:szCs w:val="20"/>
          <w:color w:val="auto"/>
        </w:rPr>
      </w:pPr>
    </w:p>
    <w:p>
      <w:pPr>
        <w:ind w:right="20"/>
        <w:spacing w:after="0" w:line="227" w:lineRule="auto"/>
        <w:rPr>
          <w:sz w:val="20"/>
          <w:szCs w:val="20"/>
          <w:color w:val="auto"/>
        </w:rPr>
      </w:pPr>
      <w:r>
        <w:rPr>
          <w:rFonts w:ascii="Verdana" w:cs="Verdana" w:eastAsia="Verdana" w:hAnsi="Verdana"/>
          <w:sz w:val="18"/>
          <w:szCs w:val="18"/>
          <w:color w:val="auto"/>
        </w:rPr>
        <w:t>Threads profile (@asana) and TikTok account (@asana), to communicate with investors and the public about Asana, its products and services and other matters. Therefore, Asana encourages investors, the media and others interested in Asana to review the information it makes public in these locations, as such information could be deemed to be material</w:t>
      </w:r>
    </w:p>
    <w:p>
      <w:pPr>
        <w:spacing w:after="0"/>
        <w:rPr>
          <w:sz w:val="20"/>
          <w:szCs w:val="20"/>
          <w:color w:val="auto"/>
        </w:rPr>
      </w:pPr>
      <w:r>
        <w:rPr>
          <w:rFonts w:ascii="Verdana" w:cs="Verdana" w:eastAsia="Verdana" w:hAnsi="Verdana"/>
          <w:sz w:val="18"/>
          <w:szCs w:val="18"/>
          <w:color w:val="auto"/>
        </w:rPr>
        <w:t>information.</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Eva Leung</w:t>
      </w:r>
    </w:p>
    <w:p>
      <w:pPr>
        <w:spacing w:after="0" w:line="236" w:lineRule="auto"/>
        <w:rPr>
          <w:sz w:val="20"/>
          <w:szCs w:val="20"/>
          <w:color w:val="auto"/>
        </w:rPr>
      </w:pPr>
      <w:r>
        <w:rPr>
          <w:rFonts w:ascii="Verdana" w:cs="Verdana" w:eastAsia="Verdana" w:hAnsi="Verdana"/>
          <w:sz w:val="18"/>
          <w:szCs w:val="18"/>
          <w:color w:val="auto"/>
        </w:rPr>
        <w:t>Asana Investor Relations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ir@asana.com</w:t>
      </w:r>
    </w:p>
    <w:p>
      <w:pPr>
        <w:spacing w:after="0" w:line="210" w:lineRule="exact"/>
        <w:rPr>
          <w:sz w:val="20"/>
          <w:szCs w:val="20"/>
          <w:color w:val="auto"/>
        </w:rPr>
      </w:pPr>
    </w:p>
    <w:p>
      <w:pPr>
        <w:spacing w:after="0"/>
        <w:rPr>
          <w:sz w:val="20"/>
          <w:szCs w:val="20"/>
          <w:color w:val="auto"/>
        </w:rPr>
      </w:pPr>
      <w:r>
        <w:rPr>
          <w:rFonts w:ascii="Verdana" w:cs="Verdana" w:eastAsia="Verdana" w:hAnsi="Verdana"/>
          <w:sz w:val="18"/>
          <w:szCs w:val="18"/>
          <w:color w:val="auto"/>
        </w:rPr>
        <w:t>Frances Ward</w:t>
      </w:r>
    </w:p>
    <w:p>
      <w:pPr>
        <w:spacing w:after="0" w:line="236" w:lineRule="auto"/>
        <w:rPr>
          <w:sz w:val="20"/>
          <w:szCs w:val="20"/>
          <w:color w:val="auto"/>
        </w:rPr>
      </w:pPr>
      <w:r>
        <w:rPr>
          <w:rFonts w:ascii="Verdana" w:cs="Verdana" w:eastAsia="Verdana" w:hAnsi="Verdana"/>
          <w:sz w:val="18"/>
          <w:szCs w:val="18"/>
          <w:color w:val="auto"/>
        </w:rPr>
        <w:t>Asana Communications</w:t>
      </w:r>
    </w:p>
    <w:p>
      <w:pPr>
        <w:spacing w:after="0" w:line="1" w:lineRule="exact"/>
        <w:rPr>
          <w:sz w:val="20"/>
          <w:szCs w:val="20"/>
          <w:color w:val="auto"/>
        </w:rPr>
      </w:pPr>
    </w:p>
    <w:p>
      <w:pPr>
        <w:spacing w:after="0"/>
        <w:rPr>
          <w:sz w:val="20"/>
          <w:szCs w:val="20"/>
          <w:color w:val="auto"/>
        </w:rPr>
      </w:pPr>
      <w:r>
        <w:rPr>
          <w:rFonts w:ascii="Verdana" w:cs="Verdana" w:eastAsia="Verdana" w:hAnsi="Verdana"/>
          <w:sz w:val="18"/>
          <w:szCs w:val="18"/>
          <w:color w:val="auto"/>
        </w:rPr>
        <w:t>press@asana.com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240"/>
          </w:cols>
          <w:pgMar w:left="320" w:top="134" w:right="339" w:bottom="1440" w:gutter="0" w:footer="0" w:header="0"/>
        </w:sectPr>
      </w:pPr>
    </w:p>
    <w:bookmarkStart w:id="9" w:name="page10"/>
    <w:bookmarkEnd w:id="9"/>
    <w:p>
      <w:pPr>
        <w:jc w:val="right"/>
        <w:spacing w:after="0"/>
        <w:rPr>
          <w:sz w:val="20"/>
          <w:szCs w:val="20"/>
          <w:color w:val="auto"/>
        </w:rPr>
      </w:pPr>
      <w:r>
        <w:rPr>
          <w:rFonts w:ascii="Verdana" w:cs="Verdana" w:eastAsia="Verdana" w:hAnsi="Verdana"/>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9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380" w:type="dxa"/>
            <w:vAlign w:val="bottom"/>
            <w:gridSpan w:val="2"/>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205,095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187,267</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20"/>
              <w:spacing w:after="0" w:line="230" w:lineRule="exact"/>
              <w:rPr>
                <w:sz w:val="20"/>
                <w:szCs w:val="20"/>
                <w:color w:val="auto"/>
              </w:rPr>
            </w:pPr>
            <w:r>
              <w:rPr>
                <w:rFonts w:ascii="Times New Roman" w:cs="Times New Roman" w:eastAsia="Times New Roman" w:hAnsi="Times New Roman"/>
                <w:sz w:val="18"/>
                <w:szCs w:val="18"/>
                <w:color w:val="auto"/>
              </w:rPr>
              <w:t>Cost of revenues</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25,414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19,227</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179,681</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168,040</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Research and development</w:t>
            </w:r>
            <w:r>
              <w:rPr>
                <w:rFonts w:ascii="Times New Roman" w:cs="Times New Roman" w:eastAsia="Times New Roman" w:hAnsi="Times New Roman"/>
                <w:sz w:val="23"/>
                <w:szCs w:val="23"/>
                <w:color w:val="auto"/>
                <w:vertAlign w:val="superscript"/>
              </w:rPr>
              <w:t>(1)</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66,089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75,127</w:t>
            </w:r>
          </w:p>
        </w:tc>
        <w:tc>
          <w:tcPr>
            <w:tcW w:w="0" w:type="dxa"/>
            <w:vAlign w:val="bottom"/>
          </w:tcPr>
          <w:p>
            <w:pPr>
              <w:spacing w:after="0"/>
              <w:rPr>
                <w:sz w:val="1"/>
                <w:szCs w:val="1"/>
                <w:color w:val="auto"/>
              </w:rPr>
            </w:pPr>
          </w:p>
        </w:tc>
      </w:tr>
      <w:tr>
        <w:trPr>
          <w:trHeight w:val="229"/>
        </w:trPr>
        <w:tc>
          <w:tcPr>
            <w:tcW w:w="794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Sales and marketing</w:t>
            </w:r>
            <w:r>
              <w:rPr>
                <w:rFonts w:ascii="Times New Roman" w:cs="Times New Roman" w:eastAsia="Times New Roman" w:hAnsi="Times New Roman"/>
                <w:sz w:val="23"/>
                <w:szCs w:val="23"/>
                <w:color w:val="auto"/>
                <w:vertAlign w:val="superscript"/>
              </w:rPr>
              <w:t>(1)</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92,464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99,841</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General and administrative</w:t>
            </w:r>
            <w:r>
              <w:rPr>
                <w:rFonts w:ascii="Times New Roman" w:cs="Times New Roman" w:eastAsia="Times New Roman" w:hAnsi="Times New Roman"/>
                <w:sz w:val="23"/>
                <w:szCs w:val="23"/>
                <w:color w:val="auto"/>
                <w:vertAlign w:val="superscript"/>
              </w:rPr>
              <w:t>(1)</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36,368</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36,976</w:t>
            </w:r>
          </w:p>
        </w:tc>
        <w:tc>
          <w:tcPr>
            <w:tcW w:w="0" w:type="dxa"/>
            <w:vAlign w:val="bottom"/>
          </w:tcPr>
          <w:p>
            <w:pPr>
              <w:spacing w:after="0"/>
              <w:rPr>
                <w:sz w:val="1"/>
                <w:szCs w:val="1"/>
                <w:color w:val="auto"/>
              </w:rPr>
            </w:pPr>
          </w:p>
        </w:tc>
      </w:tr>
      <w:tr>
        <w:trPr>
          <w:trHeight w:val="223"/>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194,921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211,944</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Loss from operations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(15,240)</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(43,904)</w:t>
            </w: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income and other income (expense), net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(791)</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before provision for income taxes</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(38,865)</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1,419</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(14,405)</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per share:</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380" w:type="dxa"/>
            <w:vAlign w:val="bottom"/>
            <w:tcBorders>
              <w:bottom w:val="single" w:sz="8" w:color="auto"/>
            </w:tcBorders>
            <w:gridSpan w:val="2"/>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Weighted-average shares used in calculating net loss per share:</w:t>
            </w:r>
          </w:p>
        </w:tc>
        <w:tc>
          <w:tcPr>
            <w:tcW w:w="2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Basic and diluted</w:t>
            </w:r>
          </w:p>
        </w:tc>
        <w:tc>
          <w:tcPr>
            <w:tcW w:w="2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238,164</w:t>
            </w:r>
          </w:p>
        </w:tc>
        <w:tc>
          <w:tcPr>
            <w:tcW w:w="10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234,859</w:t>
            </w:r>
          </w:p>
        </w:tc>
        <w:tc>
          <w:tcPr>
            <w:tcW w:w="0" w:type="dxa"/>
            <w:vAlign w:val="bottom"/>
          </w:tcPr>
          <w:p>
            <w:pPr>
              <w:spacing w:after="0"/>
              <w:rPr>
                <w:sz w:val="1"/>
                <w:szCs w:val="1"/>
                <w:color w:val="auto"/>
              </w:rPr>
            </w:pPr>
          </w:p>
        </w:tc>
      </w:tr>
      <w:tr>
        <w:trPr>
          <w:trHeight w:val="20"/>
        </w:trPr>
        <w:tc>
          <w:tcPr>
            <w:tcW w:w="7940" w:type="dxa"/>
            <w:vAlign w:val="bottom"/>
            <w:vMerge w:val="restart"/>
          </w:tcPr>
          <w:p>
            <w:pPr>
              <w:spacing w:after="0"/>
              <w:rPr>
                <w:sz w:val="20"/>
                <w:szCs w:val="20"/>
                <w:color w:val="auto"/>
              </w:rPr>
            </w:pPr>
            <w:r>
              <w:rPr>
                <w:rFonts w:ascii="Arial" w:cs="Arial" w:eastAsia="Arial" w:hAnsi="Arial"/>
                <w:sz w:val="18"/>
                <w:szCs w:val="18"/>
                <w:color w:val="auto"/>
              </w:rPr>
              <w:t>_______________</w:t>
            </w: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95"/>
        </w:trPr>
        <w:tc>
          <w:tcPr>
            <w:tcW w:w="79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940" w:type="dxa"/>
            <w:vAlign w:val="bottom"/>
          </w:tcPr>
          <w:p>
            <w:pPr>
              <w:spacing w:after="0"/>
              <w:rPr>
                <w:sz w:val="20"/>
                <w:szCs w:val="20"/>
                <w:color w:val="auto"/>
              </w:rPr>
            </w:pPr>
            <w:r>
              <w:rPr>
                <w:rFonts w:ascii="Times New Roman" w:cs="Times New Roman" w:eastAsia="Times New Roman" w:hAnsi="Times New Roman"/>
                <w:sz w:val="14"/>
                <w:szCs w:val="14"/>
                <w:color w:val="auto"/>
              </w:rPr>
              <w:t>(1) Amounts include stock-based compensation expense as follows:</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79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920" w:type="dxa"/>
            <w:vAlign w:val="bottom"/>
            <w:gridSpan w:val="4"/>
          </w:tcPr>
          <w:p>
            <w:pPr>
              <w:jc w:val="right"/>
              <w:ind w:right="612"/>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2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2026</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2"/>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504</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18,068</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24,364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8,739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14,823</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9,011</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8,636</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134"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6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April 30, 2026</w:t>
            </w:r>
          </w:p>
        </w:tc>
        <w:tc>
          <w:tcPr>
            <w:tcW w:w="180" w:type="dxa"/>
            <w:vAlign w:val="bottom"/>
          </w:tcPr>
          <w:p>
            <w:pPr>
              <w:spacing w:after="0"/>
              <w:rPr>
                <w:sz w:val="16"/>
                <w:szCs w:val="16"/>
                <w:color w:val="auto"/>
              </w:rPr>
            </w:pPr>
          </w:p>
        </w:tc>
        <w:tc>
          <w:tcPr>
            <w:tcW w:w="14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January 31, 2026</w:t>
            </w:r>
          </w:p>
        </w:tc>
      </w:tr>
      <w:tr>
        <w:trPr>
          <w:trHeight w:val="37"/>
        </w:trPr>
        <w:tc>
          <w:tcPr>
            <w:tcW w:w="79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13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420" w:type="dxa"/>
            <w:vAlign w:val="bottom"/>
            <w:tcBorders>
              <w:bottom w:val="single" w:sz="8" w:color="auto"/>
            </w:tcBorders>
          </w:tcPr>
          <w:p>
            <w:pPr>
              <w:spacing w:after="0"/>
              <w:rPr>
                <w:sz w:val="3"/>
                <w:szCs w:val="3"/>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193,656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199,835</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230,984</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234,210</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418</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 net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110,312</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51,664</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48,573</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550,483</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593,348</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88,911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88,313</w:t>
            </w: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136,236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133,422</w:t>
            </w: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29,005</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844,088</w:t>
            </w: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7"/>
        </w:trPr>
        <w:tc>
          <w:tcPr>
            <w:tcW w:w="79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shd w:val="clear" w:color="auto" w:fill="CCEEFF"/>
          </w:tcPr>
          <w:p>
            <w:pPr>
              <w:spacing w:after="0"/>
              <w:rPr>
                <w:sz w:val="17"/>
                <w:szCs w:val="17"/>
                <w:color w:val="auto"/>
              </w:rPr>
            </w:pPr>
          </w:p>
        </w:tc>
        <w:tc>
          <w:tcPr>
            <w:tcW w:w="1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25,155</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18,822</w:t>
            </w: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105,559</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123,716</w:t>
            </w: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 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322,931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333,636</w:t>
            </w: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25,999</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24,846</w:t>
            </w: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479,644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501,020</w:t>
            </w: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noncurrent</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w:t>
            </w: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183,944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183,749</w:t>
            </w:r>
          </w:p>
        </w:tc>
      </w:tr>
      <w:tr>
        <w:trPr>
          <w:trHeight w:val="230"/>
        </w:trPr>
        <w:tc>
          <w:tcPr>
            <w:tcW w:w="79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4,982</w:t>
            </w: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668,530</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689,971</w:t>
            </w:r>
          </w:p>
        </w:tc>
      </w:tr>
      <w:tr>
        <w:trPr>
          <w:trHeight w:val="21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Common stock</w:t>
            </w:r>
          </w:p>
        </w:tc>
        <w:tc>
          <w:tcPr>
            <w:tcW w:w="24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2,343,418</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2,299,616</w:t>
            </w: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4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2,658</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4,205</w:t>
            </w: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(2,209,096)</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(2,149,706)</w:t>
            </w:r>
          </w:p>
        </w:tc>
      </w:tr>
      <w:tr>
        <w:trPr>
          <w:trHeight w:val="223"/>
        </w:trPr>
        <w:tc>
          <w:tcPr>
            <w:tcW w:w="79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136,982</w:t>
            </w:r>
          </w:p>
        </w:tc>
        <w:tc>
          <w:tcPr>
            <w:tcW w:w="1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154,117</w:t>
            </w:r>
          </w:p>
        </w:tc>
      </w:tr>
      <w:tr>
        <w:trPr>
          <w:trHeight w:val="223"/>
        </w:trPr>
        <w:tc>
          <w:tcPr>
            <w:tcW w:w="794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805,512</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844,088</w:t>
            </w:r>
          </w:p>
        </w:tc>
      </w:tr>
      <w:tr>
        <w:trPr>
          <w:trHeight w:val="20"/>
        </w:trPr>
        <w:tc>
          <w:tcPr>
            <w:tcW w:w="79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008" w:right="33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SUMMARY OF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6"/>
        </w:trPr>
        <w:tc>
          <w:tcPr>
            <w:tcW w:w="79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37"/>
        </w:trPr>
        <w:tc>
          <w:tcPr>
            <w:tcW w:w="794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w:t>
            </w:r>
          </w:p>
        </w:tc>
        <w:tc>
          <w:tcPr>
            <w:tcW w:w="960" w:type="dxa"/>
            <w:vAlign w:val="bottom"/>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(14,405)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operating activities: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Allowance for expected credit losses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6,052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4,963</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deferred contract acquisition costs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6,836</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6,691</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36,322</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48,167</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accretion of discount on marketable securities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(736)</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Non-cash lease expense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4,910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4,540</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Amortization of discount on revolving credit facility and term loan issuance costs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receivable</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36,462</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18,738</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(10,055)</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(8,846)</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Other assets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(714)</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7,354</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(1,724)</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Accrued expenses and other liabilities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(15,464)</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Deferred revenue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(10,738)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(12,512)</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(6,354)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40,244</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(50,043)</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(34,055)</w:t>
            </w:r>
          </w:p>
        </w:tc>
        <w:tc>
          <w:tcPr>
            <w:tcW w:w="0" w:type="dxa"/>
            <w:vAlign w:val="bottom"/>
          </w:tcPr>
          <w:p>
            <w:pPr>
              <w:spacing w:after="0"/>
              <w:rPr>
                <w:sz w:val="1"/>
                <w:szCs w:val="1"/>
                <w:color w:val="auto"/>
              </w:rPr>
            </w:pPr>
          </w:p>
        </w:tc>
      </w:tr>
      <w:tr>
        <w:trPr>
          <w:trHeight w:val="229"/>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Maturities of marketable securities</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52,515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41,000</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Capitalized internal-use software costs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1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9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Repayment of term loan</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7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Repurchases of common stock</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(44,985)</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(14,526)</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Proceeds from employee stock purchase plan</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4,874</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7,746</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(41,925)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foreign exchange rates on cash, cash equivalents, and restricted cash</w:t>
            </w:r>
          </w:p>
        </w:tc>
        <w:tc>
          <w:tcPr>
            <w:tcW w:w="9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3,799</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cash equivalents, and restricted cash</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(5,901)</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9,216</w:t>
            </w: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Beginning of period</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200,253</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184,864</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End of period</w:t>
            </w:r>
          </w:p>
        </w:tc>
        <w:tc>
          <w:tcPr>
            <w:tcW w:w="96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194,352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194,080</w:t>
            </w:r>
          </w:p>
        </w:tc>
        <w:tc>
          <w:tcPr>
            <w:tcW w:w="0" w:type="dxa"/>
            <w:vAlign w:val="bottom"/>
          </w:tcPr>
          <w:p>
            <w:pPr>
              <w:spacing w:after="0"/>
              <w:rPr>
                <w:sz w:val="1"/>
                <w:szCs w:val="1"/>
                <w:color w:val="auto"/>
              </w:rPr>
            </w:pPr>
          </w:p>
        </w:tc>
      </w:tr>
      <w:tr>
        <w:trPr>
          <w:trHeight w:val="21"/>
        </w:trPr>
        <w:tc>
          <w:tcPr>
            <w:tcW w:w="7940" w:type="dxa"/>
            <w:vAlign w:val="bottom"/>
            <w:vMerge w:val="restart"/>
          </w:tcPr>
          <w:p>
            <w:pPr>
              <w:ind w:left="5580"/>
              <w:spacing w:after="0"/>
              <w:rPr>
                <w:sz w:val="20"/>
                <w:szCs w:val="20"/>
                <w:color w:val="auto"/>
              </w:rPr>
            </w:pPr>
            <w:r>
              <w:rPr>
                <w:rFonts w:ascii="Times New Roman" w:cs="Times New Roman" w:eastAsia="Times New Roman" w:hAnsi="Times New Roman"/>
                <w:sz w:val="18"/>
                <w:szCs w:val="18"/>
                <w:color w:val="auto"/>
              </w:rPr>
              <w:t>9</w:t>
            </w: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55"/>
        </w:trPr>
        <w:tc>
          <w:tcPr>
            <w:tcW w:w="79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5" w:right="339" w:bottom="1440" w:gutter="0" w:footer="0" w:header="0"/>
        </w:sectPr>
      </w:pPr>
    </w:p>
    <w:bookmarkStart w:id="12" w:name="page13"/>
    <w:bookmarkEnd w:id="12"/>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100" w:type="dxa"/>
            <w:vAlign w:val="bottom"/>
          </w:tcPr>
          <w:p>
            <w:pPr>
              <w:spacing w:after="0"/>
              <w:rPr>
                <w:sz w:val="16"/>
                <w:szCs w:val="16"/>
                <w:color w:val="auto"/>
              </w:rPr>
            </w:pPr>
          </w:p>
        </w:tc>
        <w:tc>
          <w:tcPr>
            <w:tcW w:w="2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120" w:type="dxa"/>
            <w:vAlign w:val="bottom"/>
            <w:gridSpan w:val="4"/>
          </w:tcPr>
          <w:p>
            <w:pPr>
              <w:jc w:val="right"/>
              <w:ind w:right="73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51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51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2026</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510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gross profit and gross margin</w:t>
            </w:r>
          </w:p>
        </w:tc>
        <w:tc>
          <w:tcPr>
            <w:tcW w:w="26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gross profit</w:t>
            </w:r>
          </w:p>
        </w:tc>
        <w:tc>
          <w:tcPr>
            <w:tcW w:w="3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179,681</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168,040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Plus: stock-based compensation-related charges</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1,613</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354</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gross profit</w:t>
            </w:r>
          </w:p>
        </w:tc>
        <w:tc>
          <w:tcPr>
            <w:tcW w:w="26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181,294</w:t>
            </w:r>
          </w:p>
        </w:tc>
        <w:tc>
          <w:tcPr>
            <w:tcW w:w="8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168,394</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gross margin</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87.6 %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89.7 %</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2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0.8 %</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0.2 %</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gross margin</w:t>
            </w:r>
          </w:p>
        </w:tc>
        <w:tc>
          <w:tcPr>
            <w:tcW w:w="2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88.4 %</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89.9 %</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expenses</w:t>
            </w:r>
          </w:p>
        </w:tc>
        <w:tc>
          <w:tcPr>
            <w:tcW w:w="2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w:t>
            </w:r>
          </w:p>
        </w:tc>
        <w:tc>
          <w:tcPr>
            <w:tcW w:w="3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66,089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75,127</w:t>
            </w:r>
          </w:p>
        </w:tc>
        <w:tc>
          <w:tcPr>
            <w:tcW w:w="0" w:type="dxa"/>
            <w:vAlign w:val="bottom"/>
          </w:tcPr>
          <w:p>
            <w:pPr>
              <w:spacing w:after="0"/>
              <w:rPr>
                <w:sz w:val="1"/>
                <w:szCs w:val="1"/>
                <w:color w:val="auto"/>
              </w:rPr>
            </w:pPr>
          </w:p>
        </w:tc>
      </w:tr>
      <w:tr>
        <w:trPr>
          <w:trHeight w:val="230"/>
        </w:trPr>
        <w:tc>
          <w:tcPr>
            <w:tcW w:w="5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Less: stock-based compensation-related charges</w:t>
            </w:r>
            <w:r>
              <w:rPr>
                <w:rFonts w:ascii="Times New Roman" w:cs="Times New Roman" w:eastAsia="Times New Roman" w:hAnsi="Times New Roman"/>
                <w:sz w:val="23"/>
                <w:szCs w:val="23"/>
                <w:color w:val="auto"/>
                <w:vertAlign w:val="superscript"/>
              </w:rPr>
              <w:t>(1)</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(18,572)</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(25,322)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(948)</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w:t>
            </w:r>
          </w:p>
        </w:tc>
        <w:tc>
          <w:tcPr>
            <w:tcW w:w="260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47,517</w:t>
            </w:r>
          </w:p>
        </w:tc>
        <w:tc>
          <w:tcPr>
            <w:tcW w:w="8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48,857</w:t>
            </w:r>
          </w:p>
        </w:tc>
        <w:tc>
          <w:tcPr>
            <w:tcW w:w="0" w:type="dxa"/>
            <w:vAlign w:val="bottom"/>
          </w:tcPr>
          <w:p>
            <w:pPr>
              <w:spacing w:after="0"/>
              <w:rPr>
                <w:sz w:val="1"/>
                <w:szCs w:val="1"/>
                <w:color w:val="auto"/>
              </w:rPr>
            </w:pPr>
          </w:p>
        </w:tc>
      </w:tr>
      <w:tr>
        <w:trPr>
          <w:trHeight w:val="20"/>
        </w:trPr>
        <w:tc>
          <w:tcPr>
            <w:tcW w:w="510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research and development as percentage of revenue</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40.1 %</w:t>
            </w: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research and development as percentage of revenue</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23.2 %</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26.1 %</w:t>
            </w:r>
          </w:p>
        </w:tc>
        <w:tc>
          <w:tcPr>
            <w:tcW w:w="0" w:type="dxa"/>
            <w:vAlign w:val="bottom"/>
          </w:tcPr>
          <w:p>
            <w:pPr>
              <w:spacing w:after="0"/>
              <w:rPr>
                <w:sz w:val="1"/>
                <w:szCs w:val="1"/>
                <w:color w:val="auto"/>
              </w:rPr>
            </w:pPr>
          </w:p>
        </w:tc>
      </w:tr>
      <w:tr>
        <w:trPr>
          <w:trHeight w:val="257"/>
        </w:trPr>
        <w:tc>
          <w:tcPr>
            <w:tcW w:w="5100" w:type="dxa"/>
            <w:vAlign w:val="bottom"/>
            <w:shd w:val="clear" w:color="auto" w:fill="CCEEFF"/>
          </w:tcPr>
          <w:p>
            <w:pPr>
              <w:spacing w:after="0"/>
              <w:rPr>
                <w:sz w:val="22"/>
                <w:szCs w:val="22"/>
                <w:color w:val="auto"/>
              </w:rPr>
            </w:pPr>
          </w:p>
        </w:tc>
        <w:tc>
          <w:tcPr>
            <w:tcW w:w="260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4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sales and marketing</w:t>
            </w:r>
          </w:p>
        </w:tc>
        <w:tc>
          <w:tcPr>
            <w:tcW w:w="3020" w:type="dxa"/>
            <w:vAlign w:val="bottom"/>
            <w:gridSpan w:val="2"/>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92,464</w:t>
            </w:r>
          </w:p>
        </w:tc>
        <w:tc>
          <w:tcPr>
            <w:tcW w:w="8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99,841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460"/>
              <w:spacing w:after="0" w:line="230" w:lineRule="exact"/>
              <w:rPr>
                <w:sz w:val="20"/>
                <w:szCs w:val="20"/>
                <w:color w:val="auto"/>
              </w:rPr>
            </w:pPr>
            <w:r>
              <w:rPr>
                <w:rFonts w:ascii="Times New Roman" w:cs="Times New Roman" w:eastAsia="Times New Roman" w:hAnsi="Times New Roman"/>
                <w:sz w:val="18"/>
                <w:szCs w:val="18"/>
                <w:color w:val="auto"/>
              </w:rPr>
              <w:t>Less: stock-based compensation-related charges</w:t>
            </w:r>
            <w:r>
              <w:rPr>
                <w:rFonts w:ascii="Times New Roman" w:cs="Times New Roman" w:eastAsia="Times New Roman" w:hAnsi="Times New Roman"/>
                <w:sz w:val="23"/>
                <w:szCs w:val="23"/>
                <w:color w:val="auto"/>
                <w:vertAlign w:val="superscript"/>
              </w:rPr>
              <w:t>(1)</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(8,949)</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(15,286)</w:t>
            </w:r>
          </w:p>
        </w:tc>
        <w:tc>
          <w:tcPr>
            <w:tcW w:w="0" w:type="dxa"/>
            <w:vAlign w:val="bottom"/>
          </w:tcPr>
          <w:p>
            <w:pPr>
              <w:spacing w:after="0"/>
              <w:rPr>
                <w:sz w:val="1"/>
                <w:szCs w:val="1"/>
                <w:color w:val="auto"/>
              </w:rPr>
            </w:pPr>
          </w:p>
        </w:tc>
      </w:tr>
      <w:tr>
        <w:trPr>
          <w:trHeight w:val="230"/>
        </w:trPr>
        <w:tc>
          <w:tcPr>
            <w:tcW w:w="510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0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(831)</w:t>
            </w:r>
          </w:p>
        </w:tc>
        <w:tc>
          <w:tcPr>
            <w:tcW w:w="0" w:type="dxa"/>
            <w:vAlign w:val="bottom"/>
          </w:tcPr>
          <w:p>
            <w:pPr>
              <w:spacing w:after="0"/>
              <w:rPr>
                <w:sz w:val="1"/>
                <w:szCs w:val="1"/>
                <w:color w:val="auto"/>
              </w:rPr>
            </w:pPr>
          </w:p>
        </w:tc>
      </w:tr>
      <w:tr>
        <w:trPr>
          <w:trHeight w:val="248"/>
        </w:trPr>
        <w:tc>
          <w:tcPr>
            <w:tcW w:w="5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sales and marketing</w:t>
            </w:r>
          </w:p>
        </w:tc>
        <w:tc>
          <w:tcPr>
            <w:tcW w:w="260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83,515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20" w:type="dxa"/>
            <w:vAlign w:val="bottom"/>
            <w:tcBorders>
              <w:top w:val="single" w:sz="8" w:color="auto"/>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top w:val="single" w:sz="8" w:color="auto"/>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83,724</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sales and marketing as percentage of revenue</w:t>
            </w:r>
          </w:p>
        </w:tc>
        <w:tc>
          <w:tcPr>
            <w:tcW w:w="2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1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45.1 %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53.3 %</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sales and marketing as percentage of revenue</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40.7 %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44.7 %</w:t>
            </w:r>
          </w:p>
        </w:tc>
        <w:tc>
          <w:tcPr>
            <w:tcW w:w="0" w:type="dxa"/>
            <w:vAlign w:val="bottom"/>
          </w:tcPr>
          <w:p>
            <w:pPr>
              <w:spacing w:after="0"/>
              <w:rPr>
                <w:sz w:val="1"/>
                <w:szCs w:val="1"/>
                <w:color w:val="auto"/>
              </w:rPr>
            </w:pPr>
          </w:p>
        </w:tc>
      </w:tr>
      <w:tr>
        <w:trPr>
          <w:trHeight w:val="257"/>
        </w:trPr>
        <w:tc>
          <w:tcPr>
            <w:tcW w:w="5100" w:type="dxa"/>
            <w:vAlign w:val="bottom"/>
          </w:tcPr>
          <w:p>
            <w:pPr>
              <w:spacing w:after="0"/>
              <w:rPr>
                <w:sz w:val="22"/>
                <w:szCs w:val="22"/>
                <w:color w:val="auto"/>
              </w:rPr>
            </w:pPr>
          </w:p>
        </w:tc>
        <w:tc>
          <w:tcPr>
            <w:tcW w:w="2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w:t>
            </w:r>
          </w:p>
        </w:tc>
        <w:tc>
          <w:tcPr>
            <w:tcW w:w="3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36,368</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36,976</w:t>
            </w:r>
          </w:p>
        </w:tc>
        <w:tc>
          <w:tcPr>
            <w:tcW w:w="0" w:type="dxa"/>
            <w:vAlign w:val="bottom"/>
          </w:tcPr>
          <w:p>
            <w:pPr>
              <w:spacing w:after="0"/>
              <w:rPr>
                <w:sz w:val="1"/>
                <w:szCs w:val="1"/>
                <w:color w:val="auto"/>
              </w:rPr>
            </w:pPr>
          </w:p>
        </w:tc>
      </w:tr>
      <w:tr>
        <w:trPr>
          <w:trHeight w:val="229"/>
        </w:trPr>
        <w:tc>
          <w:tcPr>
            <w:tcW w:w="5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Less: stock-based compensation-related charges</w:t>
            </w:r>
            <w:r>
              <w:rPr>
                <w:rFonts w:ascii="Times New Roman" w:cs="Times New Roman" w:eastAsia="Times New Roman" w:hAnsi="Times New Roman"/>
                <w:sz w:val="23"/>
                <w:szCs w:val="23"/>
                <w:color w:val="auto"/>
                <w:vertAlign w:val="superscript"/>
              </w:rPr>
              <w:t>(1)</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(9,135)</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91"/>
              <w:spacing w:after="0"/>
              <w:rPr>
                <w:sz w:val="20"/>
                <w:szCs w:val="20"/>
                <w:color w:val="auto"/>
              </w:rPr>
            </w:pPr>
            <w:r>
              <w:rPr>
                <w:rFonts w:ascii="Times New Roman" w:cs="Times New Roman" w:eastAsia="Times New Roman" w:hAnsi="Times New Roman"/>
                <w:sz w:val="18"/>
                <w:szCs w:val="18"/>
                <w:color w:val="auto"/>
              </w:rPr>
              <w:t>(8,862)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(438)</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acquisition-related costs</w:t>
            </w:r>
          </w:p>
        </w:tc>
        <w:tc>
          <w:tcPr>
            <w:tcW w:w="2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w:t>
            </w:r>
          </w:p>
        </w:tc>
        <w:tc>
          <w:tcPr>
            <w:tcW w:w="2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26,686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27,676</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general and administrative as percentage of revenue</w:t>
            </w:r>
          </w:p>
        </w:tc>
        <w:tc>
          <w:tcPr>
            <w:tcW w:w="2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17.7 %</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19.7 %</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general and administrative as percentage of revenue</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13.0 %</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14.8 %</w:t>
            </w:r>
          </w:p>
        </w:tc>
        <w:tc>
          <w:tcPr>
            <w:tcW w:w="0" w:type="dxa"/>
            <w:vAlign w:val="bottom"/>
          </w:tcPr>
          <w:p>
            <w:pPr>
              <w:spacing w:after="0"/>
              <w:rPr>
                <w:sz w:val="1"/>
                <w:szCs w:val="1"/>
                <w:color w:val="auto"/>
              </w:rPr>
            </w:pPr>
          </w:p>
        </w:tc>
      </w:tr>
      <w:tr>
        <w:trPr>
          <w:trHeight w:val="230"/>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operating loss and operating margin</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loss from operations</w:t>
            </w:r>
          </w:p>
        </w:tc>
        <w:tc>
          <w:tcPr>
            <w:tcW w:w="3020" w:type="dxa"/>
            <w:vAlign w:val="bottom"/>
            <w:gridSpan w:val="2"/>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(15,240)</w:t>
            </w:r>
          </w:p>
        </w:tc>
        <w:tc>
          <w:tcPr>
            <w:tcW w:w="8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rPr>
              <w:t>(43,904)</w:t>
            </w:r>
          </w:p>
        </w:tc>
        <w:tc>
          <w:tcPr>
            <w:tcW w:w="0" w:type="dxa"/>
            <w:vAlign w:val="bottom"/>
          </w:tcPr>
          <w:p>
            <w:pPr>
              <w:spacing w:after="0"/>
              <w:rPr>
                <w:sz w:val="1"/>
                <w:szCs w:val="1"/>
                <w:color w:val="auto"/>
              </w:rPr>
            </w:pPr>
          </w:p>
        </w:tc>
      </w:tr>
      <w:tr>
        <w:trPr>
          <w:trHeight w:val="229"/>
        </w:trPr>
        <w:tc>
          <w:tcPr>
            <w:tcW w:w="5100" w:type="dxa"/>
            <w:vAlign w:val="bottom"/>
          </w:tcPr>
          <w:p>
            <w:pPr>
              <w:ind w:left="460"/>
              <w:spacing w:after="0" w:line="230" w:lineRule="exact"/>
              <w:rPr>
                <w:sz w:val="20"/>
                <w:szCs w:val="20"/>
                <w:color w:val="auto"/>
              </w:rPr>
            </w:pPr>
            <w:r>
              <w:rPr>
                <w:rFonts w:ascii="Times New Roman" w:cs="Times New Roman" w:eastAsia="Times New Roman" w:hAnsi="Times New Roman"/>
                <w:sz w:val="18"/>
                <w:szCs w:val="18"/>
                <w:color w:val="auto"/>
              </w:rPr>
              <w:t>Plus: stock-based compensation-related charges</w:t>
            </w:r>
            <w:r>
              <w:rPr>
                <w:rFonts w:ascii="Times New Roman" w:cs="Times New Roman" w:eastAsia="Times New Roman" w:hAnsi="Times New Roman"/>
                <w:sz w:val="23"/>
                <w:szCs w:val="23"/>
                <w:color w:val="auto"/>
                <w:vertAlign w:val="superscript"/>
              </w:rPr>
              <w:t>(1)</w:t>
            </w:r>
          </w:p>
        </w:tc>
        <w:tc>
          <w:tcPr>
            <w:tcW w:w="26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38,269</w:t>
            </w:r>
          </w:p>
        </w:tc>
        <w:tc>
          <w:tcPr>
            <w:tcW w:w="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00" w:type="dxa"/>
            <w:vAlign w:val="bottom"/>
          </w:tcPr>
          <w:p>
            <w:pPr>
              <w:jc w:val="right"/>
              <w:ind w:right="131"/>
              <w:spacing w:after="0"/>
              <w:rPr>
                <w:sz w:val="20"/>
                <w:szCs w:val="20"/>
                <w:color w:val="auto"/>
              </w:rPr>
            </w:pPr>
            <w:r>
              <w:rPr>
                <w:rFonts w:ascii="Times New Roman" w:cs="Times New Roman" w:eastAsia="Times New Roman" w:hAnsi="Times New Roman"/>
                <w:sz w:val="18"/>
                <w:szCs w:val="18"/>
                <w:color w:val="auto"/>
              </w:rPr>
              <w:t>49,824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26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Plus: acquisition-related costs</w:t>
            </w:r>
          </w:p>
        </w:tc>
        <w:tc>
          <w:tcPr>
            <w:tcW w:w="26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income from operations</w:t>
            </w:r>
          </w:p>
        </w:tc>
        <w:tc>
          <w:tcPr>
            <w:tcW w:w="26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23,576</w:t>
            </w:r>
          </w:p>
        </w:tc>
        <w:tc>
          <w:tcPr>
            <w:tcW w:w="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ind w:right="131"/>
              <w:spacing w:after="0"/>
              <w:rPr>
                <w:sz w:val="20"/>
                <w:szCs w:val="20"/>
                <w:color w:val="auto"/>
              </w:rPr>
            </w:pPr>
            <w:r>
              <w:rPr>
                <w:rFonts w:ascii="Times New Roman" w:cs="Times New Roman" w:eastAsia="Times New Roman" w:hAnsi="Times New Roman"/>
                <w:sz w:val="18"/>
                <w:szCs w:val="18"/>
                <w:color w:val="auto"/>
              </w:rPr>
              <w:t>8,137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GAAP operating margin</w:t>
            </w:r>
          </w:p>
        </w:tc>
        <w:tc>
          <w:tcPr>
            <w:tcW w:w="26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100" w:type="dxa"/>
            <w:vAlign w:val="bottom"/>
            <w:vMerge w:val="continue"/>
          </w:tcPr>
          <w:p>
            <w:pPr>
              <w:spacing w:after="0"/>
              <w:rPr>
                <w:sz w:val="17"/>
                <w:szCs w:val="17"/>
                <w:color w:val="auto"/>
              </w:rPr>
            </w:pPr>
          </w:p>
        </w:tc>
        <w:tc>
          <w:tcPr>
            <w:tcW w:w="26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(7.4)%</w:t>
            </w:r>
          </w:p>
        </w:tc>
        <w:tc>
          <w:tcPr>
            <w:tcW w:w="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0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(23.4)%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adjustments</w:t>
            </w:r>
          </w:p>
        </w:tc>
        <w:tc>
          <w:tcPr>
            <w:tcW w:w="26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18.9 %</w:t>
            </w:r>
          </w:p>
        </w:tc>
        <w:tc>
          <w:tcPr>
            <w:tcW w:w="8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27.7 %</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operating margin</w:t>
            </w:r>
          </w:p>
        </w:tc>
        <w:tc>
          <w:tcPr>
            <w:tcW w:w="26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11.5 %</w:t>
            </w:r>
          </w:p>
        </w:tc>
        <w:tc>
          <w:tcPr>
            <w:tcW w:w="8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4.3 %</w:t>
            </w:r>
          </w:p>
        </w:tc>
        <w:tc>
          <w:tcPr>
            <w:tcW w:w="0" w:type="dxa"/>
            <w:vAlign w:val="bottom"/>
          </w:tcPr>
          <w:p>
            <w:pPr>
              <w:spacing w:after="0"/>
              <w:rPr>
                <w:sz w:val="1"/>
                <w:szCs w:val="1"/>
                <w:color w:val="auto"/>
              </w:rPr>
            </w:pPr>
          </w:p>
        </w:tc>
      </w:tr>
      <w:tr>
        <w:trPr>
          <w:trHeight w:val="20"/>
        </w:trPr>
        <w:tc>
          <w:tcPr>
            <w:tcW w:w="5100" w:type="dxa"/>
            <w:vAlign w:val="bottom"/>
          </w:tcPr>
          <w:p>
            <w:pPr>
              <w:spacing w:after="0" w:line="20" w:lineRule="exact"/>
              <w:rPr>
                <w:sz w:val="1"/>
                <w:szCs w:val="1"/>
                <w:color w:val="auto"/>
              </w:rPr>
            </w:pPr>
          </w:p>
        </w:tc>
        <w:tc>
          <w:tcPr>
            <w:tcW w:w="2600" w:type="dxa"/>
            <w:vAlign w:val="bottom"/>
            <w:vMerge w:val="restart"/>
          </w:tcPr>
          <w:p>
            <w:pPr>
              <w:jc w:val="right"/>
              <w:ind w:right="1890"/>
              <w:spacing w:after="0"/>
              <w:rPr>
                <w:sz w:val="20"/>
                <w:szCs w:val="20"/>
                <w:color w:val="auto"/>
              </w:rPr>
            </w:pPr>
            <w:r>
              <w:rPr>
                <w:rFonts w:ascii="Times New Roman" w:cs="Times New Roman" w:eastAsia="Times New Roman" w:hAnsi="Times New Roman"/>
                <w:sz w:val="18"/>
                <w:szCs w:val="18"/>
                <w:color w:val="auto"/>
              </w:rPr>
              <w:t>10</w:t>
            </w: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9"/>
        </w:trPr>
        <w:tc>
          <w:tcPr>
            <w:tcW w:w="5100" w:type="dxa"/>
            <w:vAlign w:val="bottom"/>
          </w:tcPr>
          <w:p>
            <w:pPr>
              <w:spacing w:after="0"/>
              <w:rPr>
                <w:sz w:val="24"/>
                <w:szCs w:val="24"/>
                <w:color w:val="auto"/>
              </w:rPr>
            </w:pPr>
          </w:p>
        </w:tc>
        <w:tc>
          <w:tcPr>
            <w:tcW w:w="2600" w:type="dxa"/>
            <w:vAlign w:val="bottom"/>
            <w:vMerge w:val="continue"/>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184" w:right="33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ASANA,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GAAP to Non-GAAP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percentages and per share data)</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5"/>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9"/>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(loss)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(14,405)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(40,018)</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440"/>
              <w:spacing w:after="0" w:line="230" w:lineRule="exact"/>
              <w:rPr>
                <w:sz w:val="20"/>
                <w:szCs w:val="20"/>
                <w:color w:val="auto"/>
              </w:rPr>
            </w:pPr>
            <w:r>
              <w:rPr>
                <w:rFonts w:ascii="Times New Roman" w:cs="Times New Roman" w:eastAsia="Times New Roman" w:hAnsi="Times New Roman"/>
                <w:sz w:val="18"/>
                <w:szCs w:val="18"/>
                <w:color w:val="auto"/>
              </w:rPr>
              <w:t>Plus: stock-based compensation-related charges</w:t>
            </w:r>
            <w:r>
              <w:rPr>
                <w:rFonts w:ascii="Times New Roman" w:cs="Times New Roman" w:eastAsia="Times New Roman" w:hAnsi="Times New Roman"/>
                <w:sz w:val="23"/>
                <w:szCs w:val="23"/>
                <w:color w:val="auto"/>
                <w:vertAlign w:val="superscript"/>
              </w:rPr>
              <w:t>(1)</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38,269</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49,824</w:t>
            </w:r>
          </w:p>
        </w:tc>
        <w:tc>
          <w:tcPr>
            <w:tcW w:w="0" w:type="dxa"/>
            <w:vAlign w:val="bottom"/>
          </w:tcPr>
          <w:p>
            <w:pPr>
              <w:spacing w:after="0"/>
              <w:rPr>
                <w:sz w:val="1"/>
                <w:szCs w:val="1"/>
                <w:color w:val="auto"/>
              </w:rPr>
            </w:pPr>
          </w:p>
        </w:tc>
      </w:tr>
      <w:tr>
        <w:trPr>
          <w:trHeight w:val="230"/>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Adjustment for: restructuring costs</w:t>
            </w:r>
          </w:p>
        </w:tc>
        <w:tc>
          <w:tcPr>
            <w:tcW w:w="9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8"/>
                <w:szCs w:val="18"/>
                <w:color w:val="auto"/>
              </w:rPr>
              <w:t>Plus: acquisition-related costs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547</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24,411</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net income (loss) per share</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net loss per share, basic</w:t>
            </w:r>
          </w:p>
        </w:tc>
        <w:tc>
          <w:tcPr>
            <w:tcW w:w="960" w:type="dxa"/>
            <w:vAlign w:val="bottom"/>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Non-GAAP adjustments to net loss</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basic</w:t>
            </w:r>
          </w:p>
        </w:tc>
        <w:tc>
          <w:tcPr>
            <w:tcW w:w="960" w:type="dxa"/>
            <w:vAlign w:val="bottom"/>
            <w:tcBorders>
              <w:bottom w:val="single" w:sz="8" w:color="auto"/>
            </w:tcBorders>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7940" w:type="dxa"/>
            <w:vAlign w:val="bottom"/>
            <w:shd w:val="clear" w:color="auto" w:fill="CCEEFF"/>
          </w:tcPr>
          <w:p>
            <w:pPr>
              <w:ind w:left="20"/>
              <w:spacing w:after="0" w:line="142" w:lineRule="exact"/>
              <w:rPr>
                <w:sz w:val="20"/>
                <w:szCs w:val="20"/>
                <w:color w:val="auto"/>
              </w:rPr>
            </w:pPr>
            <w:r>
              <w:rPr>
                <w:rFonts w:ascii="Times New Roman" w:cs="Times New Roman" w:eastAsia="Times New Roman" w:hAnsi="Times New Roman"/>
                <w:sz w:val="16"/>
                <w:szCs w:val="16"/>
                <w:color w:val="auto"/>
              </w:rPr>
              <w:t>Weighted-average shares used in GAAP per share calculation, basic and diluted and non-GAAP per share</w:t>
            </w:r>
          </w:p>
        </w:tc>
        <w:tc>
          <w:tcPr>
            <w:tcW w:w="9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calculation, basic</w:t>
            </w:r>
          </w:p>
        </w:tc>
        <w:tc>
          <w:tcPr>
            <w:tcW w:w="9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5"/>
              </w:rPr>
              <w:t>238,164</w:t>
            </w: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234,859</w:t>
            </w:r>
          </w:p>
        </w:tc>
        <w:tc>
          <w:tcPr>
            <w:tcW w:w="0" w:type="dxa"/>
            <w:vAlign w:val="bottom"/>
          </w:tcPr>
          <w:p>
            <w:pPr>
              <w:spacing w:after="0"/>
              <w:rPr>
                <w:sz w:val="1"/>
                <w:szCs w:val="1"/>
                <w:color w:val="auto"/>
              </w:rPr>
            </w:pPr>
          </w:p>
        </w:tc>
      </w:tr>
      <w:tr>
        <w:trPr>
          <w:trHeight w:val="270"/>
        </w:trPr>
        <w:tc>
          <w:tcPr>
            <w:tcW w:w="794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GAAP net loss per share, diluted</w:t>
            </w:r>
          </w:p>
        </w:tc>
        <w:tc>
          <w:tcPr>
            <w:tcW w:w="960" w:type="dxa"/>
            <w:vAlign w:val="bottom"/>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(0.06)</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(0.17)</w:t>
            </w:r>
          </w:p>
        </w:tc>
        <w:tc>
          <w:tcPr>
            <w:tcW w:w="0" w:type="dxa"/>
            <w:vAlign w:val="bottom"/>
          </w:tcPr>
          <w:p>
            <w:pPr>
              <w:spacing w:after="0"/>
              <w:rPr>
                <w:sz w:val="1"/>
                <w:szCs w:val="1"/>
                <w:color w:val="auto"/>
              </w:rPr>
            </w:pPr>
          </w:p>
        </w:tc>
      </w:tr>
      <w:tr>
        <w:trPr>
          <w:trHeight w:val="230"/>
        </w:trPr>
        <w:tc>
          <w:tcPr>
            <w:tcW w:w="7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Non-GAAP adjustments to net loss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0.22</w:t>
            </w:r>
          </w:p>
        </w:tc>
        <w:tc>
          <w:tcPr>
            <w:tcW w:w="0" w:type="dxa"/>
            <w:vAlign w:val="bottom"/>
          </w:tcPr>
          <w:p>
            <w:pPr>
              <w:spacing w:after="0"/>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Non-GAAP net income per share, diluted</w:t>
            </w:r>
          </w:p>
        </w:tc>
        <w:tc>
          <w:tcPr>
            <w:tcW w:w="960" w:type="dxa"/>
            <w:vAlign w:val="bottom"/>
            <w:tcBorders>
              <w:bottom w:val="single" w:sz="8" w:color="auto"/>
            </w:tcBorders>
            <w:shd w:val="clear" w:color="auto" w:fill="CCEEFF"/>
          </w:tcPr>
          <w:p>
            <w:pPr>
              <w:jc w:val="right"/>
              <w:ind w:right="755"/>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0.10</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Weighted-average shares used in non-GAAP per share calculation, diluted</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8"/>
        </w:trPr>
        <w:tc>
          <w:tcPr>
            <w:tcW w:w="7940" w:type="dxa"/>
            <w:vAlign w:val="bottom"/>
            <w:vMerge w:val="continue"/>
          </w:tcPr>
          <w:p>
            <w:pPr>
              <w:spacing w:after="0"/>
              <w:rPr>
                <w:sz w:val="18"/>
                <w:szCs w:val="18"/>
                <w:color w:val="auto"/>
              </w:rPr>
            </w:pPr>
          </w:p>
        </w:tc>
        <w:tc>
          <w:tcPr>
            <w:tcW w:w="9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240,352</w:t>
            </w:r>
          </w:p>
        </w:tc>
        <w:tc>
          <w:tcPr>
            <w:tcW w:w="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242,251</w:t>
            </w: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w:t>
      </w:r>
    </w:p>
    <w:p>
      <w:pPr>
        <w:spacing w:after="0" w:line="32" w:lineRule="exact"/>
        <w:rPr>
          <w:sz w:val="20"/>
          <w:szCs w:val="20"/>
          <w:color w:val="auto"/>
        </w:rPr>
      </w:pPr>
    </w:p>
    <w:p>
      <w:pPr>
        <w:jc w:val="both"/>
        <w:ind w:firstLine="8"/>
        <w:spacing w:after="0" w:line="261" w:lineRule="auto"/>
        <w:tabs>
          <w:tab w:leader="none" w:pos="221"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Stock-based compensation-related charges include related payroll tax associated with RSUs and amortization of stock-based compensation capitalized in internal-use software. We began excluding amortization of stock-based compensation capitalized in internal-use software from our non-GAAP measures starting in the quarter ended April 30, 2026 and have presented the change prospectively as prior period amounts were immaterial. The amounts of amortization of stock-based compensation capitalized in internal-use software was $1.1 million for the three months ended April 30, 2026 and was $0.6 million for the three months ended April 30. 2025. This change has no impact on our GAAP financial results.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940" w:type="dxa"/>
            <w:vAlign w:val="bottom"/>
          </w:tcPr>
          <w:p>
            <w:pPr>
              <w:spacing w:after="0"/>
              <w:rPr>
                <w:sz w:val="16"/>
                <w:szCs w:val="16"/>
                <w:color w:val="auto"/>
              </w:rPr>
            </w:pPr>
          </w:p>
        </w:tc>
        <w:tc>
          <w:tcPr>
            <w:tcW w:w="3300" w:type="dxa"/>
            <w:vAlign w:val="bottom"/>
            <w:gridSpan w:val="5"/>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free cash flow and adjusted free cash flow</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provided by investing activities</w:t>
            </w: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(3,422)</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4,176</w:t>
            </w:r>
          </w:p>
        </w:tc>
        <w:tc>
          <w:tcPr>
            <w:tcW w:w="0" w:type="dxa"/>
            <w:vAlign w:val="bottom"/>
          </w:tcPr>
          <w:p>
            <w:pPr>
              <w:spacing w:after="0"/>
              <w:rPr>
                <w:sz w:val="1"/>
                <w:szCs w:val="1"/>
                <w:color w:val="auto"/>
              </w:rPr>
            </w:pPr>
          </w:p>
        </w:tc>
      </w:tr>
      <w:tr>
        <w:trPr>
          <w:trHeight w:val="20"/>
        </w:trPr>
        <w:tc>
          <w:tcPr>
            <w:tcW w:w="794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9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960" w:type="dxa"/>
            <w:vAlign w:val="bottom"/>
            <w:tcBorders>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(41,925)</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(5,523)</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7940" w:type="dxa"/>
            <w:vAlign w:val="bottom"/>
            <w:vMerge w:val="continue"/>
          </w:tcPr>
          <w:p>
            <w:pPr>
              <w:spacing w:after="0"/>
              <w:rPr>
                <w:sz w:val="17"/>
                <w:szCs w:val="17"/>
                <w:color w:val="auto"/>
              </w:rPr>
            </w:pPr>
          </w:p>
        </w:tc>
        <w:tc>
          <w:tcPr>
            <w:tcW w:w="960" w:type="dxa"/>
            <w:vAlign w:val="bottom"/>
          </w:tcPr>
          <w:p>
            <w:pPr>
              <w:jc w:val="right"/>
              <w:ind w:right="757"/>
              <w:spacing w:after="0" w:line="203" w:lineRule="exact"/>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40,244</w:t>
            </w:r>
          </w:p>
        </w:tc>
        <w:tc>
          <w:tcPr>
            <w:tcW w:w="80" w:type="dxa"/>
            <w:vAlign w:val="bottom"/>
          </w:tcPr>
          <w:p>
            <w:pPr>
              <w:spacing w:after="0"/>
              <w:rPr>
                <w:sz w:val="17"/>
                <w:szCs w:val="17"/>
                <w:color w:val="auto"/>
              </w:rPr>
            </w:pPr>
          </w:p>
        </w:tc>
        <w:tc>
          <w:tcPr>
            <w:tcW w:w="380" w:type="dxa"/>
            <w:vAlign w:val="bottom"/>
          </w:tcPr>
          <w:p>
            <w:pPr>
              <w:jc w:val="right"/>
              <w:ind w:right="170"/>
              <w:spacing w:after="0" w:line="203" w:lineRule="exact"/>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line="203" w:lineRule="exact"/>
              <w:rPr>
                <w:sz w:val="20"/>
                <w:szCs w:val="20"/>
                <w:color w:val="auto"/>
              </w:rPr>
            </w:pPr>
            <w:r>
              <w:rPr>
                <w:rFonts w:ascii="Times New Roman" w:cs="Times New Roman" w:eastAsia="Times New Roman" w:hAnsi="Times New Roman"/>
                <w:sz w:val="18"/>
                <w:szCs w:val="18"/>
                <w:color w:val="auto"/>
              </w:rPr>
              <w:t>6,764</w:t>
            </w:r>
          </w:p>
        </w:tc>
        <w:tc>
          <w:tcPr>
            <w:tcW w:w="0" w:type="dxa"/>
            <w:vAlign w:val="bottom"/>
          </w:tcPr>
          <w:p>
            <w:pPr>
              <w:spacing w:after="0"/>
              <w:rPr>
                <w:sz w:val="1"/>
                <w:szCs w:val="1"/>
                <w:color w:val="auto"/>
              </w:rPr>
            </w:pPr>
          </w:p>
        </w:tc>
      </w:tr>
      <w:tr>
        <w:trPr>
          <w:trHeight w:val="230"/>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Less: purchases of property and equipment</w:t>
            </w:r>
          </w:p>
        </w:tc>
        <w:tc>
          <w:tcPr>
            <w:tcW w:w="9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(2,808)</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(638)</w:t>
            </w:r>
          </w:p>
        </w:tc>
        <w:tc>
          <w:tcPr>
            <w:tcW w:w="0" w:type="dxa"/>
            <w:vAlign w:val="bottom"/>
          </w:tcPr>
          <w:p>
            <w:pPr>
              <w:spacing w:after="0"/>
              <w:rPr>
                <w:sz w:val="1"/>
                <w:szCs w:val="1"/>
                <w:color w:val="auto"/>
              </w:rPr>
            </w:pPr>
          </w:p>
        </w:tc>
      </w:tr>
      <w:tr>
        <w:trPr>
          <w:trHeight w:val="229"/>
        </w:trPr>
        <w:tc>
          <w:tcPr>
            <w:tcW w:w="79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Less: capitalized internal-use software costs</w:t>
            </w:r>
          </w:p>
        </w:tc>
        <w:tc>
          <w:tcPr>
            <w:tcW w:w="9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(3,086)</w:t>
            </w:r>
          </w:p>
        </w:tc>
        <w:tc>
          <w:tcPr>
            <w:tcW w:w="8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(2,131)</w:t>
            </w:r>
          </w:p>
        </w:tc>
        <w:tc>
          <w:tcPr>
            <w:tcW w:w="0" w:type="dxa"/>
            <w:vAlign w:val="bottom"/>
          </w:tcPr>
          <w:p>
            <w:pPr>
              <w:spacing w:after="0"/>
              <w:rPr>
                <w:sz w:val="1"/>
                <w:szCs w:val="1"/>
                <w:color w:val="auto"/>
              </w:rPr>
            </w:pPr>
          </w:p>
        </w:tc>
      </w:tr>
      <w:tr>
        <w:trPr>
          <w:trHeight w:val="223"/>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Free cash flow</w:t>
            </w:r>
          </w:p>
        </w:tc>
        <w:tc>
          <w:tcPr>
            <w:tcW w:w="960" w:type="dxa"/>
            <w:vAlign w:val="bottom"/>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8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3,995</w:t>
            </w:r>
          </w:p>
        </w:tc>
        <w:tc>
          <w:tcPr>
            <w:tcW w:w="0" w:type="dxa"/>
            <w:vAlign w:val="bottom"/>
          </w:tcPr>
          <w:p>
            <w:pPr>
              <w:spacing w:after="0"/>
              <w:rPr>
                <w:sz w:val="1"/>
                <w:szCs w:val="1"/>
                <w:color w:val="auto"/>
              </w:rPr>
            </w:pPr>
          </w:p>
        </w:tc>
      </w:tr>
      <w:tr>
        <w:trPr>
          <w:trHeight w:val="230"/>
        </w:trPr>
        <w:tc>
          <w:tcPr>
            <w:tcW w:w="7940" w:type="dxa"/>
            <w:vAlign w:val="bottom"/>
          </w:tcPr>
          <w:p>
            <w:pPr>
              <w:ind w:left="440"/>
              <w:spacing w:after="0"/>
              <w:rPr>
                <w:sz w:val="20"/>
                <w:szCs w:val="20"/>
                <w:color w:val="auto"/>
              </w:rPr>
            </w:pPr>
            <w:r>
              <w:rPr>
                <w:rFonts w:ascii="Times New Roman" w:cs="Times New Roman" w:eastAsia="Times New Roman" w:hAnsi="Times New Roman"/>
                <w:sz w:val="18"/>
                <w:szCs w:val="18"/>
                <w:color w:val="auto"/>
              </w:rPr>
              <w:t>Plus: restructuring costs paid</w:t>
            </w:r>
          </w:p>
        </w:tc>
        <w:tc>
          <w:tcPr>
            <w:tcW w:w="960" w:type="dxa"/>
            <w:vAlign w:val="bottom"/>
          </w:tcPr>
          <w:p>
            <w:pPr>
              <w:spacing w:after="0"/>
              <w:rPr>
                <w:sz w:val="19"/>
                <w:szCs w:val="19"/>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5,887</w:t>
            </w:r>
          </w:p>
        </w:tc>
        <w:tc>
          <w:tcPr>
            <w:tcW w:w="0" w:type="dxa"/>
            <w:vAlign w:val="bottom"/>
          </w:tcPr>
          <w:p>
            <w:pPr>
              <w:spacing w:after="0"/>
              <w:rPr>
                <w:sz w:val="1"/>
                <w:szCs w:val="1"/>
                <w:color w:val="auto"/>
              </w:rPr>
            </w:pPr>
          </w:p>
        </w:tc>
      </w:tr>
      <w:tr>
        <w:trPr>
          <w:trHeight w:val="248"/>
        </w:trPr>
        <w:tc>
          <w:tcPr>
            <w:tcW w:w="7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Adjusted free cash flow</w:t>
            </w:r>
          </w:p>
        </w:tc>
        <w:tc>
          <w:tcPr>
            <w:tcW w:w="960" w:type="dxa"/>
            <w:vAlign w:val="bottom"/>
            <w:tcBorders>
              <w:top w:val="single" w:sz="8" w:color="auto"/>
              <w:bottom w:val="single" w:sz="8" w:color="auto"/>
            </w:tcBorders>
            <w:shd w:val="clear" w:color="auto" w:fill="CCEEFF"/>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34,350</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38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0" w:type="dxa"/>
            <w:vAlign w:val="bottom"/>
          </w:tcPr>
          <w:p>
            <w:pPr>
              <w:spacing w:after="0"/>
              <w:rPr>
                <w:sz w:val="1"/>
                <w:szCs w:val="1"/>
                <w:color w:val="auto"/>
              </w:rPr>
            </w:pP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8"/>
        </w:trPr>
        <w:tc>
          <w:tcPr>
            <w:tcW w:w="7940" w:type="dxa"/>
            <w:vAlign w:val="bottom"/>
          </w:tcPr>
          <w:p>
            <w:pPr>
              <w:spacing w:after="0"/>
              <w:rPr>
                <w:sz w:val="24"/>
                <w:szCs w:val="24"/>
                <w:color w:val="auto"/>
              </w:rPr>
            </w:pPr>
          </w:p>
        </w:tc>
        <w:tc>
          <w:tcPr>
            <w:tcW w:w="3300" w:type="dxa"/>
            <w:vAlign w:val="bottom"/>
            <w:gridSpan w:val="5"/>
          </w:tcPr>
          <w:p>
            <w:pPr>
              <w:jc w:val="right"/>
              <w:ind w:right="613"/>
              <w:spacing w:after="0"/>
              <w:rPr>
                <w:sz w:val="20"/>
                <w:szCs w:val="20"/>
                <w:color w:val="auto"/>
              </w:rPr>
            </w:pPr>
            <w:r>
              <w:rPr>
                <w:rFonts w:ascii="Times New Roman" w:cs="Times New Roman" w:eastAsia="Times New Roman" w:hAnsi="Times New Roman"/>
                <w:sz w:val="14"/>
                <w:szCs w:val="14"/>
                <w:b w:val="1"/>
                <w:bCs w:val="1"/>
                <w:color w:val="auto"/>
              </w:rPr>
              <w:t>Three Months Ended April 30,</w:t>
            </w:r>
          </w:p>
        </w:tc>
        <w:tc>
          <w:tcPr>
            <w:tcW w:w="0" w:type="dxa"/>
            <w:vAlign w:val="bottom"/>
          </w:tcPr>
          <w:p>
            <w:pPr>
              <w:spacing w:after="0"/>
              <w:rPr>
                <w:sz w:val="1"/>
                <w:szCs w:val="1"/>
                <w:color w:val="auto"/>
              </w:rPr>
            </w:pPr>
          </w:p>
        </w:tc>
      </w:tr>
      <w:tr>
        <w:trPr>
          <w:trHeight w:val="23"/>
        </w:trPr>
        <w:tc>
          <w:tcPr>
            <w:tcW w:w="794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94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2026</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2025</w:t>
            </w:r>
          </w:p>
        </w:tc>
        <w:tc>
          <w:tcPr>
            <w:tcW w:w="0" w:type="dxa"/>
            <w:vAlign w:val="bottom"/>
          </w:tcPr>
          <w:p>
            <w:pPr>
              <w:spacing w:after="0"/>
              <w:rPr>
                <w:sz w:val="1"/>
                <w:szCs w:val="1"/>
                <w:color w:val="auto"/>
              </w:rPr>
            </w:pPr>
          </w:p>
        </w:tc>
      </w:tr>
      <w:tr>
        <w:trPr>
          <w:trHeight w:val="23"/>
        </w:trPr>
        <w:tc>
          <w:tcPr>
            <w:tcW w:w="79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7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Computation of revenue adjusted for impact of foreign currency</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GAAP revenue</w:t>
            </w:r>
          </w:p>
        </w:tc>
        <w:tc>
          <w:tcPr>
            <w:tcW w:w="960" w:type="dxa"/>
            <w:vAlign w:val="bottom"/>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205,095</w:t>
            </w:r>
          </w:p>
        </w:tc>
        <w:tc>
          <w:tcPr>
            <w:tcW w:w="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187,267</w:t>
            </w:r>
          </w:p>
        </w:tc>
        <w:tc>
          <w:tcPr>
            <w:tcW w:w="0" w:type="dxa"/>
            <w:vAlign w:val="bottom"/>
          </w:tcPr>
          <w:p>
            <w:pPr>
              <w:spacing w:after="0"/>
              <w:rPr>
                <w:sz w:val="1"/>
                <w:szCs w:val="1"/>
                <w:color w:val="auto"/>
              </w:rPr>
            </w:pPr>
          </w:p>
        </w:tc>
      </w:tr>
      <w:tr>
        <w:trPr>
          <w:trHeight w:val="229"/>
        </w:trPr>
        <w:tc>
          <w:tcPr>
            <w:tcW w:w="79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Adjustment for: impact of foreign currency</w:t>
            </w:r>
          </w:p>
        </w:tc>
        <w:tc>
          <w:tcPr>
            <w:tcW w:w="9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0" w:type="dxa"/>
            <w:vAlign w:val="bottom"/>
          </w:tcPr>
          <w:p>
            <w:pPr>
              <w:spacing w:after="0"/>
              <w:rPr>
                <w:sz w:val="1"/>
                <w:szCs w:val="1"/>
                <w:color w:val="auto"/>
              </w:rPr>
            </w:pPr>
          </w:p>
        </w:tc>
      </w:tr>
      <w:tr>
        <w:trPr>
          <w:trHeight w:val="223"/>
        </w:trPr>
        <w:tc>
          <w:tcPr>
            <w:tcW w:w="79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 adjusted for impact of foreign currency</w:t>
            </w:r>
          </w:p>
        </w:tc>
        <w:tc>
          <w:tcPr>
            <w:tcW w:w="960" w:type="dxa"/>
            <w:vAlign w:val="bottom"/>
            <w:tcBorders>
              <w:bottom w:val="single" w:sz="8" w:color="auto"/>
            </w:tcBorders>
          </w:tcPr>
          <w:p>
            <w:pPr>
              <w:jc w:val="right"/>
              <w:ind w:right="757"/>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203,700</w:t>
            </w:r>
          </w:p>
        </w:tc>
        <w:tc>
          <w:tcPr>
            <w:tcW w:w="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187,630</w:t>
            </w:r>
          </w:p>
        </w:tc>
        <w:tc>
          <w:tcPr>
            <w:tcW w:w="0" w:type="dxa"/>
            <w:vAlign w:val="bottom"/>
          </w:tcPr>
          <w:p>
            <w:pPr>
              <w:spacing w:after="0"/>
              <w:rPr>
                <w:sz w:val="1"/>
                <w:szCs w:val="1"/>
                <w:color w:val="auto"/>
              </w:rPr>
            </w:pPr>
          </w:p>
        </w:tc>
      </w:tr>
      <w:tr>
        <w:trPr>
          <w:trHeight w:val="20"/>
        </w:trPr>
        <w:tc>
          <w:tcPr>
            <w:tcW w:w="794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sectPr>
      <w:pgSz w:w="11900" w:h="16838" w:orient="portrait"/>
      <w:cols w:equalWidth="0" w:num="1">
        <w:col w:w="11240"/>
      </w:cols>
      <w:pgMar w:left="320" w:top="10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Verdana">
    <w:panose1 w:val="020B0604030504040204"/>
    <w:charset w:val="00"/>
    <w:family w:val="swiss"/>
    <w:pitch w:val="variable"/>
    <w:sig w:usb0="A10006FF" w:usb1="4000205B" w:usb2="00000010" w:usb3="00000000" w:csb0="2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2026-05-28T16:52:37Z</dcterms:created>
  <dcterms:modified xsi:type="dcterms:W3CDTF">2026-05-28T16:52:37Z</dcterms:modified>
</cp:coreProperties>
</file>