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1" w:after="1"/>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1" w:after="1"/>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August 26,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Asana,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tbl>
      <w:tblPr>
        <w:tblW w:w="4692" w:type="dxa"/>
        <w:jc w:val="left"/>
        <w:tblInd w:w="0" w:type="dxa"/>
        <w:tblLayout w:type="fixed"/>
        <w:tblCellMar>
          <w:top w:w="28" w:type="dxa"/>
          <w:left w:w="28" w:type="dxa"/>
          <w:bottom w:w="28" w:type="dxa"/>
          <w:right w:w="28" w:type="dxa"/>
        </w:tblCellMar>
      </w:tblPr>
      <w:tblGrid>
        <w:gridCol w:w="776"/>
        <w:gridCol w:w="680"/>
        <w:gridCol w:w="688"/>
        <w:gridCol w:w="353"/>
        <w:gridCol w:w="353"/>
        <w:gridCol w:w="358"/>
        <w:gridCol w:w="433"/>
        <w:gridCol w:w="433"/>
        <w:gridCol w:w="618"/>
      </w:tblGrid>
      <w:tr>
        <w:trPr/>
        <w:tc>
          <w:tcPr>
            <w:tcW w:w="7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001-39495</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26-3912448</w:t>
            </w:r>
          </w:p>
        </w:tc>
      </w:tr>
      <w:tr>
        <w:trPr/>
        <w:tc>
          <w:tcPr>
            <w:tcW w:w="21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bl>
    <w:tbl>
      <w:tblPr>
        <w:tblW w:w="3941" w:type="dxa"/>
        <w:jc w:val="left"/>
        <w:tblInd w:w="0" w:type="dxa"/>
        <w:tblLayout w:type="fixed"/>
        <w:tblCellMar>
          <w:top w:w="28" w:type="dxa"/>
          <w:left w:w="28" w:type="dxa"/>
          <w:bottom w:w="28" w:type="dxa"/>
          <w:right w:w="28" w:type="dxa"/>
        </w:tblCellMar>
      </w:tblPr>
      <w:tblGrid>
        <w:gridCol w:w="701"/>
        <w:gridCol w:w="616"/>
        <w:gridCol w:w="618"/>
        <w:gridCol w:w="358"/>
        <w:gridCol w:w="358"/>
        <w:gridCol w:w="361"/>
        <w:gridCol w:w="272"/>
        <w:gridCol w:w="272"/>
        <w:gridCol w:w="385"/>
      </w:tblGrid>
      <w:tr>
        <w:trPr/>
        <w:tc>
          <w:tcPr>
            <w:tcW w:w="70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633 Folsom Street,</w:t>
            </w:r>
          </w:p>
        </w:tc>
        <w:tc>
          <w:tcPr>
            <w:tcW w:w="107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20"/>
              </w:rPr>
              <w:t>Suite 100</w:t>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San Francisco,</w:t>
            </w:r>
          </w:p>
        </w:tc>
        <w:tc>
          <w:tcPr>
            <w:tcW w:w="10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w:t>
            </w:r>
          </w:p>
        </w:tc>
        <w:tc>
          <w:tcPr>
            <w:tcW w:w="9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94107</w:t>
            </w:r>
          </w:p>
        </w:tc>
      </w:tr>
      <w:tr>
        <w:trPr/>
        <w:tc>
          <w:tcPr>
            <w:tcW w:w="301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9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(415) 525-3888</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Instructions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120" w:after="1"/>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120" w:after="1"/>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120" w:after="1"/>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120" w:after="1"/>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120" w:after="1"/>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120" w:after="1"/>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120" w:after="1"/>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120" w:after="1"/>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8781" w:type="dxa"/>
        <w:jc w:val="left"/>
        <w:tblInd w:w="0" w:type="dxa"/>
        <w:tblLayout w:type="fixed"/>
        <w:tblCellMar>
          <w:top w:w="28" w:type="dxa"/>
          <w:left w:w="28" w:type="dxa"/>
          <w:bottom w:w="28" w:type="dxa"/>
          <w:right w:w="28" w:type="dxa"/>
        </w:tblCellMar>
      </w:tblPr>
      <w:tblGrid>
        <w:gridCol w:w="1117"/>
        <w:gridCol w:w="983"/>
        <w:gridCol w:w="989"/>
        <w:gridCol w:w="109"/>
        <w:gridCol w:w="109"/>
        <w:gridCol w:w="109"/>
        <w:gridCol w:w="519"/>
        <w:gridCol w:w="519"/>
        <w:gridCol w:w="521"/>
        <w:gridCol w:w="109"/>
        <w:gridCol w:w="109"/>
        <w:gridCol w:w="109"/>
        <w:gridCol w:w="1019"/>
        <w:gridCol w:w="1019"/>
        <w:gridCol w:w="1441"/>
      </w:tblGrid>
      <w:tr>
        <w:trPr/>
        <w:tc>
          <w:tcPr>
            <w:tcW w:w="111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88" w:before="1" w:after="1"/>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88" w:before="1" w:after="1"/>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88" w:before="1" w:after="1"/>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Class A Common Stock, $0.00001 par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New York Stock Exchange</w:t>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Long-Term Stock Exchange</w:t>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60" w:after="283"/>
        <w:jc w:val="left"/>
        <w:rPr/>
      </w:pPr>
      <w:r>
        <w:rPr>
          <w:rFonts w:ascii="Times New Roman;serif" w:hAnsi="Times New Roman;serif"/>
          <w:b w:val="false"/>
          <w:color w:val="000000"/>
          <w:sz w:val="20"/>
        </w:rPr>
        <w:t>Emerging growth company   </w:t>
      </w:r>
      <w:r>
        <w:rPr>
          <w:color w:val="000000"/>
        </w:rPr>
        <w:t>☐</w:t>
      </w:r>
    </w:p>
    <w:p>
      <w:pPr>
        <w:pStyle w:val="TextBody"/>
        <w:bidi w:val="0"/>
        <w:spacing w:lineRule="auto" w:line="288" w:before="160" w:after="1"/>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200" w:after="120"/>
        <w:jc w:val="center"/>
        <w:rPr/>
      </w:pPr>
      <w:r>
        <w:rPr/>
      </w:r>
    </w:p>
    <w:p>
      <w:pPr>
        <w:pStyle w:val="TextBody"/>
        <w:bidi w:val="0"/>
        <w:spacing w:lineRule="auto" w:line="288" w:before="1" w:after="1"/>
        <w:jc w:val="left"/>
        <w:rPr/>
      </w:pPr>
      <w:r>
        <w:rPr>
          <w:rFonts w:ascii="Times New Roman;serif" w:hAnsi="Times New Roman;serif"/>
          <w:b/>
          <w:color w:val="000000"/>
          <w:sz w:val="20"/>
        </w:rPr>
        <w:t>Item 5.02</w:t>
      </w:r>
      <w:r>
        <w:rPr>
          <w:color w:val="000000"/>
        </w:rPr>
        <w:t>    </w:t>
      </w:r>
      <w:r>
        <w:rPr>
          <w:rFonts w:ascii="Times New Roman;serif" w:hAnsi="Times New Roman;serif"/>
          <w:b/>
          <w:color w:val="000000"/>
          <w:sz w:val="20"/>
        </w:rPr>
        <w:t>Departure of Directors or Certain Officers; Election of Directors; Appointment of Certain Officers; Compensatory Arrangements of Certain Officers.</w:t>
      </w:r>
    </w:p>
    <w:p>
      <w:pPr>
        <w:pStyle w:val="TextBody"/>
        <w:bidi w:val="0"/>
        <w:spacing w:before="1" w:after="1"/>
        <w:jc w:val="left"/>
        <w:rPr/>
      </w:pPr>
      <w:r>
        <w:rPr/>
      </w:r>
    </w:p>
    <w:p>
      <w:pPr>
        <w:pStyle w:val="TextBody"/>
        <w:bidi w:val="0"/>
        <w:spacing w:lineRule="auto" w:line="288" w:before="1" w:after="1"/>
        <w:jc w:val="left"/>
        <w:rPr>
          <w:rFonts w:ascii="Times New Roman;serif" w:hAnsi="Times New Roman;serif"/>
          <w:b/>
          <w:i/>
          <w:color w:val="000000"/>
          <w:sz w:val="20"/>
        </w:rPr>
      </w:pPr>
      <w:r>
        <w:rPr>
          <w:rFonts w:ascii="Times New Roman;serif" w:hAnsi="Times New Roman;serif"/>
          <w:b/>
          <w:i/>
          <w:color w:val="000000"/>
          <w:sz w:val="20"/>
        </w:rPr>
        <w:t>Appointment of Principal Accounting Officer</w:t>
      </w:r>
    </w:p>
    <w:p>
      <w:pPr>
        <w:pStyle w:val="TextBody"/>
        <w:bidi w:val="0"/>
        <w:spacing w:before="1" w:after="1"/>
        <w:jc w:val="left"/>
        <w:rPr/>
      </w:pPr>
      <w:r>
        <w:rPr/>
      </w:r>
    </w:p>
    <w:p>
      <w:pPr>
        <w:pStyle w:val="TextBody"/>
        <w:bidi w:val="0"/>
        <w:spacing w:lineRule="auto" w:line="288" w:before="1" w:after="1"/>
        <w:jc w:val="left"/>
        <w:rPr>
          <w:rFonts w:ascii="Times New Roman;serif" w:hAnsi="Times New Roman;serif"/>
          <w:b w:val="false"/>
          <w:color w:val="000000"/>
          <w:sz w:val="20"/>
        </w:rPr>
      </w:pPr>
      <w:r>
        <w:rPr>
          <w:rFonts w:ascii="Times New Roman;serif" w:hAnsi="Times New Roman;serif"/>
          <w:b w:val="false"/>
          <w:color w:val="000000"/>
          <w:sz w:val="20"/>
        </w:rPr>
        <w:t>On August 26, 2026, the Board of Directors (the “Board”) of Asana, Inc. (the “Company”) appointed Aziz Megji as the Company's Principal Accounting Officer in addition to his current role as the Company's Chief Financial Officer and Principal Financial Officer.</w:t>
      </w:r>
    </w:p>
    <w:p>
      <w:pPr>
        <w:pStyle w:val="TextBody"/>
        <w:bidi w:val="0"/>
        <w:spacing w:before="1" w:after="1"/>
        <w:jc w:val="left"/>
        <w:rPr/>
      </w:pPr>
      <w:r>
        <w:rPr/>
      </w:r>
    </w:p>
    <w:p>
      <w:pPr>
        <w:pStyle w:val="TextBody"/>
        <w:bidi w:val="0"/>
        <w:spacing w:lineRule="auto" w:line="288" w:before="1" w:after="1"/>
        <w:jc w:val="left"/>
        <w:rPr/>
      </w:pPr>
      <w:r>
        <w:rPr>
          <w:rFonts w:ascii="Times New Roman;serif" w:hAnsi="Times New Roman;serif"/>
          <w:b w:val="false"/>
          <w:color w:val="000000"/>
          <w:sz w:val="20"/>
        </w:rPr>
        <w:t xml:space="preserve">A description of Mr. Megji's compensation arrangements and information regarding Mr. Megji's background and business experience can be found in the Company’s </w:t>
      </w:r>
      <w:hyperlink r:id="rId2">
        <w:r>
          <w:rPr>
            <w:rStyle w:val="InternetLink"/>
          </w:rPr>
          <w:t xml:space="preserve">definitive proxy statement filed </w:t>
        </w:r>
      </w:hyperlink>
      <w:hyperlink r:id="rId3">
        <w:r>
          <w:rPr>
            <w:rStyle w:val="InternetLink"/>
          </w:rPr>
          <w:t>with the</w:t>
        </w:r>
      </w:hyperlink>
      <w:hyperlink r:id="rId4">
        <w:r>
          <w:rPr>
            <w:rStyle w:val="InternetLink"/>
          </w:rPr>
          <w:t xml:space="preserve"> SEC </w:t>
        </w:r>
      </w:hyperlink>
      <w:hyperlink r:id="rId5">
        <w:r>
          <w:rPr>
            <w:rStyle w:val="InternetLink"/>
          </w:rPr>
          <w:t xml:space="preserve">on April </w:t>
        </w:r>
      </w:hyperlink>
      <w:hyperlink r:id="rId6">
        <w:r>
          <w:rPr>
            <w:rStyle w:val="InternetLink"/>
          </w:rPr>
          <w:t>2</w:t>
        </w:r>
      </w:hyperlink>
      <w:hyperlink r:id="rId7">
        <w:r>
          <w:rPr>
            <w:rStyle w:val="InternetLink"/>
          </w:rPr>
          <w:t>0, 2026</w:t>
        </w:r>
      </w:hyperlink>
      <w:r>
        <w:rPr>
          <w:color w:val="000000"/>
        </w:rPr>
        <w:t xml:space="preserve"> </w:t>
      </w:r>
      <w:r>
        <w:rPr>
          <w:rFonts w:ascii="Times New Roman;serif" w:hAnsi="Times New Roman;serif"/>
          <w:b w:val="false"/>
          <w:color w:val="000000"/>
          <w:sz w:val="20"/>
        </w:rPr>
        <w:t>and are incorporated by reference herein.</w:t>
      </w:r>
    </w:p>
    <w:p>
      <w:pPr>
        <w:pStyle w:val="TextBody"/>
        <w:bidi w:val="0"/>
        <w:spacing w:before="1" w:after="1"/>
        <w:jc w:val="left"/>
        <w:rPr/>
      </w:pPr>
      <w:r>
        <w:rPr/>
      </w:r>
    </w:p>
    <w:p>
      <w:pPr>
        <w:pStyle w:val="TextBody"/>
        <w:bidi w:val="0"/>
        <w:spacing w:lineRule="auto" w:line="288" w:before="1" w:after="1"/>
        <w:jc w:val="left"/>
        <w:rPr>
          <w:rFonts w:ascii="Times New Roman;serif" w:hAnsi="Times New Roman;serif"/>
          <w:b w:val="false"/>
          <w:color w:val="000000"/>
          <w:sz w:val="20"/>
        </w:rPr>
      </w:pPr>
      <w:r>
        <w:rPr>
          <w:rFonts w:ascii="Times New Roman;serif" w:hAnsi="Times New Roman;serif"/>
          <w:b w:val="false"/>
          <w:color w:val="000000"/>
          <w:sz w:val="20"/>
        </w:rPr>
        <w:t>There are no arrangements or understandings between Mr. Megji and any other persons pursuant to which he was appointed as Principal Accounting Officer of the Company. There are no family relationships between Mr. Megji and any director or executive officer of the Company and he has no direct or indirect material interest in any transaction required to be disclosed pursuant to Item 404(a) of Regulation S-K promulgated by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SIGNATURE </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6144" w:type="dxa"/>
        <w:jc w:val="left"/>
        <w:tblInd w:w="0" w:type="dxa"/>
        <w:tblLayout w:type="fixed"/>
        <w:tblCellMar>
          <w:top w:w="28" w:type="dxa"/>
          <w:left w:w="28" w:type="dxa"/>
          <w:bottom w:w="28" w:type="dxa"/>
          <w:right w:w="28" w:type="dxa"/>
        </w:tblCellMar>
      </w:tblPr>
      <w:tblGrid>
        <w:gridCol w:w="743"/>
        <w:gridCol w:w="653"/>
        <w:gridCol w:w="659"/>
        <w:gridCol w:w="198"/>
        <w:gridCol w:w="198"/>
        <w:gridCol w:w="198"/>
        <w:gridCol w:w="1021"/>
        <w:gridCol w:w="1021"/>
        <w:gridCol w:w="1453"/>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ASANA, INC.</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Dated: August 28, 2026</w:t>
            </w:r>
          </w:p>
        </w:tc>
        <w:tc>
          <w:tcPr>
            <w:tcW w:w="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Katie Colendich</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Katie Colendich</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Counsel and Corporate Secretary</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477720/000162828026025998/asan-20260420.htm" TargetMode="External"/><Relationship Id="rId3" Type="http://schemas.openxmlformats.org/officeDocument/2006/relationships/hyperlink" Target="https://www.sec.gov/ix?doc=/Archives/edgar/data/0001477720/000162828026025998/asan-20260420.htm" TargetMode="External"/><Relationship Id="rId4" Type="http://schemas.openxmlformats.org/officeDocument/2006/relationships/hyperlink" Target="https://www.sec.gov/ix?doc=/Archives/edgar/data/0001477720/000162828026025998/asan-20260420.htm" TargetMode="External"/><Relationship Id="rId5" Type="http://schemas.openxmlformats.org/officeDocument/2006/relationships/hyperlink" Target="https://www.sec.gov/ix?doc=/Archives/edgar/data/0001477720/000162828026025998/asan-20260420.htm" TargetMode="External"/><Relationship Id="rId6" Type="http://schemas.openxmlformats.org/officeDocument/2006/relationships/hyperlink" Target="https://www.sec.gov/ix?doc=/Archives/edgar/data/0001477720/000162828026025998/asan-20260420.htm" TargetMode="External"/><Relationship Id="rId7" Type="http://schemas.openxmlformats.org/officeDocument/2006/relationships/hyperlink" Target="https://www.sec.gov/ix?doc=/Archives/edgar/data/0001477720/000162828026025998/asan-20260420.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538</Words>
  <Characters>3101</Characters>
  <CharactersWithSpaces>3582</CharactersWithSpaces>
  <Paragraphs>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