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SCHEDULE 13G</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60"/>
        <w:spacing w:after="0"/>
        <w:rPr>
          <w:sz w:val="20"/>
          <w:szCs w:val="20"/>
          <w:color w:val="auto"/>
        </w:rPr>
      </w:pPr>
      <w:r>
        <w:rPr>
          <w:rFonts w:ascii="Arial" w:cs="Arial" w:eastAsia="Arial" w:hAnsi="Arial"/>
          <w:sz w:val="22"/>
          <w:szCs w:val="22"/>
          <w:b w:val="1"/>
          <w:bCs w:val="1"/>
          <w:color w:val="auto"/>
        </w:rPr>
        <w:t>(Amendment No. )*</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Asana,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04342Y104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13d-1(c)</w:t>
      </w:r>
    </w:p>
    <w:p>
      <w:pPr>
        <w:spacing w:after="0" w:line="24"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04342Y104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460"/>
          </w:cols>
          <w:pgMar w:left="320" w:top="796" w:right="339" w:bottom="1440" w:gutter="0" w:footer="0" w:header="0"/>
        </w:sect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4"/>
            <w:vMerge w:val="restart"/>
          </w:tcPr>
          <w:p>
            <w:pPr>
              <w:ind w:left="40"/>
              <w:spacing w:after="0"/>
              <w:rPr>
                <w:sz w:val="20"/>
                <w:szCs w:val="20"/>
                <w:color w:val="auto"/>
              </w:rPr>
            </w:pPr>
            <w:r>
              <w:rPr>
                <w:rFonts w:ascii="Arial" w:cs="Arial" w:eastAsia="Arial" w:hAnsi="Arial"/>
                <w:sz w:val="18"/>
                <w:szCs w:val="18"/>
                <w:color w:val="auto"/>
              </w:rPr>
              <w:t>Generation Investment Management LLP</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4"/>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6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England and Wales</w:t>
            </w:r>
          </w:p>
        </w:tc>
        <w:tc>
          <w:tcPr>
            <w:tcW w:w="6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2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220" w:type="dxa"/>
            <w:vAlign w:val="bottom"/>
          </w:tcPr>
          <w:p>
            <w:pPr>
              <w:spacing w:after="0"/>
              <w:rPr>
                <w:sz w:val="18"/>
                <w:szCs w:val="18"/>
                <w:color w:val="auto"/>
              </w:rPr>
            </w:pPr>
          </w:p>
        </w:tc>
        <w:tc>
          <w:tcPr>
            <w:tcW w:w="6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6,251,944</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220" w:type="dxa"/>
            <w:vAlign w:val="bottom"/>
          </w:tcPr>
          <w:p>
            <w:pPr>
              <w:spacing w:after="0"/>
              <w:rPr>
                <w:sz w:val="17"/>
                <w:szCs w:val="17"/>
                <w:color w:val="auto"/>
              </w:rPr>
            </w:pPr>
          </w:p>
        </w:tc>
        <w:tc>
          <w:tcPr>
            <w:tcW w:w="6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2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6,251,944</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6,251,944</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4"/>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4"/>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6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CUSIP No. 04342Y104</w:t>
      </w:r>
    </w:p>
    <w:p>
      <w:pPr>
        <w:spacing w:after="0" w:line="3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3">
            <w:col w:w="4260" w:space="720"/>
            <w:col w:w="4080" w:space="720"/>
            <w:col w:w="1320"/>
          </w:cols>
          <w:pgMar w:left="320" w:top="796" w:right="479" w:bottom="1440" w:gutter="0" w:footer="0" w:header="0"/>
        </w:sectPr>
      </w:pPr>
    </w:p>
    <w:p>
      <w:pPr>
        <w:ind w:left="800"/>
        <w:spacing w:after="0"/>
        <w:rPr>
          <w:sz w:val="20"/>
          <w:szCs w:val="20"/>
          <w:color w:val="auto"/>
        </w:rPr>
      </w:pPr>
      <w:r>
        <w:rPr>
          <w:rFonts w:ascii="Arial" w:cs="Arial" w:eastAsia="Arial" w:hAnsi="Arial"/>
          <w:sz w:val="18"/>
          <w:szCs w:val="18"/>
          <w:color w:val="auto"/>
        </w:rPr>
        <w:t>Asana,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1550 Bryant Street, Suite 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 Francisco, California 94103</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Generation Investment Management LLP</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Generation Investment Management LLP: 20 Air Street, 7th floor, London, United Kingdom W1B 5AN.</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Generation Investment Management LLP – England and Wales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Class A Common Stock, $0.00001 par value per share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04342Y104</w:t>
      </w:r>
    </w:p>
    <w:p>
      <w:pPr>
        <w:sectPr>
          <w:pgSz w:w="11900" w:h="16838" w:orient="portrait"/>
          <w:cols w:equalWidth="0" w:num="1">
            <w:col w:w="11100"/>
          </w:cols>
          <w:pgMar w:left="320" w:top="796" w:right="47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04342Y104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260" w:space="720"/>
            <w:col w:w="4080" w:space="720"/>
            <w:col w:w="1320"/>
          </w:cols>
          <w:pgMar w:left="320" w:top="796" w:right="47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investment adviser in accordance with §240.13d-1(b)(1)(ii)(E);</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6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32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2138680"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04342Y104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-180975</wp:posOffset>
            </wp:positionV>
            <wp:extent cx="2130425"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260" w:space="720"/>
            <w:col w:w="4080" w:space="720"/>
            <w:col w:w="1460"/>
          </w:cols>
          <w:pgMar w:left="320" w:top="1012" w:right="339" w:bottom="1440" w:gutter="0" w:footer="0" w:header="0"/>
        </w:sectPr>
      </w:pPr>
    </w:p>
    <w:p>
      <w:pPr>
        <w:spacing w:after="0" w:line="1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Amount beneficially owned:</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the response(s) to Item 9 on the attached cover pages.</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 Percent of class: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the response(s) to Item 11 on the attached cover pages.</w:t>
      </w:r>
    </w:p>
    <w:p>
      <w:pPr>
        <w:spacing w:after="0" w:line="185"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98" w:lineRule="exact"/>
        <w:rPr>
          <w:rFonts w:ascii="Arial" w:cs="Arial" w:eastAsia="Arial" w:hAnsi="Arial"/>
          <w:sz w:val="18"/>
          <w:szCs w:val="18"/>
          <w:color w:val="auto"/>
        </w:rPr>
      </w:pPr>
    </w:p>
    <w:p>
      <w:pPr>
        <w:ind w:left="1800" w:hanging="208"/>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See the response(s) to Item 5 on the attached cover pages.</w:t>
      </w:r>
    </w:p>
    <w:p>
      <w:pPr>
        <w:spacing w:after="0" w:line="184" w:lineRule="exact"/>
        <w:rPr>
          <w:rFonts w:ascii="Arial" w:cs="Arial" w:eastAsia="Arial" w:hAnsi="Arial"/>
          <w:sz w:val="18"/>
          <w:szCs w:val="18"/>
          <w:color w:val="auto"/>
        </w:rPr>
      </w:pPr>
    </w:p>
    <w:p>
      <w:pPr>
        <w:ind w:left="1860" w:hanging="268"/>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See the response(s) to Item 6 on the attached cover pages.</w:t>
      </w:r>
    </w:p>
    <w:p>
      <w:pPr>
        <w:spacing w:after="0" w:line="184"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the response(s) to Item 7 on the attached cover pages.</w:t>
      </w:r>
    </w:p>
    <w:p>
      <w:pPr>
        <w:spacing w:after="0" w:line="198" w:lineRule="exact"/>
        <w:rPr>
          <w:rFonts w:ascii="Arial" w:cs="Arial" w:eastAsia="Arial" w:hAnsi="Arial"/>
          <w:sz w:val="18"/>
          <w:szCs w:val="18"/>
          <w:color w:val="auto"/>
        </w:rPr>
      </w:pPr>
    </w:p>
    <w:p>
      <w:pPr>
        <w:ind w:left="1900" w:hanging="30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the response(s) to Item 8 on the attached cover pages.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400" w:firstLine="3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45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2138680"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04342Y104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SIGNATURE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-166370</wp:posOffset>
            </wp:positionV>
            <wp:extent cx="2130425" cy="304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3">
            <w:col w:w="4280" w:space="720"/>
            <w:col w:w="4120" w:space="720"/>
            <w:col w:w="1400"/>
          </w:cols>
          <w:pgMar w:left="320" w:top="580"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February 16, 2021</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GENERATION INVESTMENT MANAGEMENT LLP</w:t>
      </w:r>
    </w:p>
    <w:p>
      <w:pPr>
        <w:spacing w:after="0" w:line="229" w:lineRule="exact"/>
        <w:rPr>
          <w:sz w:val="20"/>
          <w:szCs w:val="20"/>
          <w:color w:val="auto"/>
        </w:rPr>
      </w:pPr>
    </w:p>
    <w:p>
      <w:pPr>
        <w:ind w:left="5540"/>
        <w:spacing w:after="0"/>
        <w:tabs>
          <w:tab w:leader="none" w:pos="6020" w:val="left"/>
        </w:tabs>
        <w:rPr>
          <w:sz w:val="20"/>
          <w:szCs w:val="20"/>
          <w:color w:val="auto"/>
        </w:rPr>
      </w:pPr>
      <w:r>
        <w:rPr>
          <w:rFonts w:ascii="Arial" w:cs="Arial" w:eastAsia="Arial" w:hAnsi="Arial"/>
          <w:sz w:val="18"/>
          <w:szCs w:val="18"/>
          <w:color w:val="auto"/>
        </w:rPr>
        <w:t>By:</w:t>
        <w:tab/>
        <w:t>/s/ Alexander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Alexander Marshall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&amp; Chief Compliance Officer</w:t>
      </w:r>
    </w:p>
    <w:sectPr>
      <w:pgSz w:w="11900" w:h="16838" w:orient="portrait"/>
      <w:cols w:equalWidth="0" w:num="1">
        <w:col w:w="11240"/>
      </w:cols>
      <w:pgMar w:left="320" w:top="5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2021-02-16T09:57:20Z</dcterms:created>
  <dcterms:modified xsi:type="dcterms:W3CDTF">2021-02-16T09:57:20Z</dcterms:modified>
</cp:coreProperties>
</file>